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960" w:right="1160" w:hanging="498"/>
        <w:spacing w:after="0" w:line="251" w:lineRule="auto"/>
        <w:tabs>
          <w:tab w:leader="none" w:pos="91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2025</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ind w:left="940" w:right="1160" w:hanging="478"/>
        <w:spacing w:after="0" w:line="271" w:lineRule="auto"/>
        <w:tabs>
          <w:tab w:leader="none" w:pos="9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 to 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001-38873</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Palomar Holdings,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80" w:type="dxa"/>
            <w:vAlign w:val="bottom"/>
          </w:tcPr>
          <w:p>
            <w:pPr>
              <w:spacing w:after="0"/>
              <w:rPr>
                <w:sz w:val="19"/>
                <w:szCs w:val="19"/>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520" w:type="dxa"/>
            <w:vAlign w:val="bottom"/>
            <w:gridSpan w:val="3"/>
          </w:tcPr>
          <w:p>
            <w:pPr>
              <w:jc w:val="right"/>
              <w:ind w:right="2233"/>
              <w:spacing w:after="0"/>
              <w:rPr>
                <w:sz w:val="20"/>
                <w:szCs w:val="20"/>
                <w:color w:val="auto"/>
              </w:rPr>
            </w:pPr>
            <w:r>
              <w:rPr>
                <w:rFonts w:ascii="Times New Roman" w:cs="Times New Roman" w:eastAsia="Times New Roman" w:hAnsi="Times New Roman"/>
                <w:sz w:val="18"/>
                <w:szCs w:val="18"/>
                <w:b w:val="1"/>
                <w:bCs w:val="1"/>
                <w:color w:val="auto"/>
              </w:rPr>
              <w:t>83-3972551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80" w:type="dxa"/>
            <w:vAlign w:val="bottom"/>
          </w:tcPr>
          <w:p>
            <w:pPr>
              <w:spacing w:after="0"/>
              <w:rPr>
                <w:sz w:val="13"/>
                <w:szCs w:val="13"/>
                <w:color w:val="auto"/>
              </w:rPr>
            </w:pPr>
          </w:p>
        </w:tc>
        <w:tc>
          <w:tcPr>
            <w:tcW w:w="4580" w:type="dxa"/>
            <w:vAlign w:val="bottom"/>
            <w:tcBorders>
              <w:top w:val="single" w:sz="8" w:color="auto"/>
            </w:tcBorders>
          </w:tcPr>
          <w:p>
            <w:pPr>
              <w:jc w:val="center"/>
              <w:ind w:left="811"/>
              <w:spacing w:after="0" w:line="150"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80" w:type="dxa"/>
            <w:vAlign w:val="bottom"/>
            <w:tcBorders>
              <w:top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color w:val="auto"/>
              </w:rPr>
              <w:t>(I.R.S. Employer Identification No.)</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4580" w:type="dxa"/>
            <w:vAlign w:val="bottom"/>
          </w:tcPr>
          <w:p>
            <w:pPr>
              <w:jc w:val="center"/>
              <w:ind w:left="811"/>
              <w:spacing w:after="0"/>
              <w:rPr>
                <w:sz w:val="20"/>
                <w:szCs w:val="20"/>
                <w:color w:val="auto"/>
              </w:rPr>
            </w:pPr>
            <w:r>
              <w:rPr>
                <w:rFonts w:ascii="Times New Roman" w:cs="Times New Roman" w:eastAsia="Times New Roman" w:hAnsi="Times New Roman"/>
                <w:sz w:val="18"/>
                <w:szCs w:val="18"/>
                <w:b w:val="1"/>
                <w:bCs w:val="1"/>
                <w:color w:val="auto"/>
                <w:w w:val="99"/>
              </w:rPr>
              <w:t>7979 Ivanhoe Avenue, Suite 500</w:t>
            </w:r>
          </w:p>
        </w:tc>
        <w:tc>
          <w:tcPr>
            <w:tcW w:w="6520" w:type="dxa"/>
            <w:vAlign w:val="bottom"/>
            <w:gridSpan w:val="3"/>
            <w:vMerge w:val="restart"/>
          </w:tcPr>
          <w:p>
            <w:pPr>
              <w:jc w:val="right"/>
              <w:ind w:right="2433"/>
              <w:spacing w:after="0"/>
              <w:rPr>
                <w:sz w:val="20"/>
                <w:szCs w:val="20"/>
                <w:color w:val="auto"/>
              </w:rPr>
            </w:pPr>
            <w:r>
              <w:rPr>
                <w:rFonts w:ascii="Times New Roman" w:cs="Times New Roman" w:eastAsia="Times New Roman" w:hAnsi="Times New Roman"/>
                <w:sz w:val="18"/>
                <w:szCs w:val="18"/>
                <w:b w:val="1"/>
                <w:bCs w:val="1"/>
                <w:color w:val="auto"/>
              </w:rPr>
              <w:t>92037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4580" w:type="dxa"/>
            <w:vAlign w:val="bottom"/>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9"/>
              </w:rPr>
              <w:t>La Jolla, California</w:t>
            </w:r>
          </w:p>
        </w:tc>
        <w:tc>
          <w:tcPr>
            <w:tcW w:w="65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4580" w:type="dxa"/>
            <w:vAlign w:val="bottom"/>
            <w:tcBorders>
              <w:top w:val="single" w:sz="8" w:color="auto"/>
            </w:tcBorders>
          </w:tcPr>
          <w:p>
            <w:pPr>
              <w:jc w:val="center"/>
              <w:ind w:left="8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gridSpan w:val="3"/>
          </w:tcPr>
          <w:p>
            <w:pPr>
              <w:jc w:val="right"/>
              <w:ind w:right="4913"/>
              <w:spacing w:after="0"/>
              <w:rPr>
                <w:sz w:val="20"/>
                <w:szCs w:val="20"/>
                <w:color w:val="auto"/>
              </w:rPr>
            </w:pPr>
            <w:r>
              <w:rPr>
                <w:rFonts w:ascii="Times New Roman" w:cs="Times New Roman" w:eastAsia="Times New Roman" w:hAnsi="Times New Roman"/>
                <w:sz w:val="18"/>
                <w:szCs w:val="18"/>
                <w:b w:val="1"/>
                <w:bCs w:val="1"/>
                <w:color w:val="auto"/>
              </w:rPr>
              <w:t>(619) 567-5290</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145"/>
        </w:trPr>
        <w:tc>
          <w:tcPr>
            <w:tcW w:w="6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tcPr>
          <w:p>
            <w:pPr>
              <w:spacing w:after="0"/>
              <w:rPr>
                <w:sz w:val="12"/>
                <w:szCs w:val="12"/>
                <w:color w:val="auto"/>
              </w:rPr>
            </w:pPr>
          </w:p>
        </w:tc>
      </w:tr>
      <w:tr>
        <w:trPr>
          <w:trHeight w:val="190"/>
        </w:trPr>
        <w:tc>
          <w:tcPr>
            <w:tcW w:w="6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60" w:type="dxa"/>
            <w:vAlign w:val="bottom"/>
            <w:tcBorders>
              <w:right w:val="single" w:sz="8" w:color="auto"/>
            </w:tcBorders>
          </w:tcPr>
          <w:p>
            <w:pPr>
              <w:spacing w:after="0"/>
              <w:rPr>
                <w:sz w:val="16"/>
                <w:szCs w:val="16"/>
                <w:color w:val="auto"/>
              </w:rPr>
            </w:pPr>
          </w:p>
        </w:tc>
        <w:tc>
          <w:tcPr>
            <w:tcW w:w="4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PLMR</w:t>
            </w:r>
          </w:p>
        </w:tc>
        <w:tc>
          <w:tcPr>
            <w:tcW w:w="42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17" w:lineRule="exact"/>
        <w:rPr>
          <w:sz w:val="24"/>
          <w:szCs w:val="24"/>
          <w:color w:val="auto"/>
        </w:rPr>
      </w:pPr>
    </w:p>
    <w:p>
      <w:pPr>
        <w:jc w:val="both"/>
        <w:ind w:firstLine="74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right="20" w:firstLine="749"/>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p>
      <w:pPr>
        <w:spacing w:after="0" w:line="61"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5500" w:space="720"/>
            <w:col w:w="5020"/>
          </w:cols>
          <w:pgMar w:left="320" w:top="225"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75" w:lineRule="exact"/>
        <w:rPr>
          <w:sz w:val="24"/>
          <w:szCs w:val="24"/>
          <w:color w:val="auto"/>
        </w:rPr>
      </w:pPr>
    </w:p>
    <w:p>
      <w:pPr>
        <w:sectPr>
          <w:pgSz w:w="11900" w:h="16838" w:orient="portrait"/>
          <w:cols w:equalWidth="0" w:num="2">
            <w:col w:w="5500" w:space="720"/>
            <w:col w:w="5020"/>
          </w:cols>
          <w:pgMar w:left="320" w:top="225"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1440" w:gutter="0" w:footer="0" w:header="0"/>
          <w:type w:val="continuous"/>
        </w:sectPr>
      </w:pPr>
    </w:p>
    <w:p>
      <w:pPr>
        <w:spacing w:after="0" w:line="177" w:lineRule="exact"/>
        <w:rPr>
          <w:sz w:val="24"/>
          <w:szCs w:val="24"/>
          <w:color w:val="auto"/>
        </w:rPr>
      </w:pPr>
    </w:p>
    <w:p>
      <w:pPr>
        <w:ind w:firstLine="74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760" w:right="18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the registrant’s common shares outstanding at November 3, 2025: 26,501,692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80" w:type="dxa"/>
            <w:vAlign w:val="bottom"/>
            <w:gridSpan w:val="9"/>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9"/>
              </w:rPr>
              <w:t>PALOMAR HOLDINGS, INC.</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80" w:type="dxa"/>
            <w:vAlign w:val="bottom"/>
            <w:gridSpan w:val="9"/>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1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7340" w:type="dxa"/>
            <w:vAlign w:val="bottom"/>
            <w:gridSpan w:val="11"/>
            <w:vMerge w:val="restart"/>
          </w:tcPr>
          <w:p>
            <w:pPr>
              <w:spacing w:after="0"/>
              <w:rPr>
                <w:sz w:val="24"/>
                <w:szCs w:val="24"/>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100" w:type="dxa"/>
            <w:vAlign w:val="bottom"/>
            <w:tcBorders>
              <w:bottom w:val="single" w:sz="8" w:color="0000EE"/>
            </w:tcBorders>
            <w:gridSpan w:val="13"/>
            <w:vMerge w:val="continue"/>
          </w:tcPr>
          <w:p>
            <w:pPr>
              <w:spacing w:after="0"/>
              <w:rPr>
                <w:sz w:val="13"/>
                <w:szCs w:val="13"/>
                <w:color w:val="auto"/>
              </w:rPr>
            </w:pPr>
          </w:p>
        </w:tc>
        <w:tc>
          <w:tcPr>
            <w:tcW w:w="7340" w:type="dxa"/>
            <w:vAlign w:val="bottom"/>
            <w:gridSpan w:val="11"/>
            <w:vMerge w:val="continue"/>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8140" w:type="dxa"/>
            <w:vAlign w:val="bottom"/>
            <w:gridSpan w:val="16"/>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4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Condensed Consolidated Balance Sheets at September 30, 2025 (Unaudited) and December 31, 2024</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4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(Loss) (Unaudited) for the Three and Nine Months</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0" w:type="dxa"/>
            <w:vAlign w:val="bottom"/>
            <w:tcBorders>
              <w:top w:val="single" w:sz="8" w:color="0000EE"/>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Ended September 30, 2025 and 2024</w:t>
            </w:r>
          </w:p>
        </w:tc>
        <w:tc>
          <w:tcPr>
            <w:tcW w:w="4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Borders>
              <w:top w:val="single" w:sz="8" w:color="0000EE"/>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Condensed Consolidated Statements</w:t>
            </w:r>
          </w:p>
        </w:tc>
        <w:tc>
          <w:tcPr>
            <w:tcW w:w="698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of Changes in Stockholders’ Equity (Unaudited) for the Three and Nine Months Ended</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980" w:type="dxa"/>
            <w:vAlign w:val="bottom"/>
            <w:tcBorders>
              <w:top w:val="single" w:sz="8" w:color="0000EE"/>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September 30, 2025 and 2024</w:t>
            </w:r>
          </w:p>
        </w:tc>
        <w:tc>
          <w:tcPr>
            <w:tcW w:w="660" w:type="dxa"/>
            <w:vAlign w:val="bottom"/>
            <w:gridSpan w:val="2"/>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80" w:type="dxa"/>
            <w:vAlign w:val="bottom"/>
            <w:gridSpan w:val="2"/>
            <w:vMerge w:val="restart"/>
          </w:tcPr>
          <w:p>
            <w:pPr>
              <w:jc w:val="right"/>
              <w:ind w:right="1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40" w:type="dxa"/>
            <w:vAlign w:val="bottom"/>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Nine Months Ended September 30, 2025 and 2024</w:t>
            </w: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40" w:type="dxa"/>
            <w:vAlign w:val="bottom"/>
            <w:tcBorders>
              <w:top w:val="single" w:sz="8" w:color="0000EE"/>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00" w:type="dxa"/>
            <w:vAlign w:val="bottom"/>
            <w:gridSpan w:val="3"/>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2.</w:t>
            </w:r>
          </w:p>
        </w:tc>
        <w:tc>
          <w:tcPr>
            <w:tcW w:w="4900" w:type="dxa"/>
            <w:vAlign w:val="bottom"/>
            <w:tcBorders>
              <w:top w:val="single" w:sz="8" w:color="0000EE"/>
            </w:tcBorders>
            <w:gridSpan w:val="17"/>
          </w:tcPr>
          <w:p>
            <w:pPr>
              <w:spacing w:after="0" w:line="16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w:t>
            </w:r>
          </w:p>
        </w:tc>
        <w:tc>
          <w:tcPr>
            <w:tcW w:w="47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Results of Operations</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80" w:type="dxa"/>
            <w:vAlign w:val="bottom"/>
            <w:gridSpan w:val="5"/>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EE"/>
            </w:tcBorders>
            <w:gridSpan w:val="7"/>
          </w:tcPr>
          <w:p>
            <w:pPr>
              <w:spacing w:after="0"/>
              <w:rPr>
                <w:sz w:val="14"/>
                <w:szCs w:val="14"/>
                <w:color w:val="auto"/>
              </w:rPr>
            </w:pPr>
          </w:p>
        </w:tc>
        <w:tc>
          <w:tcPr>
            <w:tcW w:w="5280" w:type="dxa"/>
            <w:vAlign w:val="bottom"/>
            <w:gridSpan w:val="7"/>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8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640" w:type="dxa"/>
            <w:vAlign w:val="bottom"/>
            <w:gridSpan w:val="13"/>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0000EE"/>
              </w:rPr>
              <w:t>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gridSpan w:val="2"/>
          </w:tcPr>
          <w:p>
            <w:pPr>
              <w:spacing w:after="0"/>
              <w:rPr>
                <w:sz w:val="14"/>
                <w:szCs w:val="14"/>
                <w:color w:val="auto"/>
              </w:rPr>
            </w:pPr>
          </w:p>
        </w:tc>
        <w:tc>
          <w:tcPr>
            <w:tcW w:w="560" w:type="dxa"/>
            <w:vAlign w:val="bottom"/>
            <w:gridSpan w:val="5"/>
          </w:tcPr>
          <w:p>
            <w:pPr>
              <w:spacing w:after="0"/>
              <w:rPr>
                <w:sz w:val="14"/>
                <w:szCs w:val="14"/>
                <w:color w:val="auto"/>
              </w:rPr>
            </w:pPr>
          </w:p>
        </w:tc>
        <w:tc>
          <w:tcPr>
            <w:tcW w:w="2020" w:type="dxa"/>
            <w:vAlign w:val="bottom"/>
            <w:gridSpan w:val="2"/>
          </w:tcPr>
          <w:p>
            <w:pPr>
              <w:spacing w:after="0"/>
              <w:rPr>
                <w:sz w:val="14"/>
                <w:szCs w:val="14"/>
                <w:color w:val="auto"/>
              </w:rPr>
            </w:pPr>
          </w:p>
        </w:tc>
        <w:tc>
          <w:tcPr>
            <w:tcW w:w="5300" w:type="dxa"/>
            <w:vAlign w:val="bottom"/>
            <w:gridSpan w:val="8"/>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44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2.</w:t>
            </w:r>
          </w:p>
        </w:tc>
        <w:tc>
          <w:tcPr>
            <w:tcW w:w="900" w:type="dxa"/>
            <w:vAlign w:val="bottom"/>
            <w:tcBorders>
              <w:top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4"/>
              </w:rPr>
              <w:t>Unregistered</w:t>
            </w:r>
          </w:p>
        </w:tc>
        <w:tc>
          <w:tcPr>
            <w:tcW w:w="8740" w:type="dxa"/>
            <w:vAlign w:val="bottom"/>
            <w:gridSpan w:val="19"/>
          </w:tcPr>
          <w:p>
            <w:pPr>
              <w:ind w:left="60"/>
              <w:spacing w:after="0" w:line="169"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300" w:type="dxa"/>
            <w:vAlign w:val="bottom"/>
            <w:gridSpan w:val="8"/>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Mine Safety Disclosures</w:t>
            </w:r>
          </w:p>
        </w:tc>
        <w:tc>
          <w:tcPr>
            <w:tcW w:w="7320" w:type="dxa"/>
            <w:vAlign w:val="bottom"/>
            <w:gridSpan w:val="10"/>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Other Information</w:t>
            </w:r>
          </w:p>
        </w:tc>
        <w:tc>
          <w:tcPr>
            <w:tcW w:w="7880" w:type="dxa"/>
            <w:vAlign w:val="bottom"/>
            <w:gridSpan w:val="15"/>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Exhibits</w:t>
            </w:r>
          </w:p>
        </w:tc>
        <w:tc>
          <w:tcPr>
            <w:tcW w:w="8340" w:type="dxa"/>
            <w:vAlign w:val="bottom"/>
            <w:gridSpan w:val="18"/>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Borders>
              <w:top w:val="single" w:sz="8" w:color="0000EE"/>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76"/>
              </w:rPr>
              <w:t>Signatures</w:t>
            </w:r>
          </w:p>
        </w:tc>
        <w:tc>
          <w:tcPr>
            <w:tcW w:w="160" w:type="dxa"/>
            <w:vAlign w:val="bottom"/>
            <w:tcBorders>
              <w:bottom w:val="single" w:sz="8" w:color="0000EE"/>
            </w:tcBorders>
          </w:tcPr>
          <w:p>
            <w:pPr>
              <w:spacing w:after="0"/>
              <w:rPr>
                <w:sz w:val="14"/>
                <w:szCs w:val="14"/>
                <w:color w:val="auto"/>
              </w:rPr>
            </w:pPr>
          </w:p>
        </w:tc>
        <w:tc>
          <w:tcPr>
            <w:tcW w:w="8880" w:type="dxa"/>
            <w:vAlign w:val="bottom"/>
            <w:gridSpan w:val="20"/>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Times New Roman" w:cs="Times New Roman" w:eastAsia="Times New Roman" w:hAnsi="Times New Roman"/>
                <w:sz w:val="18"/>
                <w:szCs w:val="18"/>
                <w:color w:val="0000EE"/>
              </w:rPr>
              <w:t>67</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00" w:type="dxa"/>
            <w:vAlign w:val="bottom"/>
            <w:gridSpan w:val="17"/>
          </w:tcPr>
          <w:p>
            <w:pPr>
              <w:jc w:val="center"/>
              <w:ind w:left="4610"/>
              <w:spacing w:after="0"/>
              <w:rPr>
                <w:sz w:val="20"/>
                <w:szCs w:val="20"/>
                <w:color w:val="auto"/>
              </w:rPr>
            </w:pPr>
            <w:r>
              <w:rPr>
                <w:rFonts w:ascii="Times New Roman" w:cs="Times New Roman" w:eastAsia="Times New Roman" w:hAnsi="Times New Roman"/>
                <w:sz w:val="18"/>
                <w:szCs w:val="18"/>
                <w:color w:val="auto"/>
                <w:w w:val="88"/>
              </w:rPr>
              <w:t>2</w:t>
            </w: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6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889"/>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6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0"/>
        </w:trPr>
        <w:tc>
          <w:tcPr>
            <w:tcW w:w="1380" w:type="dxa"/>
            <w:vAlign w:val="bottom"/>
          </w:tcPr>
          <w:p>
            <w:pPr>
              <w:spacing w:after="0"/>
              <w:rPr>
                <w:sz w:val="24"/>
                <w:szCs w:val="24"/>
                <w:color w:val="auto"/>
              </w:rPr>
            </w:pPr>
          </w:p>
        </w:tc>
        <w:tc>
          <w:tcPr>
            <w:tcW w:w="6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62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par value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2"/>
        </w:trPr>
        <w:tc>
          <w:tcPr>
            <w:tcW w:w="13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138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13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190"/>
              <w:spacing w:after="0" w:line="182"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9"/>
        </w:trPr>
        <w:tc>
          <w:tcPr>
            <w:tcW w:w="762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189"/>
        </w:trPr>
        <w:tc>
          <w:tcPr>
            <w:tcW w:w="7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57"/>
        </w:trPr>
        <w:tc>
          <w:tcPr>
            <w:tcW w:w="7620" w:type="dxa"/>
            <w:vAlign w:val="bottom"/>
            <w:gridSpan w:val="2"/>
            <w:shd w:val="clear" w:color="auto" w:fill="CFF0FC"/>
          </w:tcPr>
          <w:p>
            <w:pPr>
              <w:ind w:left="140"/>
              <w:spacing w:after="0" w:line="157" w:lineRule="exact"/>
              <w:rPr>
                <w:sz w:val="20"/>
                <w:szCs w:val="20"/>
                <w:color w:val="auto"/>
              </w:rPr>
            </w:pPr>
            <w:r>
              <w:rPr>
                <w:rFonts w:ascii="Times New Roman" w:cs="Times New Roman" w:eastAsia="Times New Roman" w:hAnsi="Times New Roman"/>
                <w:sz w:val="18"/>
                <w:szCs w:val="18"/>
                <w:color w:val="auto"/>
              </w:rPr>
              <w:t>Fixed maturity securities available for sale, at fair value (amortized cost: $1,146,855 in 2025;</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221"/>
        </w:trPr>
        <w:tc>
          <w:tcPr>
            <w:tcW w:w="7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$973,330 in 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1,141,367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939,046</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securities, at fair value (cost: $38,482 in 2025; $32,987 in 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52,215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40,529</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Equity method investment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2,277</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19,534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5,863</w:t>
            </w:r>
          </w:p>
        </w:tc>
      </w:tr>
      <w:tr>
        <w:trPr>
          <w:trHeight w:val="183"/>
        </w:trPr>
        <w:tc>
          <w:tcPr>
            <w:tcW w:w="7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1,213,116</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987,715</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111,740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80,438</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101</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Accrued investment income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10,725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8,440</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Premiums receivable</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463,230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305,724</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Deferred policy acquisition costs, net of ceding commissions and fronting fees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125,076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94,881</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Reinsurance recoverable on paid losses and loss adjustment expenses</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36,907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47,076</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Reinsurance recoverable on unpaid losses and loss adjustment expenses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440,559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348,083</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Ceded unearned premiums</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361,260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276,237</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113,143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91,086</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2,537</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8,768</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2,695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w:t>
            </w:r>
          </w:p>
        </w:tc>
      </w:tr>
      <w:tr>
        <w:trPr>
          <w:trHeight w:val="189"/>
        </w:trPr>
        <w:tc>
          <w:tcPr>
            <w:tcW w:w="7620" w:type="dxa"/>
            <w:vAlign w:val="bottom"/>
            <w:tcBorders>
              <w:bottom w:val="single" w:sz="8" w:color="CFF0FC"/>
            </w:tcBorders>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Goodwill and intangible assets, net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62,538</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13,242</w:t>
            </w:r>
          </w:p>
        </w:tc>
      </w:tr>
      <w:tr>
        <w:trPr>
          <w:trHeight w:val="183"/>
        </w:trPr>
        <w:tc>
          <w:tcPr>
            <w:tcW w:w="7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2,943,546</w:t>
            </w:r>
          </w:p>
        </w:tc>
        <w:tc>
          <w:tcPr>
            <w:tcW w:w="34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2,262,220</w:t>
            </w:r>
          </w:p>
        </w:tc>
      </w:tr>
      <w:tr>
        <w:trPr>
          <w:trHeight w:val="20"/>
        </w:trPr>
        <w:tc>
          <w:tcPr>
            <w:tcW w:w="13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62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r>
      <w:tr>
        <w:trPr>
          <w:trHeight w:val="189"/>
        </w:trPr>
        <w:tc>
          <w:tcPr>
            <w:tcW w:w="7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109,391</w:t>
            </w:r>
          </w:p>
        </w:tc>
        <w:tc>
          <w:tcPr>
            <w:tcW w:w="34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70,079</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684,272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503,382</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Unearned premiums</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979,374</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741,692</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Ceded premium payable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253,446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190,168</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Funds held under reinsurance treaty</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37,204</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27,869</w:t>
            </w:r>
          </w:p>
        </w:tc>
      </w:tr>
      <w:tr>
        <w:trPr>
          <w:trHeight w:val="189"/>
        </w:trPr>
        <w:tc>
          <w:tcPr>
            <w:tcW w:w="7620" w:type="dxa"/>
            <w:vAlign w:val="bottom"/>
            <w:tcBorders>
              <w:bottom w:val="single" w:sz="8" w:color="CFF0FC"/>
            </w:tcBorders>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1,749</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2,065,436</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1,533,190</w:t>
            </w:r>
          </w:p>
        </w:tc>
      </w:tr>
      <w:tr>
        <w:trPr>
          <w:trHeight w:val="189"/>
        </w:trPr>
        <w:tc>
          <w:tcPr>
            <w:tcW w:w="7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57"/>
        </w:trPr>
        <w:tc>
          <w:tcPr>
            <w:tcW w:w="7620" w:type="dxa"/>
            <w:vAlign w:val="bottom"/>
            <w:gridSpan w:val="2"/>
            <w:shd w:val="clear" w:color="auto" w:fill="CFF0FC"/>
          </w:tcPr>
          <w:p>
            <w:pPr>
              <w:ind w:left="140"/>
              <w:spacing w:after="0" w:line="157"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0 shares issued and outstanding as of</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spacing w:after="0"/>
              <w:rPr>
                <w:sz w:val="13"/>
                <w:szCs w:val="13"/>
                <w:color w:val="auto"/>
              </w:rPr>
            </w:pPr>
          </w:p>
        </w:tc>
      </w:tr>
      <w:tr>
        <w:trPr>
          <w:trHeight w:val="221"/>
        </w:trPr>
        <w:tc>
          <w:tcPr>
            <w:tcW w:w="76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57"/>
        </w:trPr>
        <w:tc>
          <w:tcPr>
            <w:tcW w:w="7620" w:type="dxa"/>
            <w:vAlign w:val="bottom"/>
            <w:gridSpan w:val="2"/>
          </w:tcPr>
          <w:p>
            <w:pPr>
              <w:ind w:left="140"/>
              <w:spacing w:after="0" w:line="157"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26,494,524 and 26,529,402 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21"/>
        </w:trPr>
        <w:tc>
          <w:tcPr>
            <w:tcW w:w="7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September 30, 2025 and December 31, 2024, respectively</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189"/>
        </w:trPr>
        <w:tc>
          <w:tcPr>
            <w:tcW w:w="7620" w:type="dxa"/>
            <w:vAlign w:val="bottom"/>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516,355</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493,656</w:t>
            </w:r>
          </w:p>
        </w:tc>
      </w:tr>
      <w:tr>
        <w:trPr>
          <w:trHeight w:val="189"/>
        </w:trPr>
        <w:tc>
          <w:tcPr>
            <w:tcW w:w="76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(4,092)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(26,845)</w:t>
            </w:r>
          </w:p>
        </w:tc>
      </w:tr>
      <w:tr>
        <w:trPr>
          <w:trHeight w:val="189"/>
        </w:trPr>
        <w:tc>
          <w:tcPr>
            <w:tcW w:w="7620" w:type="dxa"/>
            <w:vAlign w:val="bottom"/>
            <w:tcBorders>
              <w:bottom w:val="single" w:sz="8" w:color="CFF0FC"/>
            </w:tcBorders>
            <w:gridSpan w:val="2"/>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365,844</w:t>
            </w:r>
          </w:p>
        </w:tc>
        <w:tc>
          <w:tcPr>
            <w:tcW w:w="18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262,216</w:t>
            </w:r>
          </w:p>
        </w:tc>
      </w:tr>
      <w:tr>
        <w:trPr>
          <w:trHeight w:val="182"/>
        </w:trPr>
        <w:tc>
          <w:tcPr>
            <w:tcW w:w="7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878,110</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729,030</w:t>
            </w:r>
          </w:p>
        </w:tc>
      </w:tr>
      <w:tr>
        <w:trPr>
          <w:trHeight w:val="203"/>
        </w:trPr>
        <w:tc>
          <w:tcPr>
            <w:tcW w:w="7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2,943,546</w:t>
            </w:r>
          </w:p>
        </w:tc>
        <w:tc>
          <w:tcPr>
            <w:tcW w:w="34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2,262,220</w:t>
            </w:r>
          </w:p>
        </w:tc>
      </w:tr>
      <w:tr>
        <w:trPr>
          <w:trHeight w:val="20"/>
        </w:trPr>
        <w:tc>
          <w:tcPr>
            <w:tcW w:w="1380" w:type="dxa"/>
            <w:vAlign w:val="bottom"/>
            <w:tcBorders>
              <w:top w:val="single" w:sz="8" w:color="CFF0FC"/>
            </w:tcBorders>
            <w:shd w:val="clear" w:color="auto" w:fill="CFF0FC"/>
          </w:tcPr>
          <w:p>
            <w:pPr>
              <w:spacing w:after="0" w:line="20" w:lineRule="exact"/>
              <w:rPr>
                <w:sz w:val="1"/>
                <w:szCs w:val="1"/>
                <w:color w:val="auto"/>
              </w:rPr>
            </w:pPr>
          </w:p>
        </w:tc>
        <w:tc>
          <w:tcPr>
            <w:tcW w:w="6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-2485390</wp:posOffset>
            </wp:positionV>
            <wp:extent cx="111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-1370965</wp:posOffset>
            </wp:positionV>
            <wp:extent cx="111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-281940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50"/>
        </w:trPr>
        <w:tc>
          <w:tcPr>
            <w:tcW w:w="1380" w:type="dxa"/>
            <w:vAlign w:val="bottom"/>
            <w:tcBorders>
              <w:top w:val="single" w:sz="8" w:color="0000FF"/>
            </w:tcBorders>
          </w:tcPr>
          <w:p>
            <w:pPr>
              <w:spacing w:after="0"/>
              <w:rPr>
                <w:sz w:val="24"/>
                <w:szCs w:val="24"/>
                <w:color w:val="auto"/>
              </w:rPr>
            </w:pPr>
          </w:p>
        </w:tc>
        <w:tc>
          <w:tcPr>
            <w:tcW w:w="5900" w:type="dxa"/>
            <w:vAlign w:val="bottom"/>
            <w:gridSpan w:val="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0"/>
        </w:trPr>
        <w:tc>
          <w:tcPr>
            <w:tcW w:w="1380" w:type="dxa"/>
            <w:vAlign w:val="bottom"/>
          </w:tcPr>
          <w:p>
            <w:pPr>
              <w:spacing w:after="0"/>
              <w:rPr>
                <w:sz w:val="24"/>
                <w:szCs w:val="24"/>
                <w:color w:val="auto"/>
              </w:rPr>
            </w:pPr>
          </w:p>
        </w:tc>
        <w:tc>
          <w:tcPr>
            <w:tcW w:w="8400" w:type="dxa"/>
            <w:vAlign w:val="bottom"/>
            <w:gridSpan w:val="9"/>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and Comprehensive Income (Unaudited)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6940" w:type="dxa"/>
            <w:vAlign w:val="bottom"/>
            <w:gridSpan w:val="6"/>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64"/>
        </w:trPr>
        <w:tc>
          <w:tcPr>
            <w:tcW w:w="13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5"/>
        </w:trPr>
        <w:tc>
          <w:tcPr>
            <w:tcW w:w="13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3"/>
        </w:trPr>
        <w:tc>
          <w:tcPr>
            <w:tcW w:w="13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56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Gross written premiums</w:t>
            </w:r>
          </w:p>
        </w:tc>
        <w:tc>
          <w:tcPr>
            <w:tcW w:w="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597,171</w:t>
            </w:r>
          </w:p>
        </w:tc>
        <w:tc>
          <w:tcPr>
            <w:tcW w:w="4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414,977</w:t>
            </w:r>
          </w:p>
        </w:tc>
        <w:tc>
          <w:tcPr>
            <w:tcW w:w="4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1,535,623</w:t>
            </w:r>
          </w:p>
        </w:tc>
        <w:tc>
          <w:tcPr>
            <w:tcW w:w="3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1,168,239</w:t>
            </w: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Ceded written premiums</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(321,927)</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(255,267)</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(819,171)</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(692,620)</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written premiums</w:t>
            </w:r>
          </w:p>
        </w:tc>
        <w:tc>
          <w:tcPr>
            <w:tcW w:w="22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275,244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159,710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716,452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475,619</w:t>
            </w: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unearned premiums</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(50,097)</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(24,064)</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(147,277)</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(109,823)</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225,147</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135,646</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569,175</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365,796</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14,572</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9,408</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40,014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24,506</w:t>
            </w: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2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3,493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2,734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9,461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5,768</w:t>
            </w: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Commission and other income</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1,448</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715</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3,954</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2,035</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244,660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148,503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622,604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398,105</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22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72,812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40,315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157,739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97,583</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56,270</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41,469</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154,266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109,072</w:t>
            </w: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underwriting expenses</w:t>
            </w:r>
          </w:p>
        </w:tc>
        <w:tc>
          <w:tcPr>
            <w:tcW w:w="22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48,306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28,129</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129,563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84,165</w:t>
            </w: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304</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1,052</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177,521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110,000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441,872</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291,872</w:t>
            </w:r>
          </w:p>
        </w:tc>
      </w:tr>
      <w:tr>
        <w:trPr>
          <w:trHeight w:val="189"/>
        </w:trPr>
        <w:tc>
          <w:tcPr>
            <w:tcW w:w="5600" w:type="dxa"/>
            <w:vAlign w:val="bottom"/>
            <w:gridSpan w:val="2"/>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67,139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38,503</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180,732</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106,233</w:t>
            </w: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15,684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8,006</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39,827</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23,625</w:t>
            </w:r>
          </w:p>
        </w:tc>
      </w:tr>
      <w:tr>
        <w:trPr>
          <w:trHeight w:val="223"/>
        </w:trPr>
        <w:tc>
          <w:tcPr>
            <w:tcW w:w="5600" w:type="dxa"/>
            <w:vAlign w:val="bottom"/>
            <w:gridSpan w:val="2"/>
            <w:shd w:val="clear" w:color="auto" w:fill="CFF0FC"/>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51,455</w:t>
            </w:r>
          </w:p>
        </w:tc>
        <w:tc>
          <w:tcPr>
            <w:tcW w:w="400" w:type="dxa"/>
            <w:vAlign w:val="bottom"/>
            <w:gridSpan w:val="2"/>
            <w:shd w:val="clear" w:color="auto" w:fill="CFF0FC"/>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30,497</w:t>
            </w:r>
          </w:p>
        </w:tc>
        <w:tc>
          <w:tcPr>
            <w:tcW w:w="40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140,905</w:t>
            </w:r>
          </w:p>
        </w:tc>
        <w:tc>
          <w:tcPr>
            <w:tcW w:w="38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82,608</w:t>
            </w:r>
          </w:p>
        </w:tc>
      </w:tr>
      <w:tr>
        <w:trPr>
          <w:trHeight w:val="169"/>
        </w:trPr>
        <w:tc>
          <w:tcPr>
            <w:tcW w:w="5600" w:type="dxa"/>
            <w:vAlign w:val="bottom"/>
            <w:tcBorders>
              <w:top w:val="single" w:sz="8" w:color="CFF0FC"/>
            </w:tcBorders>
            <w:gridSpan w:val="2"/>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189"/>
        </w:trPr>
        <w:tc>
          <w:tcPr>
            <w:tcW w:w="56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on securities available for sale</w:t>
            </w: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9,541</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17,916</w:t>
            </w:r>
          </w:p>
        </w:tc>
        <w:tc>
          <w:tcPr>
            <w:tcW w:w="1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22,753</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13,852</w:t>
            </w:r>
          </w:p>
        </w:tc>
      </w:tr>
      <w:tr>
        <w:trPr>
          <w:trHeight w:val="183"/>
        </w:trPr>
        <w:tc>
          <w:tcPr>
            <w:tcW w:w="56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comprehensive income</w:t>
            </w:r>
          </w:p>
        </w:tc>
        <w:tc>
          <w:tcPr>
            <w:tcW w:w="220" w:type="dxa"/>
            <w:vAlign w:val="bottom"/>
          </w:tcPr>
          <w:p>
            <w:pPr>
              <w:jc w:val="center"/>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60,996</w:t>
            </w:r>
          </w:p>
        </w:tc>
        <w:tc>
          <w:tcPr>
            <w:tcW w:w="40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48,413</w:t>
            </w:r>
          </w:p>
        </w:tc>
        <w:tc>
          <w:tcPr>
            <w:tcW w:w="40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163,658</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96,460</w:t>
            </w:r>
          </w:p>
        </w:tc>
      </w:tr>
      <w:tr>
        <w:trPr>
          <w:trHeight w:val="20"/>
        </w:trPr>
        <w:tc>
          <w:tcPr>
            <w:tcW w:w="13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560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1.93</w:t>
            </w:r>
          </w:p>
        </w:tc>
        <w:tc>
          <w:tcPr>
            <w:tcW w:w="40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1.18</w:t>
            </w:r>
          </w:p>
        </w:tc>
        <w:tc>
          <w:tcPr>
            <w:tcW w:w="4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3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3.28</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shd w:val="clear" w:color="auto" w:fill="CFF0FC"/>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1.87</w:t>
            </w:r>
          </w:p>
        </w:tc>
        <w:tc>
          <w:tcPr>
            <w:tcW w:w="40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1.15</w:t>
            </w:r>
          </w:p>
        </w:tc>
        <w:tc>
          <w:tcPr>
            <w:tcW w:w="40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5.12</w:t>
            </w:r>
          </w:p>
        </w:tc>
        <w:tc>
          <w:tcPr>
            <w:tcW w:w="38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3.19</w:t>
            </w:r>
          </w:p>
        </w:tc>
      </w:tr>
      <w:tr>
        <w:trPr>
          <w:trHeight w:val="189"/>
        </w:trPr>
        <w:tc>
          <w:tcPr>
            <w:tcW w:w="560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56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26,637,592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25,766,697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26,683,856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25,194,114</w:t>
            </w:r>
          </w:p>
        </w:tc>
      </w:tr>
      <w:tr>
        <w:trPr>
          <w:trHeight w:val="189"/>
        </w:trPr>
        <w:tc>
          <w:tcPr>
            <w:tcW w:w="56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27,446,519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26,479,566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27,533,533</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25,877,257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-3222625</wp:posOffset>
            </wp:positionV>
            <wp:extent cx="94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-3222625</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-3222625</wp:posOffset>
            </wp:positionV>
            <wp:extent cx="94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-2973705</wp:posOffset>
            </wp:positionV>
            <wp:extent cx="94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-2973705</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-2973705</wp:posOffset>
            </wp:positionV>
            <wp:extent cx="94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-2485390</wp:posOffset>
            </wp:positionV>
            <wp:extent cx="94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-2485390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-2485390</wp:posOffset>
            </wp:positionV>
            <wp:extent cx="94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-1757045</wp:posOffset>
            </wp:positionV>
            <wp:extent cx="94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-1757045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-1757045</wp:posOffset>
            </wp:positionV>
            <wp:extent cx="94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-1259205</wp:posOffset>
            </wp:positionV>
            <wp:extent cx="94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-1242695</wp:posOffset>
            </wp:positionV>
            <wp:extent cx="94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-1259205</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-1242695</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-1259205</wp:posOffset>
            </wp:positionV>
            <wp:extent cx="9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-1242695</wp:posOffset>
            </wp:positionV>
            <wp:extent cx="94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-993775</wp:posOffset>
            </wp:positionV>
            <wp:extent cx="94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-993775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-993775</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138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37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4"/>
                <w:szCs w:val="24"/>
                <w:color w:val="auto"/>
              </w:rPr>
            </w:pPr>
          </w:p>
        </w:tc>
        <w:tc>
          <w:tcPr>
            <w:tcW w:w="7540" w:type="dxa"/>
            <w:vAlign w:val="bottom"/>
            <w:gridSpan w:val="1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(Unaudited)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6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Comprehensi</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80" w:type="dxa"/>
            <w:vAlign w:val="bottom"/>
            <w:gridSpan w:val="2"/>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3"/>
              </w:rPr>
              <w:t>ve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26,529,402</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493,656</w:t>
            </w:r>
          </w:p>
        </w:tc>
        <w:tc>
          <w:tcPr>
            <w:tcW w:w="280" w:type="dxa"/>
            <w:vAlign w:val="bottom"/>
            <w:gridSpan w:val="2"/>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(26,845)</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262,216</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729,030</w:t>
            </w:r>
          </w:p>
        </w:tc>
        <w:tc>
          <w:tcPr>
            <w:tcW w:w="0" w:type="dxa"/>
            <w:vAlign w:val="bottom"/>
          </w:tcPr>
          <w:p>
            <w:pPr>
              <w:spacing w:after="0"/>
              <w:rPr>
                <w:sz w:val="1"/>
                <w:szCs w:val="1"/>
                <w:color w:val="auto"/>
              </w:rPr>
            </w:pPr>
          </w:p>
        </w:tc>
      </w:tr>
      <w:tr>
        <w:trPr>
          <w:trHeight w:val="183"/>
        </w:trPr>
        <w:tc>
          <w:tcPr>
            <w:tcW w:w="3620" w:type="dxa"/>
            <w:vAlign w:val="bottom"/>
            <w:tcBorders>
              <w:top w:val="single" w:sz="8" w:color="CFF0FC"/>
            </w:tcBorders>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2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10,203</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10,203</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157"/>
        </w:trPr>
        <w:tc>
          <w:tcPr>
            <w:tcW w:w="36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employee stock</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199,420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Offering costs (related to prior year offering)</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42,922</w:t>
            </w: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March 31, 2025</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26,735,132</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501,950</w:t>
            </w:r>
          </w:p>
        </w:tc>
        <w:tc>
          <w:tcPr>
            <w:tcW w:w="280" w:type="dxa"/>
            <w:vAlign w:val="bottom"/>
            <w:gridSpan w:val="2"/>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(16,642)</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305,138</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790,449</w:t>
            </w:r>
          </w:p>
        </w:tc>
        <w:tc>
          <w:tcPr>
            <w:tcW w:w="0" w:type="dxa"/>
            <w:vAlign w:val="bottom"/>
          </w:tcPr>
          <w:p>
            <w:pPr>
              <w:spacing w:after="0"/>
              <w:rPr>
                <w:sz w:val="1"/>
                <w:szCs w:val="1"/>
                <w:color w:val="auto"/>
              </w:rPr>
            </w:pPr>
          </w:p>
        </w:tc>
      </w:tr>
      <w:tr>
        <w:trPr>
          <w:trHeight w:val="183"/>
        </w:trPr>
        <w:tc>
          <w:tcPr>
            <w:tcW w:w="3620" w:type="dxa"/>
            <w:vAlign w:val="bottom"/>
            <w:tcBorders>
              <w:top w:val="single" w:sz="8" w:color="CFF0FC"/>
            </w:tcBorders>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2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3,009</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5,347</w:t>
            </w:r>
          </w:p>
        </w:tc>
        <w:tc>
          <w:tcPr>
            <w:tcW w:w="0" w:type="dxa"/>
            <w:vAlign w:val="bottom"/>
          </w:tcPr>
          <w:p>
            <w:pPr>
              <w:spacing w:after="0"/>
              <w:rPr>
                <w:sz w:val="1"/>
                <w:szCs w:val="1"/>
                <w:color w:val="auto"/>
              </w:rPr>
            </w:pPr>
          </w:p>
        </w:tc>
      </w:tr>
      <w:tr>
        <w:trPr>
          <w:trHeight w:val="157"/>
        </w:trPr>
        <w:tc>
          <w:tcPr>
            <w:tcW w:w="36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employee stock</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42,066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FF0FC"/>
            </w:tcBorders>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46,528</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46,528</w:t>
            </w:r>
          </w:p>
        </w:tc>
        <w:tc>
          <w:tcPr>
            <w:tcW w:w="0" w:type="dxa"/>
            <w:vAlign w:val="bottom"/>
          </w:tcPr>
          <w:p>
            <w:pPr>
              <w:spacing w:after="0"/>
              <w:rPr>
                <w:sz w:val="1"/>
                <w:szCs w:val="1"/>
                <w:color w:val="auto"/>
              </w:rPr>
            </w:pPr>
          </w:p>
        </w:tc>
      </w:tr>
      <w:tr>
        <w:trPr>
          <w:trHeight w:val="183"/>
        </w:trPr>
        <w:tc>
          <w:tcPr>
            <w:tcW w:w="3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June 30, 2025</w:t>
            </w:r>
          </w:p>
        </w:tc>
        <w:tc>
          <w:tcPr>
            <w:tcW w:w="12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26,777,198</w:t>
            </w:r>
          </w:p>
        </w:tc>
        <w:tc>
          <w:tcPr>
            <w:tcW w:w="2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509,161</w:t>
            </w:r>
          </w:p>
        </w:tc>
        <w:tc>
          <w:tcPr>
            <w:tcW w:w="2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(13,633)</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351,666</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847,197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620" w:type="dxa"/>
            <w:vAlign w:val="bottom"/>
            <w:gridSpan w:val="2"/>
            <w:shd w:val="clear" w:color="auto" w:fill="CFF0FC"/>
          </w:tcPr>
          <w:p>
            <w:pPr>
              <w:ind w:left="40"/>
              <w:spacing w:after="0" w:line="170"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20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9,541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9,541</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5,379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employee stock</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157"/>
        </w:trPr>
        <w:tc>
          <w:tcPr>
            <w:tcW w:w="36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1,106</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Offering costs (related to prior year offering)</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Repurchases of common stock</w:t>
            </w: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(308,417)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(37,277)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(37,277)</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51,455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51,455</w:t>
            </w:r>
          </w:p>
        </w:tc>
        <w:tc>
          <w:tcPr>
            <w:tcW w:w="0" w:type="dxa"/>
            <w:vAlign w:val="bottom"/>
          </w:tcPr>
          <w:p>
            <w:pPr>
              <w:spacing w:after="0"/>
              <w:rPr>
                <w:sz w:val="1"/>
                <w:szCs w:val="1"/>
                <w:color w:val="auto"/>
              </w:rPr>
            </w:pPr>
          </w:p>
        </w:tc>
      </w:tr>
      <w:tr>
        <w:trPr>
          <w:trHeight w:val="203"/>
        </w:trPr>
        <w:tc>
          <w:tcPr>
            <w:tcW w:w="3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September 30, 2025</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26,494,524</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516,355</w:t>
            </w:r>
          </w:p>
        </w:tc>
        <w:tc>
          <w:tcPr>
            <w:tcW w:w="280" w:type="dxa"/>
            <w:vAlign w:val="bottom"/>
            <w:gridSpan w:val="2"/>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(4,092)</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365,844</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878,110</w:t>
            </w:r>
          </w:p>
        </w:tc>
        <w:tc>
          <w:tcPr>
            <w:tcW w:w="0" w:type="dxa"/>
            <w:vAlign w:val="bottom"/>
          </w:tcPr>
          <w:p>
            <w:pPr>
              <w:spacing w:after="0"/>
              <w:rPr>
                <w:sz w:val="1"/>
                <w:szCs w:val="1"/>
                <w:color w:val="auto"/>
              </w:rPr>
            </w:pPr>
          </w:p>
        </w:tc>
      </w:tr>
      <w:tr>
        <w:trPr>
          <w:trHeight w:val="20"/>
        </w:trPr>
        <w:tc>
          <w:tcPr>
            <w:tcW w:w="138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-3693795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-3693795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-3693795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-3693795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-3693795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-2476500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-2476500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-2476500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-2476500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-2476500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-1508125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-1508125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-1508125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-1508125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-1508125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-8255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-8255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1380" w:type="dxa"/>
            <w:vAlign w:val="bottom"/>
            <w:tcBorders>
              <w:top w:val="single" w:sz="8" w:color="0000FF"/>
            </w:tcBorders>
          </w:tcPr>
          <w:p>
            <w:pPr>
              <w:spacing w:after="0"/>
              <w:rPr>
                <w:sz w:val="24"/>
                <w:szCs w:val="24"/>
                <w:color w:val="auto"/>
              </w:rPr>
            </w:pPr>
          </w:p>
        </w:tc>
        <w:tc>
          <w:tcPr>
            <w:tcW w:w="2240" w:type="dxa"/>
            <w:vAlign w:val="bottom"/>
          </w:tcPr>
          <w:p>
            <w:pPr>
              <w:spacing w:after="0"/>
              <w:rPr>
                <w:sz w:val="24"/>
                <w:szCs w:val="24"/>
                <w:color w:val="auto"/>
              </w:rPr>
            </w:pPr>
          </w:p>
        </w:tc>
        <w:tc>
          <w:tcPr>
            <w:tcW w:w="3760" w:type="dxa"/>
            <w:vAlign w:val="bottom"/>
            <w:gridSpan w:val="7"/>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80" w:type="dxa"/>
            <w:vAlign w:val="bottom"/>
          </w:tcPr>
          <w:p>
            <w:pPr>
              <w:spacing w:after="0"/>
              <w:rPr>
                <w:sz w:val="24"/>
                <w:szCs w:val="24"/>
                <w:color w:val="auto"/>
              </w:rPr>
            </w:pPr>
          </w:p>
        </w:tc>
        <w:tc>
          <w:tcPr>
            <w:tcW w:w="7540" w:type="dxa"/>
            <w:vAlign w:val="bottom"/>
            <w:gridSpan w:val="1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 (Unaudited)</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760" w:type="dxa"/>
            <w:vAlign w:val="bottom"/>
            <w:gridSpan w:val="7"/>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Comprehensi</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6"/>
                <w:szCs w:val="16"/>
                <w:color w:val="auto"/>
              </w:rPr>
            </w:pPr>
          </w:p>
        </w:tc>
        <w:tc>
          <w:tcPr>
            <w:tcW w:w="1180" w:type="dxa"/>
            <w:vAlign w:val="bottom"/>
            <w:gridSpan w:val="2"/>
          </w:tcPr>
          <w:p>
            <w:pPr>
              <w:jc w:val="center"/>
              <w:ind w:right="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w w:val="93"/>
              </w:rPr>
              <w:t>ve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2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Income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Balance at December 31, 2023</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24,772,987</w:t>
            </w:r>
          </w:p>
        </w:tc>
        <w:tc>
          <w:tcPr>
            <w:tcW w:w="24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350,597</w:t>
            </w:r>
          </w:p>
        </w:tc>
        <w:tc>
          <w:tcPr>
            <w:tcW w:w="280" w:type="dxa"/>
            <w:vAlign w:val="bottom"/>
            <w:gridSpan w:val="2"/>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(23,991)</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144,643</w:t>
            </w:r>
          </w:p>
        </w:tc>
        <w:tc>
          <w:tcPr>
            <w:tcW w:w="3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471,252</w:t>
            </w:r>
          </w:p>
        </w:tc>
        <w:tc>
          <w:tcPr>
            <w:tcW w:w="0" w:type="dxa"/>
            <w:vAlign w:val="bottom"/>
          </w:tcPr>
          <w:p>
            <w:pPr>
              <w:spacing w:after="0"/>
              <w:rPr>
                <w:sz w:val="1"/>
                <w:szCs w:val="1"/>
                <w:color w:val="auto"/>
              </w:rPr>
            </w:pPr>
          </w:p>
        </w:tc>
      </w:tr>
      <w:tr>
        <w:trPr>
          <w:trHeight w:val="183"/>
        </w:trPr>
        <w:tc>
          <w:tcPr>
            <w:tcW w:w="3620" w:type="dxa"/>
            <w:vAlign w:val="bottom"/>
            <w:tcBorders>
              <w:top w:val="single" w:sz="8" w:color="CFF0FC"/>
            </w:tcBorders>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189"/>
        </w:trPr>
        <w:tc>
          <w:tcPr>
            <w:tcW w:w="3620" w:type="dxa"/>
            <w:vAlign w:val="bottom"/>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3,820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3,820</w:t>
            </w:r>
          </w:p>
        </w:tc>
        <w:tc>
          <w:tcPr>
            <w:tcW w:w="0" w:type="dxa"/>
            <w:vAlign w:val="bottom"/>
          </w:tcPr>
          <w:p>
            <w:pPr>
              <w:spacing w:after="0"/>
              <w:rPr>
                <w:sz w:val="1"/>
                <w:szCs w:val="1"/>
                <w:color w:val="auto"/>
              </w:rPr>
            </w:pPr>
          </w:p>
        </w:tc>
      </w:tr>
      <w:tr>
        <w:trPr>
          <w:trHeight w:val="157"/>
        </w:trPr>
        <w:tc>
          <w:tcPr>
            <w:tcW w:w="36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employee stock</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9,806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138,267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FF0FC"/>
            </w:tcBorders>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26,382</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26,382</w:t>
            </w:r>
          </w:p>
        </w:tc>
        <w:tc>
          <w:tcPr>
            <w:tcW w:w="0" w:type="dxa"/>
            <w:vAlign w:val="bottom"/>
          </w:tcPr>
          <w:p>
            <w:pPr>
              <w:spacing w:after="0"/>
              <w:rPr>
                <w:sz w:val="1"/>
                <w:szCs w:val="1"/>
                <w:color w:val="auto"/>
              </w:rPr>
            </w:pPr>
          </w:p>
        </w:tc>
      </w:tr>
      <w:tr>
        <w:trPr>
          <w:trHeight w:val="183"/>
        </w:trPr>
        <w:tc>
          <w:tcPr>
            <w:tcW w:w="3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March 31, 2024</w:t>
            </w:r>
          </w:p>
        </w:tc>
        <w:tc>
          <w:tcPr>
            <w:tcW w:w="12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24,921,060</w:t>
            </w:r>
          </w:p>
        </w:tc>
        <w:tc>
          <w:tcPr>
            <w:tcW w:w="2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357,135</w:t>
            </w:r>
          </w:p>
        </w:tc>
        <w:tc>
          <w:tcPr>
            <w:tcW w:w="2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(26,505)</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171,025</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501,658</w:t>
            </w: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loss, net of tax</w:t>
            </w:r>
          </w:p>
        </w:tc>
        <w:tc>
          <w:tcPr>
            <w:tcW w:w="120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(1,550)</w:t>
            </w: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63,578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FF0FC"/>
            </w:tcBorders>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25,729</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25,729</w:t>
            </w:r>
          </w:p>
        </w:tc>
        <w:tc>
          <w:tcPr>
            <w:tcW w:w="0" w:type="dxa"/>
            <w:vAlign w:val="bottom"/>
          </w:tcPr>
          <w:p>
            <w:pPr>
              <w:spacing w:after="0"/>
              <w:rPr>
                <w:sz w:val="1"/>
                <w:szCs w:val="1"/>
                <w:color w:val="auto"/>
              </w:rPr>
            </w:pPr>
          </w:p>
        </w:tc>
      </w:tr>
      <w:tr>
        <w:trPr>
          <w:trHeight w:val="182"/>
        </w:trPr>
        <w:tc>
          <w:tcPr>
            <w:tcW w:w="3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June 30, 2024</w:t>
            </w:r>
          </w:p>
        </w:tc>
        <w:tc>
          <w:tcPr>
            <w:tcW w:w="12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24,984,638</w:t>
            </w:r>
          </w:p>
        </w:tc>
        <w:tc>
          <w:tcPr>
            <w:tcW w:w="2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363,904</w:t>
            </w:r>
          </w:p>
        </w:tc>
        <w:tc>
          <w:tcPr>
            <w:tcW w:w="2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(28,055)</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196,754</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532,606</w:t>
            </w:r>
          </w:p>
        </w:tc>
        <w:tc>
          <w:tcPr>
            <w:tcW w:w="0" w:type="dxa"/>
            <w:vAlign w:val="bottom"/>
          </w:tcPr>
          <w:p>
            <w:pPr>
              <w:spacing w:after="0"/>
              <w:rPr>
                <w:sz w:val="1"/>
                <w:szCs w:val="1"/>
                <w:color w:val="auto"/>
              </w:rPr>
            </w:pPr>
          </w:p>
        </w:tc>
      </w:tr>
      <w:tr>
        <w:trPr>
          <w:trHeight w:val="183"/>
        </w:trPr>
        <w:tc>
          <w:tcPr>
            <w:tcW w:w="3620" w:type="dxa"/>
            <w:vAlign w:val="bottom"/>
            <w:gridSpan w:val="2"/>
            <w:shd w:val="clear" w:color="auto" w:fill="CFF0FC"/>
          </w:tcPr>
          <w:p>
            <w:pPr>
              <w:ind w:left="40"/>
              <w:spacing w:after="0" w:line="182"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120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17,916</w:t>
            </w: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17,916</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in stock offering,</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of offering costs</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1,380,000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115,724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115,724</w:t>
            </w:r>
          </w:p>
        </w:tc>
        <w:tc>
          <w:tcPr>
            <w:tcW w:w="0" w:type="dxa"/>
            <w:vAlign w:val="bottom"/>
          </w:tcPr>
          <w:p>
            <w:pPr>
              <w:spacing w:after="0"/>
              <w:rPr>
                <w:sz w:val="1"/>
                <w:szCs w:val="1"/>
                <w:color w:val="auto"/>
              </w:rPr>
            </w:pPr>
          </w:p>
        </w:tc>
      </w:tr>
      <w:tr>
        <w:trPr>
          <w:trHeight w:val="157"/>
        </w:trPr>
        <w:tc>
          <w:tcPr>
            <w:tcW w:w="3620" w:type="dxa"/>
            <w:vAlign w:val="bottom"/>
            <w:gridSpan w:val="2"/>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employee stock</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157"/>
        </w:trPr>
        <w:tc>
          <w:tcPr>
            <w:tcW w:w="3620" w:type="dxa"/>
            <w:vAlign w:val="bottom"/>
            <w:gridSpan w:val="2"/>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Issuance of common stock via equity incentive</w:t>
            </w: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6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80,310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189"/>
        </w:trPr>
        <w:tc>
          <w:tcPr>
            <w:tcW w:w="36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Policyholder contribution to surplus</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CFF0FC"/>
            </w:tcBorders>
            <w:gridSpan w:val="2"/>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30,497</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30,497</w:t>
            </w:r>
          </w:p>
        </w:tc>
        <w:tc>
          <w:tcPr>
            <w:tcW w:w="0" w:type="dxa"/>
            <w:vAlign w:val="bottom"/>
          </w:tcPr>
          <w:p>
            <w:pPr>
              <w:spacing w:after="0"/>
              <w:rPr>
                <w:sz w:val="1"/>
                <w:szCs w:val="1"/>
                <w:color w:val="auto"/>
              </w:rPr>
            </w:pPr>
          </w:p>
        </w:tc>
      </w:tr>
      <w:tr>
        <w:trPr>
          <w:trHeight w:val="183"/>
        </w:trPr>
        <w:tc>
          <w:tcPr>
            <w:tcW w:w="36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Balance at September 30, 2024</w:t>
            </w:r>
          </w:p>
        </w:tc>
        <w:tc>
          <w:tcPr>
            <w:tcW w:w="12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26,452,242</w:t>
            </w:r>
          </w:p>
        </w:tc>
        <w:tc>
          <w:tcPr>
            <w:tcW w:w="24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486,198</w:t>
            </w:r>
          </w:p>
        </w:tc>
        <w:tc>
          <w:tcPr>
            <w:tcW w:w="28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(10,139)</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227,251</w:t>
            </w:r>
          </w:p>
        </w:tc>
        <w:tc>
          <w:tcPr>
            <w:tcW w:w="3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703,313</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-3316605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-3316605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-3316605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-3316605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-3316605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-2348230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-2348230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-2348230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-2348230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-2348230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-1490980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-1490980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-1490980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-1490980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-1490980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-153670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-153670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-153670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-153670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-153670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925"/>
        </w:trPr>
        <w:tc>
          <w:tcPr>
            <w:tcW w:w="1380" w:type="dxa"/>
            <w:vAlign w:val="bottom"/>
            <w:tcBorders>
              <w:top w:val="single" w:sz="8" w:color="0000FF"/>
            </w:tcBorders>
          </w:tcPr>
          <w:p>
            <w:pPr>
              <w:spacing w:after="0"/>
              <w:rPr>
                <w:sz w:val="24"/>
                <w:szCs w:val="24"/>
                <w:color w:val="auto"/>
              </w:rPr>
            </w:pPr>
          </w:p>
        </w:tc>
        <w:tc>
          <w:tcPr>
            <w:tcW w:w="6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6820" w:type="dxa"/>
            <w:vAlign w:val="bottom"/>
            <w:gridSpan w:val="3"/>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6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42"/>
        </w:trPr>
        <w:tc>
          <w:tcPr>
            <w:tcW w:w="13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40" w:type="dxa"/>
            <w:vAlign w:val="bottom"/>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5"/>
        </w:trPr>
        <w:tc>
          <w:tcPr>
            <w:tcW w:w="138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Borders>
              <w:bottom w:val="single" w:sz="8" w:color="auto"/>
            </w:tcBorders>
          </w:tcPr>
          <w:p>
            <w:pPr>
              <w:spacing w:after="0"/>
              <w:rPr>
                <w:sz w:val="19"/>
                <w:szCs w:val="19"/>
                <w:color w:val="auto"/>
              </w:rPr>
            </w:pPr>
          </w:p>
        </w:tc>
      </w:tr>
      <w:tr>
        <w:trPr>
          <w:trHeight w:val="183"/>
        </w:trPr>
        <w:tc>
          <w:tcPr>
            <w:tcW w:w="138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746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746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74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291,705</w:t>
            </w:r>
          </w:p>
        </w:tc>
        <w:tc>
          <w:tcPr>
            <w:tcW w:w="680" w:type="dxa"/>
            <w:vAlign w:val="bottom"/>
            <w:gridSpan w:val="2"/>
          </w:tcPr>
          <w:p>
            <w:pPr>
              <w:jc w:val="right"/>
              <w:ind w:right="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188,520</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(194)</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Capitalized software costs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(4,583)</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(4,115)</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Purchases of fixed maturity securities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(710,495)</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(448,968)</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Purchases of equity securities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(10,261)</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(202)</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557,125</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227,748</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Sales of equity securities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12,956</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9,014</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(522)</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(2,960)</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Investments in limited partnerships and other assets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(12,661)</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(5,207)</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Purchase of policy renewal rights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Acquisitions, net of cash acquired</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(61,509)</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460" w:type="dxa"/>
            <w:vAlign w:val="bottom"/>
            <w:gridSpan w:val="2"/>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(230,435)</w:t>
            </w: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(224,884)</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Payments on line of credit</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(15,000)</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(52,600)</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Proceeds from line of credit</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stock offering, net of offering costs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115,724</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1,165</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902</w:t>
            </w: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3,346</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5,033</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Policy holder contribution to surplus</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2,858</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2,037</w:t>
            </w:r>
          </w:p>
        </w:tc>
      </w:tr>
      <w:tr>
        <w:trPr>
          <w:trHeight w:val="189"/>
        </w:trPr>
        <w:tc>
          <w:tcPr>
            <w:tcW w:w="746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(37,277)</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746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(30,049)</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71,096</w:t>
            </w:r>
          </w:p>
        </w:tc>
      </w:tr>
      <w:tr>
        <w:trPr>
          <w:trHeight w:val="183"/>
        </w:trPr>
        <w:tc>
          <w:tcPr>
            <w:tcW w:w="7460" w:type="dxa"/>
            <w:vAlign w:val="bottom"/>
            <w:gridSpan w:val="2"/>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31,221</w:t>
            </w: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34,732</w:t>
            </w:r>
          </w:p>
        </w:tc>
      </w:tr>
      <w:tr>
        <w:trPr>
          <w:trHeight w:val="189"/>
        </w:trPr>
        <w:tc>
          <w:tcPr>
            <w:tcW w:w="74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80,539</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51,852</w:t>
            </w:r>
          </w:p>
        </w:tc>
      </w:tr>
      <w:tr>
        <w:trPr>
          <w:trHeight w:val="223"/>
        </w:trPr>
        <w:tc>
          <w:tcPr>
            <w:tcW w:w="746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740" w:type="dxa"/>
            <w:vAlign w:val="bottom"/>
            <w:gridSpan w:val="2"/>
            <w:shd w:val="clear" w:color="auto" w:fill="CFF0FC"/>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111,760</w:t>
            </w:r>
          </w:p>
        </w:tc>
        <w:tc>
          <w:tcPr>
            <w:tcW w:w="680" w:type="dxa"/>
            <w:vAlign w:val="bottom"/>
            <w:gridSpan w:val="2"/>
            <w:shd w:val="clear" w:color="auto" w:fill="CFF0FC"/>
          </w:tcPr>
          <w:p>
            <w:pPr>
              <w:jc w:val="right"/>
              <w:ind w:right="4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86,584</w:t>
            </w:r>
          </w:p>
        </w:tc>
      </w:tr>
      <w:tr>
        <w:trPr>
          <w:trHeight w:val="169"/>
        </w:trPr>
        <w:tc>
          <w:tcPr>
            <w:tcW w:w="7460" w:type="dxa"/>
            <w:vAlign w:val="bottom"/>
            <w:tcBorders>
              <w:top w:val="single" w:sz="8" w:color="CFF0FC"/>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Supplementary cash flow information:</w:t>
            </w:r>
          </w:p>
        </w:tc>
        <w:tc>
          <w:tcPr>
            <w:tcW w:w="280" w:type="dxa"/>
            <w:vAlign w:val="bottom"/>
            <w:tcBorders>
              <w:top w:val="single" w:sz="8" w:color="CFF0FC"/>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189"/>
        </w:trPr>
        <w:tc>
          <w:tcPr>
            <w:tcW w:w="74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paid for income taxes</w:t>
            </w:r>
          </w:p>
        </w:tc>
        <w:tc>
          <w:tcPr>
            <w:tcW w:w="740" w:type="dxa"/>
            <w:vAlign w:val="bottom"/>
            <w:gridSpan w:val="2"/>
            <w:shd w:val="clear" w:color="auto" w:fill="CFF0FC"/>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38,232</w:t>
            </w:r>
          </w:p>
        </w:tc>
        <w:tc>
          <w:tcPr>
            <w:tcW w:w="680" w:type="dxa"/>
            <w:vAlign w:val="bottom"/>
            <w:gridSpan w:val="2"/>
            <w:shd w:val="clear" w:color="auto" w:fill="CFF0FC"/>
          </w:tcPr>
          <w:p>
            <w:pPr>
              <w:jc w:val="right"/>
              <w:ind w:right="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29,299</w:t>
            </w:r>
          </w:p>
        </w:tc>
      </w:t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-919480</wp:posOffset>
            </wp:positionV>
            <wp:extent cx="1111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-414020</wp:posOffset>
            </wp:positionV>
            <wp:extent cx="111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-396875</wp:posOffset>
            </wp:positionV>
            <wp:extent cx="1111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and cash equivalents within the condensed consolidated balance sheets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5"/>
        </w:trPr>
        <w:tc>
          <w:tcPr>
            <w:tcW w:w="8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8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ind w:right="150"/>
              <w:spacing w:after="0" w:line="182" w:lineRule="exact"/>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9"/>
        </w:trPr>
        <w:tc>
          <w:tcPr>
            <w:tcW w:w="81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111,740</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80,438</w:t>
            </w:r>
          </w:p>
        </w:tc>
      </w:tr>
      <w:tr>
        <w:trPr>
          <w:trHeight w:val="189"/>
        </w:trPr>
        <w:tc>
          <w:tcPr>
            <w:tcW w:w="81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101</w:t>
            </w:r>
          </w:p>
        </w:tc>
      </w:tr>
      <w:tr>
        <w:trPr>
          <w:trHeight w:val="223"/>
        </w:trPr>
        <w:tc>
          <w:tcPr>
            <w:tcW w:w="81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111,760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80,539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71" w:lineRule="exact"/>
        <w:rPr>
          <w:sz w:val="20"/>
          <w:szCs w:val="20"/>
          <w:color w:val="auto"/>
        </w:rPr>
      </w:pPr>
    </w:p>
    <w:p>
      <w:pPr>
        <w:ind w:right="7180" w:firstLine="8"/>
        <w:spacing w:after="0" w:line="45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domiciled reinsurance company, Palomar Specialty Reinsurance Company Bermuda Ltd. (“PSRE”), an Arizona domiciled surplus lines insurance company, Palomar Excess and Surplus Insurance Company (“PESIC”), a California domiciled property and casualty insurance agency, Palomar Insurance Agency, Inc., DBA Palomar General Insurance Agency (“PGIA”), a Delaware-incorporated management company, Palomar Underwriters Exchange Organization, Inc. (“PUEO”), that provides services to a Hawaii domiciled reciprocal exchange, Laulima Exchange (“Laulima”), as its attorney-in-fact, a New Jersey domiciled insurance carrier specializing in surety bonds, First Indemnity of America Insurance Co. (“FIA”) and a Delaware-incorporated insurance management company, Palomar Crop Insurance Services, Inc. (“PCIS”).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89"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The Company has a single operating segment, the property and casualty insurance business. The Company’s chief operating decision maker (“CODM”) is the Chief Executive Officer. The significant segment expenses provided to the CODM are consistent with the categories shown in the Company’s Condensed Consolidated Statements of Income and Comprehensive Income and there are no other segment items used by the CODM. The CODM reviews the Company’s revenue, expenses and net income as reported under U.S. generally accepted accounting principles (“GAAP”), which is the primary measure of segment profit or loss. The CODM reviews these measures, comparing them to prior periods and expectations, and makes resource allocation decisions based on the analysis. While the Company’s CODM also reviews the revenue streams attributable to individual products, operations are managed, resources are allocated, and financial performance is evaluated on a consolidated basis.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ind w:right="80" w:firstLine="749"/>
        <w:spacing w:after="0" w:line="218" w:lineRule="exact"/>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 for interim financial information and include the accounts of the Company and its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subsidiaries. The condensed consolidated financial statements also include the accounts of Laulima, as Laulima is a variable interest entity (“VIE”) for which the Company is the primary beneficiary.</w:t>
      </w:r>
    </w:p>
    <w:p>
      <w:pPr>
        <w:spacing w:after="0" w:line="144"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18"/>
          <w:szCs w:val="18"/>
          <w:color w:val="auto"/>
        </w:rPr>
        <w:t>These condensed consolidated financial statements do not contain all information and footnotes required by GAAP for complete consolidated financial statements. For a more complete description of the Company’s business and accounting policies, these condensed consolidated financial statements should be read in conjunction with the audited consolidated financial statements included in the Company’s Annual Report on Form 10-K for the year ended December 31, 2024, filed with the SEC on February 25, 2025 (the “2024 Annual Report on Form 10-K”). In the opinion of management, all adjustments necessary for a fair presentation of the condensed consolidated financial statements have been included. Such adjustments consist only of normal recurring items. All intercompany balances and transactions have been eliminated in consolidation. Interim results are not necessarily indicative of results of operations for the full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condensed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condensed consolidated financial statements include, but are not limited to, reserves for losses and loss adjustment expenses, reinsurance recoverables on unpaid losses, and the fair values of investments.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not adopted any new accounting guidance during the three months ended September 30, 2025.</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 (“ASU 2023-09”)</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ASU 2023-09 requires public business entities to disclose additional information with respect to the reconciliation of the effective tax rate to the statutory rate. Additionally, public business entities will need to disaggregate federal, state and foreign taxes paid in their financial statements. ASU 2023-09 is effective for public business entities for fiscal years beginning after December 15, 2024. The Company will adopt this guidance beginning with the Annual Report on Form 10-K for the year ending December 31, 2025 and the adoption is not expected to have a significant impact on the Company’s required disclosures.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Expenses</w:t>
      </w:r>
    </w:p>
    <w:p>
      <w:pPr>
        <w:spacing w:after="0" w:line="171"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18"/>
          <w:szCs w:val="18"/>
          <w:color w:val="auto"/>
        </w:rPr>
        <w:t xml:space="preserve">In November 2024, the FASB issued ASU No. </w:t>
      </w:r>
      <w:r>
        <w:rPr>
          <w:rFonts w:ascii="Times New Roman" w:cs="Times New Roman" w:eastAsia="Times New Roman" w:hAnsi="Times New Roman"/>
          <w:sz w:val="18"/>
          <w:szCs w:val="18"/>
          <w:i w:val="1"/>
          <w:iCs w:val="1"/>
          <w:color w:val="auto"/>
        </w:rPr>
        <w:t>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 Disaggregation of Income Statement Expenses (“ASU 2023-03”)</w:t>
      </w:r>
      <w:r>
        <w:rPr>
          <w:rFonts w:ascii="Times New Roman" w:cs="Times New Roman" w:eastAsia="Times New Roman" w:hAnsi="Times New Roman"/>
          <w:sz w:val="18"/>
          <w:szCs w:val="18"/>
          <w:color w:val="auto"/>
        </w:rPr>
        <w:t>, which will require disclosure of additional information about specific expense categories in the notes to financial statements for all public business entities. ASU 2024-03 is effective for annual reporting beginning with the fiscal year ending December 31, 2027, and for interim periods thereafter. Early adoption is permitted. The Company is currently evaluating the impact the adoption of this standard will have on its consolidated financial statements.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(“ASU</w:t>
      </w:r>
    </w:p>
    <w:p>
      <w:pPr>
        <w:spacing w:after="0" w:line="29"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i w:val="1"/>
          <w:iCs w:val="1"/>
          <w:color w:val="auto"/>
        </w:rPr>
        <w:t>2025-06”)</w:t>
      </w:r>
      <w:r>
        <w:rPr>
          <w:rFonts w:ascii="Times New Roman" w:cs="Times New Roman" w:eastAsia="Times New Roman" w:hAnsi="Times New Roman"/>
          <w:sz w:val="18"/>
          <w:szCs w:val="18"/>
          <w:color w:val="auto"/>
        </w:rPr>
        <w:t>, which clarifies and modernizes the accounting for costs related to internal-use software by removing references to project stages and clarifying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probable-to-complete threshold for capitalization when significant development uncertainty exists. ASU 2025-06 is effective for annual reporting periods beginning after December 15, 2027, and interim periods within those annual reporting periods. Early adoption is permitted. The Company is currently evaluating the impact the adoption of this standard will have on its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4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Company’s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for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9"/>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Credit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gridSpan w:val="3"/>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24,831</w:t>
            </w:r>
          </w:p>
        </w:tc>
        <w:tc>
          <w:tcPr>
            <w:tcW w:w="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(279)</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24,637</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19,789</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(1,178)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18,715</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19,292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17,203</w:t>
            </w:r>
          </w:p>
        </w:tc>
        <w:tc>
          <w:tcPr>
            <w:tcW w:w="0" w:type="dxa"/>
            <w:vAlign w:val="bottom"/>
          </w:tcPr>
          <w:p>
            <w:pPr>
              <w:spacing w:after="0"/>
              <w:rPr>
                <w:sz w:val="1"/>
                <w:szCs w:val="1"/>
                <w:color w:val="auto"/>
              </w:rPr>
            </w:pPr>
          </w:p>
        </w:tc>
      </w:tr>
      <w:tr>
        <w:trPr>
          <w:trHeight w:val="189"/>
        </w:trPr>
        <w:tc>
          <w:tcPr>
            <w:tcW w:w="450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601,329</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10,080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(8,526)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602,883</w:t>
            </w:r>
          </w:p>
        </w:tc>
        <w:tc>
          <w:tcPr>
            <w:tcW w:w="0" w:type="dxa"/>
            <w:vAlign w:val="bottom"/>
          </w:tcPr>
          <w:p>
            <w:pPr>
              <w:spacing w:after="0"/>
              <w:rPr>
                <w:sz w:val="1"/>
                <w:szCs w:val="1"/>
                <w:color w:val="auto"/>
              </w:rPr>
            </w:pPr>
          </w:p>
        </w:tc>
      </w:tr>
      <w:tr>
        <w:trPr>
          <w:trHeight w:val="189"/>
        </w:trPr>
        <w:tc>
          <w:tcPr>
            <w:tcW w:w="45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481,614</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(8,897)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477,929</w:t>
            </w:r>
          </w:p>
        </w:tc>
        <w:tc>
          <w:tcPr>
            <w:tcW w:w="0" w:type="dxa"/>
            <w:vAlign w:val="bottom"/>
          </w:tcPr>
          <w:p>
            <w:pPr>
              <w:spacing w:after="0"/>
              <w:rPr>
                <w:sz w:val="1"/>
                <w:szCs w:val="1"/>
                <w:color w:val="auto"/>
              </w:rPr>
            </w:pPr>
          </w:p>
        </w:tc>
      </w:tr>
      <w:tr>
        <w:trPr>
          <w:trHeight w:val="223"/>
        </w:trPr>
        <w:tc>
          <w:tcPr>
            <w:tcW w:w="45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1,146,855</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15,517</w:t>
            </w:r>
          </w:p>
        </w:tc>
        <w:tc>
          <w:tcPr>
            <w:tcW w:w="2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(21,005)</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ind w:left="8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1,141,367</w:t>
            </w:r>
          </w:p>
        </w:tc>
        <w:tc>
          <w:tcPr>
            <w:tcW w:w="0" w:type="dxa"/>
            <w:vAlign w:val="bottom"/>
          </w:tcPr>
          <w:p>
            <w:pPr>
              <w:spacing w:after="0"/>
              <w:rPr>
                <w:sz w:val="1"/>
                <w:szCs w:val="1"/>
                <w:color w:val="auto"/>
              </w:rPr>
            </w:pPr>
          </w:p>
        </w:tc>
      </w:tr>
      <w:tr>
        <w:trPr>
          <w:trHeight w:val="655"/>
        </w:trPr>
        <w:tc>
          <w:tcPr>
            <w:tcW w:w="45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-942340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-925195</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-942340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-925195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-942340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-925195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-942340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-925195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7"/>
        </w:trPr>
        <w:tc>
          <w:tcPr>
            <w:tcW w:w="1380" w:type="dxa"/>
            <w:vAlign w:val="bottom"/>
            <w:tcBorders>
              <w:top w:val="single" w:sz="8" w:color="0000FF"/>
            </w:tcBorders>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for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189"/>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Credit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00" w:type="dxa"/>
            <w:vAlign w:val="bottom"/>
            <w:tcBorders>
              <w:bottom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80" w:type="dxa"/>
            <w:vAlign w:val="bottom"/>
            <w:gridSpan w:val="3"/>
          </w:tcPr>
          <w:p>
            <w:pPr>
              <w:jc w:val="right"/>
              <w:ind w:right="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33,449</w:t>
            </w:r>
          </w:p>
        </w:tc>
        <w:tc>
          <w:tcPr>
            <w:tcW w:w="28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(649)</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32,806</w:t>
            </w:r>
          </w:p>
        </w:tc>
        <w:tc>
          <w:tcPr>
            <w:tcW w:w="0" w:type="dxa"/>
            <w:vAlign w:val="bottom"/>
          </w:tcPr>
          <w:p>
            <w:pPr>
              <w:spacing w:after="0"/>
              <w:rPr>
                <w:sz w:val="1"/>
                <w:szCs w:val="1"/>
                <w:color w:val="auto"/>
              </w:rPr>
            </w:pPr>
          </w:p>
        </w:tc>
      </w:tr>
      <w:tr>
        <w:trPr>
          <w:trHeight w:val="189"/>
        </w:trPr>
        <w:tc>
          <w:tcPr>
            <w:tcW w:w="4500" w:type="dxa"/>
            <w:vAlign w:val="bottom"/>
            <w:gridSpan w:val="2"/>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10,606</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9,778</w:t>
            </w:r>
          </w:p>
        </w:tc>
        <w:tc>
          <w:tcPr>
            <w:tcW w:w="0" w:type="dxa"/>
            <w:vAlign w:val="bottom"/>
          </w:tcPr>
          <w:p>
            <w:pPr>
              <w:spacing w:after="0"/>
              <w:rPr>
                <w:sz w:val="1"/>
                <w:szCs w:val="1"/>
                <w:color w:val="auto"/>
              </w:rPr>
            </w:pPr>
          </w:p>
        </w:tc>
      </w:tr>
      <w:tr>
        <w:trPr>
          <w:trHeight w:val="189"/>
        </w:trPr>
        <w:tc>
          <w:tcPr>
            <w:tcW w:w="450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30,283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26,634</w:t>
            </w:r>
          </w:p>
        </w:tc>
        <w:tc>
          <w:tcPr>
            <w:tcW w:w="0" w:type="dxa"/>
            <w:vAlign w:val="bottom"/>
          </w:tcPr>
          <w:p>
            <w:pPr>
              <w:spacing w:after="0"/>
              <w:rPr>
                <w:sz w:val="1"/>
                <w:szCs w:val="1"/>
                <w:color w:val="auto"/>
              </w:rPr>
            </w:pPr>
          </w:p>
        </w:tc>
      </w:tr>
      <w:tr>
        <w:trPr>
          <w:trHeight w:val="189"/>
        </w:trPr>
        <w:tc>
          <w:tcPr>
            <w:tcW w:w="4500" w:type="dxa"/>
            <w:vAlign w:val="bottom"/>
            <w:gridSpan w:val="2"/>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492,395</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(18,349)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475,491</w:t>
            </w:r>
          </w:p>
        </w:tc>
        <w:tc>
          <w:tcPr>
            <w:tcW w:w="0" w:type="dxa"/>
            <w:vAlign w:val="bottom"/>
          </w:tcPr>
          <w:p>
            <w:pPr>
              <w:spacing w:after="0"/>
              <w:rPr>
                <w:sz w:val="1"/>
                <w:szCs w:val="1"/>
                <w:color w:val="auto"/>
              </w:rPr>
            </w:pPr>
          </w:p>
        </w:tc>
      </w:tr>
      <w:tr>
        <w:trPr>
          <w:trHeight w:val="189"/>
        </w:trPr>
        <w:tc>
          <w:tcPr>
            <w:tcW w:w="4500" w:type="dxa"/>
            <w:vAlign w:val="bottom"/>
            <w:gridSpan w:val="2"/>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406,597</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(13,668)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394,337</w:t>
            </w:r>
          </w:p>
        </w:tc>
        <w:tc>
          <w:tcPr>
            <w:tcW w:w="0" w:type="dxa"/>
            <w:vAlign w:val="bottom"/>
          </w:tcPr>
          <w:p>
            <w:pPr>
              <w:spacing w:after="0"/>
              <w:rPr>
                <w:sz w:val="1"/>
                <w:szCs w:val="1"/>
                <w:color w:val="auto"/>
              </w:rPr>
            </w:pPr>
          </w:p>
        </w:tc>
      </w:tr>
      <w:tr>
        <w:trPr>
          <w:trHeight w:val="203"/>
        </w:trPr>
        <w:tc>
          <w:tcPr>
            <w:tcW w:w="45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973,330</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3,217</w:t>
            </w:r>
          </w:p>
        </w:tc>
        <w:tc>
          <w:tcPr>
            <w:tcW w:w="2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(37,257)</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(244)</w:t>
            </w:r>
          </w:p>
        </w:tc>
        <w:tc>
          <w:tcPr>
            <w:tcW w:w="30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939,046</w:t>
            </w:r>
          </w:p>
        </w:tc>
        <w:tc>
          <w:tcPr>
            <w:tcW w:w="0" w:type="dxa"/>
            <w:vAlign w:val="bottom"/>
          </w:tcPr>
          <w:p>
            <w:pPr>
              <w:spacing w:after="0"/>
              <w:rPr>
                <w:sz w:val="1"/>
                <w:szCs w:val="1"/>
                <w:color w:val="auto"/>
              </w:rPr>
            </w:pPr>
          </w:p>
        </w:tc>
      </w:tr>
      <w:tr>
        <w:trPr>
          <w:trHeight w:val="20"/>
        </w:trPr>
        <w:tc>
          <w:tcPr>
            <w:tcW w:w="1380" w:type="dxa"/>
            <w:vAlign w:val="bottom"/>
            <w:tcBorders>
              <w:top w:val="single" w:sz="8" w:color="CFF0FC"/>
            </w:tcBorders>
            <w:shd w:val="clear" w:color="auto" w:fill="CFF0FC"/>
          </w:tcPr>
          <w:p>
            <w:pPr>
              <w:spacing w:after="0" w:line="20" w:lineRule="exact"/>
              <w:rPr>
                <w:sz w:val="1"/>
                <w:szCs w:val="1"/>
                <w:color w:val="auto"/>
              </w:rPr>
            </w:pPr>
          </w:p>
        </w:tc>
        <w:tc>
          <w:tcPr>
            <w:tcW w:w="3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-25400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-7620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-25400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-25400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187" w:lineRule="exact"/>
        <w:rPr>
          <w:sz w:val="20"/>
          <w:szCs w:val="20"/>
          <w:color w:val="auto"/>
        </w:rPr>
      </w:pPr>
    </w:p>
    <w:p>
      <w:pPr>
        <w:ind w:right="420" w:firstLine="749"/>
        <w:spacing w:after="0" w:line="250" w:lineRule="auto"/>
        <w:rPr>
          <w:sz w:val="20"/>
          <w:szCs w:val="20"/>
          <w:color w:val="auto"/>
        </w:rPr>
      </w:pPr>
      <w:r>
        <w:rPr>
          <w:rFonts w:ascii="Times New Roman" w:cs="Times New Roman" w:eastAsia="Times New Roman" w:hAnsi="Times New Roman"/>
          <w:sz w:val="18"/>
          <w:szCs w:val="18"/>
          <w:color w:val="auto"/>
        </w:rPr>
        <w:t>As of September 30, 2025, the Company held 390 fixed maturity securities in an unrealized loss position with a total estimated fair value of $368.8 million and total gross unrealized losses of $21.0 million. As of December 31, 2024, the Company held 595 fixed maturity securities in an unrealized loss position with a total estimated fair value of $664.0 million and total gross unrealized losses of $37.3 million.</w:t>
      </w:r>
    </w:p>
    <w:p>
      <w:pPr>
        <w:spacing w:after="0" w:line="150"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September 30, 2025 and December 31, 2024,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7"/>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2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1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3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3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9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551"/>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1,600</w:t>
            </w: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8,161</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(234)</w:t>
            </w:r>
          </w:p>
        </w:tc>
        <w:tc>
          <w:tcPr>
            <w:tcW w:w="2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9,761</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5,181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9,342</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(637)</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14,523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(1,178)</w:t>
            </w:r>
          </w:p>
        </w:tc>
        <w:tc>
          <w:tcPr>
            <w:tcW w:w="0" w:type="dxa"/>
            <w:vAlign w:val="bottom"/>
          </w:tcPr>
          <w:p>
            <w:pPr>
              <w:spacing w:after="0"/>
              <w:rPr>
                <w:sz w:val="1"/>
                <w:szCs w:val="1"/>
                <w:color w:val="auto"/>
              </w:rPr>
            </w:pPr>
          </w:p>
        </w:tc>
      </w:tr>
      <w:tr>
        <w:trPr>
          <w:trHeight w:val="157"/>
        </w:trPr>
        <w:tc>
          <w:tcPr>
            <w:tcW w:w="414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8"/>
                <w:szCs w:val="18"/>
                <w:color w:val="auto"/>
              </w:rPr>
              <w:t>Special revenue excluding mortgage/asset-backed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61,100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(1,392)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143,594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(7,134)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204,694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(8,526)</w:t>
            </w: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35,994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88,658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(8,400)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124,652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(8,897)</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104,105</w:t>
            </w:r>
          </w:p>
        </w:tc>
        <w:tc>
          <w:tcPr>
            <w:tcW w:w="2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(2,482)</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264,694</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(18,523)</w:t>
            </w:r>
          </w:p>
        </w:tc>
        <w:tc>
          <w:tcPr>
            <w:tcW w:w="2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368,799</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(21,005)</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7"/>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2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1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31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3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191"/>
              <w:spacing w:after="0" w:line="147" w:lineRule="exact"/>
              <w:rPr>
                <w:sz w:val="20"/>
                <w:szCs w:val="20"/>
                <w:color w:val="auto"/>
              </w:rPr>
            </w:pPr>
            <w:r>
              <w:rPr>
                <w:rFonts w:ascii="Times New Roman" w:cs="Times New Roman" w:eastAsia="Times New Roman" w:hAnsi="Times New Roman"/>
                <w:sz w:val="17"/>
                <w:szCs w:val="17"/>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51"/>
              <w:spacing w:after="0" w:line="147"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4"/>
          </w:tcPr>
          <w:p>
            <w:pPr>
              <w:jc w:val="right"/>
              <w:ind w:right="551"/>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16,507</w:t>
            </w: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2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14,291</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(584)</w:t>
            </w:r>
          </w:p>
        </w:tc>
        <w:tc>
          <w:tcPr>
            <w:tcW w:w="28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30,798</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5,076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7,690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157"/>
        </w:trPr>
        <w:tc>
          <w:tcPr>
            <w:tcW w:w="4140" w:type="dxa"/>
            <w:vAlign w:val="bottom"/>
            <w:gridSpan w:val="2"/>
          </w:tcPr>
          <w:p>
            <w:pPr>
              <w:ind w:left="80"/>
              <w:spacing w:after="0" w:line="157" w:lineRule="exact"/>
              <w:rPr>
                <w:sz w:val="20"/>
                <w:szCs w:val="20"/>
                <w:color w:val="auto"/>
              </w:rPr>
            </w:pPr>
            <w:r>
              <w:rPr>
                <w:rFonts w:ascii="Times New Roman" w:cs="Times New Roman" w:eastAsia="Times New Roman" w:hAnsi="Times New Roman"/>
                <w:sz w:val="18"/>
                <w:szCs w:val="18"/>
                <w:color w:val="auto"/>
              </w:rPr>
              <w:t>Special revenue excluding mortgage/asset-backed</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41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21,733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23,915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189"/>
        </w:trPr>
        <w:tc>
          <w:tcPr>
            <w:tcW w:w="4140" w:type="dxa"/>
            <w:vAlign w:val="bottom"/>
            <w:gridSpan w:val="2"/>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181,179</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(4,996)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176,531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(13,353)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357,710</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(18,349)</w:t>
            </w:r>
          </w:p>
        </w:tc>
        <w:tc>
          <w:tcPr>
            <w:tcW w:w="0" w:type="dxa"/>
            <w:vAlign w:val="bottom"/>
          </w:tcPr>
          <w:p>
            <w:pPr>
              <w:spacing w:after="0"/>
              <w:rPr>
                <w:sz w:val="1"/>
                <w:szCs w:val="1"/>
                <w:color w:val="auto"/>
              </w:rPr>
            </w:pPr>
          </w:p>
        </w:tc>
      </w:tr>
      <w:tr>
        <w:trPr>
          <w:trHeight w:val="189"/>
        </w:trPr>
        <w:tc>
          <w:tcPr>
            <w:tcW w:w="41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152,287</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91,572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(10,848)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243,859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(13,668)</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6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354,769</w:t>
            </w:r>
          </w:p>
        </w:tc>
        <w:tc>
          <w:tcPr>
            <w:tcW w:w="20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(8,726)</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309,203</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(28,531)</w:t>
            </w:r>
          </w:p>
        </w:tc>
        <w:tc>
          <w:tcPr>
            <w:tcW w:w="280" w:type="dxa"/>
            <w:vAlign w:val="bottom"/>
            <w:gridSpan w:val="2"/>
            <w:shd w:val="clear" w:color="auto" w:fill="CFF0FC"/>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663,972</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(37,257)</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-1645285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-1628140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-1645285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-1628140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-1645285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-1628140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-1645285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-1628140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-1645285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-1628140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-24765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w:t>
      </w:r>
    </w:p>
    <w:p>
      <w:pPr>
        <w:spacing w:after="0" w:line="27"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necessitates the recognition of an allowance for credit losses. The Company considers numerous factors in its review as described in Note 1 of the Notes to the Consolidated Financial Statements in the 2024 Annual Report on Form 10-K.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180" w:firstLine="749"/>
        <w:spacing w:after="0" w:line="258" w:lineRule="auto"/>
        <w:rPr>
          <w:sz w:val="20"/>
          <w:szCs w:val="20"/>
          <w:color w:val="auto"/>
        </w:rPr>
      </w:pPr>
      <w:r>
        <w:rPr>
          <w:rFonts w:ascii="Times New Roman" w:cs="Times New Roman" w:eastAsia="Times New Roman" w:hAnsi="Times New Roman"/>
          <w:sz w:val="18"/>
          <w:szCs w:val="18"/>
          <w:color w:val="auto"/>
        </w:rPr>
        <w:t>Based on the Company’s review as of September 30, 2025,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Contractual maturities of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sale fixed maturity securities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amortized cost and fair value of fixed maturity securities at September 30, 2025, by contractual maturity, are shown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25"/>
        </w:trPr>
        <w:tc>
          <w:tcPr>
            <w:tcW w:w="7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83"/>
        </w:trPr>
        <w:tc>
          <w:tcPr>
            <w:tcW w:w="7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tcPr>
          <w:p>
            <w:pPr>
              <w:spacing w:after="0"/>
              <w:rPr>
                <w:sz w:val="15"/>
                <w:szCs w:val="15"/>
                <w:color w:val="auto"/>
              </w:rPr>
            </w:pP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shd w:val="clear" w:color="auto" w:fill="CFF0FC"/>
          </w:tcPr>
          <w:p>
            <w:pPr>
              <w:jc w:val="right"/>
              <w:ind w:right="9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71,849</w:t>
            </w:r>
          </w:p>
        </w:tc>
        <w:tc>
          <w:tcPr>
            <w:tcW w:w="680" w:type="dxa"/>
            <w:vAlign w:val="bottom"/>
            <w:gridSpan w:val="2"/>
            <w:shd w:val="clear" w:color="auto" w:fill="CFF0FC"/>
          </w:tcPr>
          <w:p>
            <w:pPr>
              <w:jc w:val="right"/>
              <w:ind w:right="4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71,977</w:t>
            </w: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260" w:type="dxa"/>
            <w:vAlign w:val="bottom"/>
          </w:tcPr>
          <w:p>
            <w:pPr>
              <w:spacing w:after="0"/>
              <w:rPr>
                <w:sz w:val="16"/>
                <w:szCs w:val="16"/>
                <w:color w:val="auto"/>
              </w:rPr>
            </w:pPr>
          </w:p>
        </w:tc>
        <w:tc>
          <w:tcPr>
            <w:tcW w:w="16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260,401</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260,035</w:t>
            </w:r>
          </w:p>
        </w:tc>
      </w:tr>
      <w:tr>
        <w:trPr>
          <w:trHeight w:val="189"/>
        </w:trPr>
        <w:tc>
          <w:tcPr>
            <w:tcW w:w="7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after five years through ten years</w:t>
            </w:r>
          </w:p>
        </w:tc>
        <w:tc>
          <w:tcPr>
            <w:tcW w:w="260" w:type="dxa"/>
            <w:vAlign w:val="bottom"/>
            <w:shd w:val="clear" w:color="auto" w:fill="CFF0FC"/>
          </w:tcPr>
          <w:p>
            <w:pPr>
              <w:spacing w:after="0"/>
              <w:rPr>
                <w:sz w:val="16"/>
                <w:szCs w:val="16"/>
                <w:color w:val="auto"/>
              </w:rPr>
            </w:pPr>
          </w:p>
        </w:tc>
        <w:tc>
          <w:tcPr>
            <w:tcW w:w="16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226,631</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228,747</w:t>
            </w:r>
          </w:p>
        </w:tc>
      </w:tr>
      <w:tr>
        <w:trPr>
          <w:trHeight w:val="189"/>
        </w:trPr>
        <w:tc>
          <w:tcPr>
            <w:tcW w:w="7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ten years</w:t>
            </w:r>
          </w:p>
        </w:tc>
        <w:tc>
          <w:tcPr>
            <w:tcW w:w="260" w:type="dxa"/>
            <w:vAlign w:val="bottom"/>
          </w:tcPr>
          <w:p>
            <w:pPr>
              <w:spacing w:after="0"/>
              <w:rPr>
                <w:sz w:val="16"/>
                <w:szCs w:val="16"/>
                <w:color w:val="auto"/>
              </w:rPr>
            </w:pPr>
          </w:p>
        </w:tc>
        <w:tc>
          <w:tcPr>
            <w:tcW w:w="16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106,360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102,679</w:t>
            </w:r>
          </w:p>
        </w:tc>
      </w:tr>
      <w:tr>
        <w:trPr>
          <w:trHeight w:val="189"/>
        </w:trPr>
        <w:tc>
          <w:tcPr>
            <w:tcW w:w="73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Mortgage and asset-backed securities</w:t>
            </w:r>
          </w:p>
        </w:tc>
        <w:tc>
          <w:tcPr>
            <w:tcW w:w="260" w:type="dxa"/>
            <w:vAlign w:val="bottom"/>
            <w:tcBorders>
              <w:bottom w:val="single" w:sz="8" w:color="auto"/>
            </w:tcBorders>
            <w:shd w:val="clear" w:color="auto" w:fill="CFF0FC"/>
          </w:tcPr>
          <w:p>
            <w:pPr>
              <w:spacing w:after="0"/>
              <w:rPr>
                <w:sz w:val="16"/>
                <w:szCs w:val="16"/>
                <w:color w:val="auto"/>
              </w:rPr>
            </w:pPr>
          </w:p>
        </w:tc>
        <w:tc>
          <w:tcPr>
            <w:tcW w:w="16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481,614</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477,929</w:t>
            </w:r>
          </w:p>
        </w:tc>
      </w:tr>
      <w:tr>
        <w:trPr>
          <w:trHeight w:val="183"/>
        </w:trPr>
        <w:tc>
          <w:tcPr>
            <w:tcW w:w="7360" w:type="dxa"/>
            <w:vAlign w:val="bottom"/>
          </w:tcPr>
          <w:p>
            <w:pPr>
              <w:spacing w:after="0"/>
              <w:rPr>
                <w:sz w:val="15"/>
                <w:szCs w:val="15"/>
                <w:color w:val="auto"/>
              </w:rPr>
            </w:pPr>
          </w:p>
        </w:tc>
        <w:tc>
          <w:tcPr>
            <w:tcW w:w="260" w:type="dxa"/>
            <w:vAlign w:val="bottom"/>
          </w:tcPr>
          <w:p>
            <w:pPr>
              <w:jc w:val="right"/>
              <w:ind w:right="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1,146,855</w:t>
            </w:r>
          </w:p>
        </w:tc>
        <w:tc>
          <w:tcPr>
            <w:tcW w:w="680" w:type="dxa"/>
            <w:vAlign w:val="bottom"/>
            <w:gridSpan w:val="2"/>
          </w:tcPr>
          <w:p>
            <w:pPr>
              <w:jc w:val="right"/>
              <w:ind w:right="4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1,141,367</w:t>
            </w:r>
          </w:p>
        </w:tc>
      </w:tr>
      <w:tr>
        <w:trPr>
          <w:trHeight w:val="20"/>
        </w:trPr>
        <w:tc>
          <w:tcPr>
            <w:tcW w:w="7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-153670</wp:posOffset>
            </wp:positionV>
            <wp:extent cx="1200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54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56"/>
        </w:trPr>
        <w:tc>
          <w:tcPr>
            <w:tcW w:w="5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25"/>
        </w:trPr>
        <w:tc>
          <w:tcPr>
            <w:tcW w:w="5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83"/>
        </w:trPr>
        <w:tc>
          <w:tcPr>
            <w:tcW w:w="5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183"/>
        </w:trPr>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center"/>
              <w:ind w:left="4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center"/>
              <w:ind w:left="45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5"/>
                <w:szCs w:val="15"/>
                <w:color w:val="auto"/>
              </w:rPr>
            </w:pPr>
          </w:p>
        </w:tc>
      </w:tr>
      <w:tr>
        <w:trPr>
          <w:trHeight w:val="189"/>
        </w:trPr>
        <w:tc>
          <w:tcPr>
            <w:tcW w:w="54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14,515</w:t>
            </w:r>
          </w:p>
        </w:tc>
        <w:tc>
          <w:tcPr>
            <w:tcW w:w="560" w:type="dxa"/>
            <w:vAlign w:val="bottom"/>
            <w:gridSpan w:val="2"/>
            <w:shd w:val="clear" w:color="auto" w:fill="CFF0FC"/>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9,365</w:t>
            </w:r>
          </w:p>
        </w:tc>
        <w:tc>
          <w:tcPr>
            <w:tcW w:w="400" w:type="dxa"/>
            <w:vAlign w:val="bottom"/>
            <w:gridSpan w:val="2"/>
            <w:shd w:val="clear" w:color="auto" w:fill="CFF0FC"/>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39,824</w:t>
            </w:r>
          </w:p>
        </w:tc>
        <w:tc>
          <w:tcPr>
            <w:tcW w:w="580" w:type="dxa"/>
            <w:vAlign w:val="bottom"/>
            <w:gridSpan w:val="2"/>
            <w:shd w:val="clear" w:color="auto" w:fill="CFF0FC"/>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24,317</w:t>
            </w:r>
          </w:p>
        </w:tc>
      </w:tr>
      <w:tr>
        <w:trPr>
          <w:trHeight w:val="189"/>
        </w:trPr>
        <w:tc>
          <w:tcPr>
            <w:tcW w:w="54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 income</w:t>
            </w:r>
          </w:p>
        </w:tc>
        <w:tc>
          <w:tcPr>
            <w:tcW w:w="26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675</w:t>
            </w:r>
          </w:p>
        </w:tc>
      </w:tr>
      <w:tr>
        <w:trPr>
          <w:trHeight w:val="189"/>
        </w:trPr>
        <w:tc>
          <w:tcPr>
            <w:tcW w:w="54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 expense</w:t>
            </w: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(486)</w:t>
            </w:r>
          </w:p>
        </w:tc>
      </w:tr>
      <w:tr>
        <w:trPr>
          <w:trHeight w:val="183"/>
        </w:trPr>
        <w:tc>
          <w:tcPr>
            <w:tcW w:w="5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14,572</w:t>
            </w:r>
          </w:p>
        </w:tc>
        <w:tc>
          <w:tcPr>
            <w:tcW w:w="56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9,408</w:t>
            </w:r>
          </w:p>
        </w:tc>
        <w:tc>
          <w:tcPr>
            <w:tcW w:w="40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40,014</w:t>
            </w:r>
          </w:p>
        </w:tc>
        <w:tc>
          <w:tcPr>
            <w:tcW w:w="58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24,506</w:t>
            </w:r>
          </w:p>
        </w:tc>
      </w:tr>
      <w:tr>
        <w:trPr>
          <w:trHeight w:val="20"/>
        </w:trPr>
        <w:tc>
          <w:tcPr>
            <w:tcW w:w="5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-153670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-153670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25"/>
        </w:trPr>
        <w:tc>
          <w:tcPr>
            <w:tcW w:w="4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19"/>
                <w:szCs w:val="19"/>
                <w:color w:val="auto"/>
              </w:rPr>
            </w:pPr>
          </w:p>
        </w:tc>
      </w:tr>
      <w:tr>
        <w:trPr>
          <w:trHeight w:val="183"/>
        </w:trPr>
        <w:tc>
          <w:tcPr>
            <w:tcW w:w="4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183"/>
        </w:trPr>
        <w:tc>
          <w:tcPr>
            <w:tcW w:w="4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80" w:type="dxa"/>
            <w:vAlign w:val="bottom"/>
            <w:gridSpan w:val="3"/>
          </w:tcPr>
          <w:p>
            <w:pPr>
              <w:jc w:val="center"/>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center"/>
              <w:ind w:left="45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5"/>
                <w:szCs w:val="15"/>
                <w:color w:val="auto"/>
              </w:rPr>
            </w:pPr>
          </w:p>
        </w:tc>
      </w:tr>
      <w:tr>
        <w:trPr>
          <w:trHeight w:val="189"/>
        </w:trPr>
        <w:tc>
          <w:tcPr>
            <w:tcW w:w="4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Realized gains:</w:t>
            </w: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r>
      <w:tr>
        <w:trPr>
          <w:trHeight w:val="189"/>
        </w:trPr>
        <w:tc>
          <w:tcPr>
            <w:tcW w:w="4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1400" w:type="dxa"/>
            <w:vAlign w:val="bottom"/>
            <w:gridSpan w:val="2"/>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940" w:type="dxa"/>
            <w:vAlign w:val="bottom"/>
            <w:gridSpan w:val="2"/>
          </w:tcPr>
          <w:p>
            <w:pPr>
              <w:jc w:val="right"/>
              <w:ind w:right="6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40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463</w:t>
            </w:r>
          </w:p>
        </w:tc>
        <w:tc>
          <w:tcPr>
            <w:tcW w:w="580" w:type="dxa"/>
            <w:vAlign w:val="bottom"/>
            <w:gridSpan w:val="2"/>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59</w:t>
            </w:r>
          </w:p>
        </w:tc>
      </w:tr>
      <w:tr>
        <w:trPr>
          <w:trHeight w:val="189"/>
        </w:trPr>
        <w:tc>
          <w:tcPr>
            <w:tcW w:w="48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Gains on sales of equity securities</w:t>
            </w:r>
          </w:p>
        </w:tc>
        <w:tc>
          <w:tcPr>
            <w:tcW w:w="6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4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realized gains</w:t>
            </w:r>
          </w:p>
        </w:tc>
        <w:tc>
          <w:tcPr>
            <w:tcW w:w="6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59</w:t>
            </w:r>
          </w:p>
        </w:tc>
      </w:tr>
      <w:tr>
        <w:trPr>
          <w:trHeight w:val="183"/>
        </w:trPr>
        <w:tc>
          <w:tcPr>
            <w:tcW w:w="4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Realized losses:</w:t>
            </w:r>
          </w:p>
        </w:tc>
        <w:tc>
          <w:tcPr>
            <w:tcW w:w="6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r>
      <w:tr>
        <w:trPr>
          <w:trHeight w:val="189"/>
        </w:trPr>
        <w:tc>
          <w:tcPr>
            <w:tcW w:w="4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(783)</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(330)</w:t>
            </w:r>
          </w:p>
        </w:tc>
      </w:tr>
      <w:tr>
        <w:trPr>
          <w:trHeight w:val="189"/>
        </w:trPr>
        <w:tc>
          <w:tcPr>
            <w:tcW w:w="48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Losses on sales of equity securities</w:t>
            </w:r>
          </w:p>
        </w:tc>
        <w:tc>
          <w:tcPr>
            <w:tcW w:w="6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(235)</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(1,204)</w:t>
            </w:r>
          </w:p>
        </w:tc>
      </w:tr>
      <w:tr>
        <w:trPr>
          <w:trHeight w:val="183"/>
        </w:trPr>
        <w:tc>
          <w:tcPr>
            <w:tcW w:w="4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realized losses</w:t>
            </w:r>
          </w:p>
        </w:tc>
        <w:tc>
          <w:tcPr>
            <w:tcW w:w="6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(1,534)</w:t>
            </w:r>
          </w:p>
        </w:tc>
      </w:tr>
      <w:tr>
        <w:trPr>
          <w:trHeight w:val="183"/>
        </w:trPr>
        <w:tc>
          <w:tcPr>
            <w:tcW w:w="4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realized investment gains (losses)</w:t>
            </w:r>
          </w:p>
        </w:tc>
        <w:tc>
          <w:tcPr>
            <w:tcW w:w="6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(1,475)</w:t>
            </w:r>
          </w:p>
        </w:tc>
      </w:tr>
      <w:tr>
        <w:trPr>
          <w:trHeight w:val="189"/>
        </w:trPr>
        <w:tc>
          <w:tcPr>
            <w:tcW w:w="4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Change in allowance for credit losses</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on equity securities</w:t>
            </w:r>
          </w:p>
        </w:tc>
        <w:tc>
          <w:tcPr>
            <w:tcW w:w="6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8"/>
              </w:rPr>
              <w:t>2,862</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8"/>
              </w:rPr>
              <w:t>2,434</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6,190</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7,052</w:t>
            </w:r>
          </w:p>
        </w:tc>
      </w:tr>
      <w:tr>
        <w:trPr>
          <w:trHeight w:val="189"/>
        </w:trPr>
        <w:tc>
          <w:tcPr>
            <w:tcW w:w="4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(losses) on equity method investment</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2,268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(118)</w:t>
            </w:r>
          </w:p>
        </w:tc>
      </w:tr>
      <w:tr>
        <w:trPr>
          <w:trHeight w:val="189"/>
        </w:trPr>
        <w:tc>
          <w:tcPr>
            <w:tcW w:w="48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unrealized gains on other investments</w:t>
            </w:r>
          </w:p>
        </w:tc>
        <w:tc>
          <w:tcPr>
            <w:tcW w:w="6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627</w:t>
            </w:r>
          </w:p>
        </w:tc>
        <w:tc>
          <w:tcPr>
            <w:tcW w:w="1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111</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309</w:t>
            </w:r>
          </w:p>
        </w:tc>
      </w:tr>
      <w:tr>
        <w:trPr>
          <w:trHeight w:val="183"/>
        </w:trPr>
        <w:tc>
          <w:tcPr>
            <w:tcW w:w="4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600" w:type="dxa"/>
            <w:vAlign w:val="bottom"/>
          </w:tcPr>
          <w:p>
            <w:pPr>
              <w:spacing w:after="0"/>
              <w:rPr>
                <w:sz w:val="15"/>
                <w:szCs w:val="15"/>
                <w:color w:val="auto"/>
              </w:rPr>
            </w:pPr>
          </w:p>
        </w:tc>
        <w:tc>
          <w:tcPr>
            <w:tcW w:w="800" w:type="dxa"/>
            <w:vAlign w:val="bottom"/>
          </w:tcPr>
          <w:p>
            <w:pPr>
              <w:jc w:val="right"/>
              <w:ind w:right="6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98"/>
              </w:rPr>
              <w:t>3,493</w:t>
            </w:r>
          </w:p>
        </w:tc>
        <w:tc>
          <w:tcPr>
            <w:tcW w:w="940" w:type="dxa"/>
            <w:vAlign w:val="bottom"/>
            <w:gridSpan w:val="2"/>
          </w:tcPr>
          <w:p>
            <w:pPr>
              <w:jc w:val="right"/>
              <w:ind w:right="6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98"/>
              </w:rPr>
              <w:t>2,734</w:t>
            </w:r>
          </w:p>
        </w:tc>
        <w:tc>
          <w:tcPr>
            <w:tcW w:w="400" w:type="dxa"/>
            <w:vAlign w:val="bottom"/>
            <w:gridSpan w:val="2"/>
          </w:tcPr>
          <w:p>
            <w:pPr>
              <w:jc w:val="right"/>
              <w:ind w:right="1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9,461</w:t>
            </w:r>
          </w:p>
        </w:tc>
        <w:tc>
          <w:tcPr>
            <w:tcW w:w="580" w:type="dxa"/>
            <w:vAlign w:val="bottom"/>
            <w:gridSpan w:val="2"/>
          </w:tcPr>
          <w:p>
            <w:pPr>
              <w:jc w:val="right"/>
              <w:ind w:right="3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5,768</w:t>
            </w:r>
          </w:p>
        </w:tc>
      </w:tr>
      <w:tr>
        <w:trPr>
          <w:trHeight w:val="20"/>
        </w:trPr>
        <w:tc>
          <w:tcPr>
            <w:tcW w:w="4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55"/>
        </w:trPr>
        <w:tc>
          <w:tcPr>
            <w:tcW w:w="4820" w:type="dxa"/>
            <w:vAlign w:val="bottom"/>
          </w:tcPr>
          <w:p>
            <w:pPr>
              <w:spacing w:after="0"/>
              <w:rPr>
                <w:sz w:val="24"/>
                <w:szCs w:val="24"/>
                <w:color w:val="auto"/>
              </w:rPr>
            </w:pP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49"/>
        </w:trPr>
        <w:tc>
          <w:tcPr>
            <w:tcW w:w="4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-2305050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-2305050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-2305050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-1807845</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-1807845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-1807845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-1070610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-1070610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-1070610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Realized gains and losses on disposition of investments are based on specific identification of the investments sold on the settlement date.</w:t>
      </w:r>
    </w:p>
    <w:p>
      <w:pPr>
        <w:spacing w:after="0" w:line="18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Proceeds from the sale of fixed maturity securities were $10.7 million and $3.2 million for the three months ended September 30, 2025 and 2024, respectively. Proceeds from the sale of equity securities were immaterial for the three months ended September 30, 2025 and 2024.</w:t>
      </w:r>
    </w:p>
    <w:p>
      <w:pPr>
        <w:spacing w:after="0" w:line="13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Proceeds from the sale of fixed maturity securities were $19.5 million and $5.4 million for the nine months ended September 30, 2025 and 2024, respectively. Proceeds from the sale of equity securities were $6.4 million and immaterial for the nine months ended September 30, 2025 and 2024, respectively.</w:t>
      </w:r>
    </w:p>
    <w:p>
      <w:pPr>
        <w:spacing w:after="0" w:line="150" w:lineRule="exact"/>
        <w:rPr>
          <w:sz w:val="20"/>
          <w:szCs w:val="20"/>
          <w:color w:val="auto"/>
        </w:rPr>
      </w:pPr>
    </w:p>
    <w:p>
      <w:pPr>
        <w:jc w:val="both"/>
        <w:ind w:right="160" w:firstLine="749"/>
        <w:spacing w:after="0" w:line="218" w:lineRule="exact"/>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on the balance sheet. As of September 30, 2025 and December 31, 2024, the carrying value of securities on deposit with state regulatory authorities was $13.8 million and $9.9 million, respectively.</w:t>
      </w:r>
    </w:p>
    <w:p>
      <w:pPr>
        <w:spacing w:after="0" w:line="145"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The Company has investments in limited partnerships, recorded in the Other investments line of the Unaudited Condensed Consolidated Balance Sheets. These investments represent capital contributions to private equity funds structured as limited partnerships, which primarily hold illiquid securities. The funds have a ten-year term with no redemption rights. Capital is contributed as called by the general partners, and distributions are received as proceeds are generated from the underlying investments. These investments are measured at estimated fair value utilizing a net asset value per share (or its equivalent) as a practical expedient. As of September 30, 2025, the Company had unfunded commitments to invest an additional $102.3 million in these limited partnerships.</w:t>
      </w:r>
    </w:p>
    <w:p>
      <w:pPr>
        <w:spacing w:after="0" w:line="139"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In addition, Other investments include derivative instruments, such as a livestock put option designated as a cash flow hedge. The purpose of this hedge is to manage the Company’s exposure to the variability in future cash flows attributable to livestock price fluctuations associated with its Crop insurance products. The derivative instruments are recorded at fair value, with changes in the intrinsic value recognized in other comprehensive income and the excluded time value recognized directly in earnings over the life of the hedging instrument. As such, derivative instruments are not included within the Net realized and unrealized gains and losses table above, and realized gains and losses are recognized within Losses and loss adjustment expenses in the Condensed Consolidated Statements of Income and Comprehensive Income. The fair value of this derivative instrument was approximately $4.4 million as of September 30, 2025. The impact of this derivative activity was immaterial to the Company’s condensed consolidated financial statements for the three and nine months ended September 30,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for the investment.</w:t>
      </w:r>
    </w:p>
    <w:p>
      <w:pPr>
        <w:spacing w:after="0" w:line="9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hierarchy of inputs is summarized in the three broad levels listed below:</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18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35"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3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29" w:lineRule="exact"/>
        <w:rPr>
          <w:sz w:val="20"/>
          <w:szCs w:val="20"/>
          <w:color w:val="auto"/>
        </w:rPr>
      </w:pPr>
    </w:p>
    <w:p>
      <w:pPr>
        <w:ind w:right="260" w:firstLine="749"/>
        <w:spacing w:after="0" w:line="246"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hierarchy for financial assets and liabilities measured at fair value on a recurring basis as of September 30, 2025 and December 31, 2024.</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3"/>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24,637</w:t>
            </w:r>
          </w:p>
        </w:tc>
        <w:tc>
          <w:tcPr>
            <w:tcW w:w="1060" w:type="dxa"/>
            <w:vAlign w:val="bottom"/>
            <w:gridSpan w:val="2"/>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24,637</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18,715</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18,715</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17,203</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17,203</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602,883</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602,883</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477,929</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477,929</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52,215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52,215</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111,760</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111,760</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Derivative assets — livestock put options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4,393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4,393</w:t>
            </w:r>
          </w:p>
        </w:tc>
      </w:tr>
      <w:tr>
        <w:trPr>
          <w:trHeight w:val="203"/>
        </w:trPr>
        <w:tc>
          <w:tcPr>
            <w:tcW w:w="55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168,368</w:t>
            </w:r>
          </w:p>
        </w:tc>
        <w:tc>
          <w:tcPr>
            <w:tcW w:w="320" w:type="dxa"/>
            <w:vAlign w:val="bottom"/>
            <w:gridSpan w:val="2"/>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1,141,367</w:t>
            </w:r>
          </w:p>
        </w:tc>
        <w:tc>
          <w:tcPr>
            <w:tcW w:w="1060" w:type="dxa"/>
            <w:vAlign w:val="bottom"/>
            <w:gridSpan w:val="2"/>
            <w:shd w:val="clear" w:color="auto" w:fill="CFF0FC"/>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1,309,735</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8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3"/>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55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55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Fixed maturity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32,806</w:t>
            </w:r>
          </w:p>
        </w:tc>
        <w:tc>
          <w:tcPr>
            <w:tcW w:w="1060" w:type="dxa"/>
            <w:vAlign w:val="bottom"/>
            <w:gridSpan w:val="2"/>
            <w:shd w:val="clear" w:color="auto" w:fill="CFF0FC"/>
          </w:tcPr>
          <w:p>
            <w:pPr>
              <w:jc w:val="right"/>
              <w:ind w:right="7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32,806</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9,778</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9,778</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26,634</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26,634</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475,491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475,491</w:t>
            </w:r>
          </w:p>
        </w:tc>
      </w:tr>
      <w:tr>
        <w:trPr>
          <w:trHeight w:val="189"/>
        </w:trPr>
        <w:tc>
          <w:tcPr>
            <w:tcW w:w="552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394,337</w:t>
            </w: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394,337</w:t>
            </w:r>
          </w:p>
        </w:tc>
      </w:tr>
      <w:tr>
        <w:trPr>
          <w:trHeight w:val="189"/>
        </w:trPr>
        <w:tc>
          <w:tcPr>
            <w:tcW w:w="552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40,529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40,529</w:t>
            </w:r>
          </w:p>
        </w:tc>
      </w:tr>
      <w:tr>
        <w:trPr>
          <w:trHeight w:val="189"/>
        </w:trPr>
        <w:tc>
          <w:tcPr>
            <w:tcW w:w="5520" w:type="dxa"/>
            <w:vAlign w:val="bottom"/>
            <w:tcBorders>
              <w:bottom w:val="single" w:sz="8" w:color="CFF0FC"/>
            </w:tcBorders>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80,539</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80,539</w:t>
            </w:r>
          </w:p>
        </w:tc>
      </w:tr>
      <w:tr>
        <w:trPr>
          <w:trHeight w:val="183"/>
        </w:trPr>
        <w:tc>
          <w:tcPr>
            <w:tcW w:w="55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121,068</w:t>
            </w:r>
          </w:p>
        </w:tc>
        <w:tc>
          <w:tcPr>
            <w:tcW w:w="320" w:type="dxa"/>
            <w:vAlign w:val="bottom"/>
            <w:gridSpan w:val="2"/>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939,046</w:t>
            </w:r>
          </w:p>
        </w:tc>
        <w:tc>
          <w:tcPr>
            <w:tcW w:w="1060" w:type="dxa"/>
            <w:vAlign w:val="bottom"/>
            <w:gridSpan w:val="2"/>
          </w:tcPr>
          <w:p>
            <w:pPr>
              <w:jc w:val="right"/>
              <w:ind w:right="7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1,060,114</w:t>
            </w:r>
          </w:p>
        </w:tc>
      </w:tr>
      <w:tr>
        <w:trPr>
          <w:trHeight w:val="20"/>
        </w:trPr>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-153670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-153670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condensed consolidated balance sheet including cash and cash equivalents, restricted cash, receivables, reinsurance recoverable, and accounts payable and other accrued liabilities approximate fair value due to their short-term maturity. The carrying amount of any borrowings under the Federal Home Loan Bank (“FHLB”) line of credit and U.S. Bank credit agreement (the “Credit Agreement”) approximate fair value as the credit agreements have variable rates which frequently reprice at market rates.</w:t>
      </w:r>
    </w:p>
    <w:p>
      <w:pPr>
        <w:spacing w:after="0" w:line="137" w:lineRule="exact"/>
        <w:rPr>
          <w:sz w:val="20"/>
          <w:szCs w:val="20"/>
          <w:color w:val="auto"/>
        </w:rPr>
      </w:pPr>
    </w:p>
    <w:p>
      <w:pPr>
        <w:ind w:right="260" w:firstLine="749"/>
        <w:spacing w:after="0" w:line="296" w:lineRule="auto"/>
        <w:rPr>
          <w:sz w:val="20"/>
          <w:szCs w:val="20"/>
          <w:color w:val="auto"/>
        </w:rPr>
      </w:pPr>
      <w:r>
        <w:rPr>
          <w:rFonts w:ascii="Times New Roman" w:cs="Times New Roman" w:eastAsia="Times New Roman" w:hAnsi="Times New Roman"/>
          <w:sz w:val="17"/>
          <w:szCs w:val="17"/>
          <w:color w:val="auto"/>
        </w:rPr>
        <w:t>Transfers between Level 3 and Level 2 securities result from changes in the availability of observable market inputs and are recorded at the beginning of the reporting period. As of September 30, 2025 and December 31, 2024, the Company had no fixed income securities classified as Level 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Reserve for Losses and Loss Adjustment Expenses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a reconciliation of changes in the ending reserve balances for losses and loss adjustment expenses (“LAE”):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20" w:type="dxa"/>
            <w:vAlign w:val="bottom"/>
          </w:tcPr>
          <w:p>
            <w:pPr>
              <w:spacing w:after="0"/>
              <w:rPr>
                <w:sz w:val="17"/>
                <w:szCs w:val="17"/>
                <w:color w:val="auto"/>
              </w:rPr>
            </w:pPr>
          </w:p>
        </w:tc>
        <w:tc>
          <w:tcPr>
            <w:tcW w:w="2920" w:type="dxa"/>
            <w:vAlign w:val="bottom"/>
            <w:gridSpan w:val="5"/>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30,</w:t>
            </w: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gridSpan w:val="2"/>
            <w:vMerge w:val="continue"/>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83"/>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Reserve for losses and LAE net of reinsurance recoverables at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3"/>
          </w:tcPr>
          <w:p>
            <w:pPr>
              <w:jc w:val="center"/>
              <w:ind w:left="6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gridSpan w:val="3"/>
          </w:tcPr>
          <w:p>
            <w:pPr>
              <w:jc w:val="right"/>
              <w:ind w:right="2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51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199,185</w:t>
            </w:r>
          </w:p>
        </w:tc>
        <w:tc>
          <w:tcPr>
            <w:tcW w:w="120" w:type="dxa"/>
            <w:vAlign w:val="bottom"/>
          </w:tcPr>
          <w:p>
            <w:pPr>
              <w:spacing w:after="0"/>
              <w:rPr>
                <w:sz w:val="15"/>
                <w:szCs w:val="15"/>
                <w:color w:val="auto"/>
              </w:rPr>
            </w:pPr>
          </w:p>
        </w:tc>
        <w:tc>
          <w:tcPr>
            <w:tcW w:w="440" w:type="dxa"/>
            <w:vAlign w:val="bottom"/>
          </w:tcPr>
          <w:p>
            <w:pPr>
              <w:jc w:val="right"/>
              <w:ind w:right="276"/>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118,761</w:t>
            </w:r>
          </w:p>
        </w:tc>
        <w:tc>
          <w:tcPr>
            <w:tcW w:w="400" w:type="dxa"/>
            <w:vAlign w:val="bottom"/>
            <w:gridSpan w:val="2"/>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155,299</w:t>
            </w:r>
          </w:p>
        </w:tc>
        <w:tc>
          <w:tcPr>
            <w:tcW w:w="560" w:type="dxa"/>
            <w:vAlign w:val="bottom"/>
            <w:gridSpan w:val="2"/>
          </w:tcPr>
          <w:p>
            <w:pPr>
              <w:jc w:val="right"/>
              <w:ind w:right="3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1" w:lineRule="exact"/>
              <w:rPr>
                <w:sz w:val="20"/>
                <w:szCs w:val="20"/>
                <w:color w:val="auto"/>
              </w:rPr>
            </w:pPr>
            <w:r>
              <w:rPr>
                <w:rFonts w:ascii="Times New Roman" w:cs="Times New Roman" w:eastAsia="Times New Roman" w:hAnsi="Times New Roman"/>
                <w:sz w:val="18"/>
                <w:szCs w:val="18"/>
                <w:color w:val="auto"/>
              </w:rPr>
              <w:t>97,653</w:t>
            </w:r>
          </w:p>
        </w:tc>
        <w:tc>
          <w:tcPr>
            <w:tcW w:w="0" w:type="dxa"/>
            <w:vAlign w:val="bottom"/>
          </w:tcPr>
          <w:p>
            <w:pPr>
              <w:spacing w:after="0"/>
              <w:rPr>
                <w:sz w:val="1"/>
                <w:szCs w:val="1"/>
                <w:color w:val="auto"/>
              </w:rPr>
            </w:pPr>
          </w:p>
        </w:tc>
      </w:tr>
      <w:tr>
        <w:trPr>
          <w:trHeight w:val="229"/>
        </w:trPr>
        <w:tc>
          <w:tcPr>
            <w:tcW w:w="5140" w:type="dxa"/>
            <w:vAlign w:val="bottom"/>
          </w:tcPr>
          <w:p>
            <w:pPr>
              <w:ind w:left="100"/>
              <w:spacing w:after="0" w:line="229" w:lineRule="exact"/>
              <w:rPr>
                <w:sz w:val="20"/>
                <w:szCs w:val="20"/>
                <w:color w:val="auto"/>
              </w:rPr>
            </w:pPr>
            <w:r>
              <w:rPr>
                <w:rFonts w:ascii="Times New Roman" w:cs="Times New Roman" w:eastAsia="Times New Roman" w:hAnsi="Times New Roman"/>
                <w:sz w:val="18"/>
                <w:szCs w:val="18"/>
                <w:color w:val="auto"/>
              </w:rPr>
              <w:t>Add: Balance acquired from FIA</w:t>
            </w:r>
            <w:r>
              <w:rPr>
                <w:rFonts w:ascii="Times New Roman" w:cs="Times New Roman" w:eastAsia="Times New Roman" w:hAnsi="Times New Roman"/>
                <w:sz w:val="24"/>
                <w:szCs w:val="24"/>
                <w:color w:val="auto"/>
                <w:vertAlign w:val="superscript"/>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14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Add: Incurred losses and LAE, net of reinsurance, related to:</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78,946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40,536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174,703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100,225</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CFF0FC"/>
            </w:tcBorders>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(6,134)</w:t>
            </w:r>
          </w:p>
        </w:tc>
        <w:tc>
          <w:tcPr>
            <w:tcW w:w="1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(16,964)</w:t>
            </w:r>
          </w:p>
        </w:tc>
        <w:tc>
          <w:tcPr>
            <w:tcW w:w="1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183"/>
        </w:trPr>
        <w:tc>
          <w:tcPr>
            <w:tcW w:w="51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incurred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72,812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40,315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157,739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97,583</w:t>
            </w:r>
          </w:p>
        </w:tc>
        <w:tc>
          <w:tcPr>
            <w:tcW w:w="0" w:type="dxa"/>
            <w:vAlign w:val="bottom"/>
          </w:tcPr>
          <w:p>
            <w:pPr>
              <w:spacing w:after="0"/>
              <w:rPr>
                <w:sz w:val="1"/>
                <w:szCs w:val="1"/>
                <w:color w:val="auto"/>
              </w:rPr>
            </w:pPr>
          </w:p>
        </w:tc>
      </w:tr>
      <w:tr>
        <w:trPr>
          <w:trHeight w:val="189"/>
        </w:trPr>
        <w:tc>
          <w:tcPr>
            <w:tcW w:w="5140" w:type="dxa"/>
            <w:vAlign w:val="bottom"/>
            <w:shd w:val="clear" w:color="auto" w:fill="CFF0FC"/>
          </w:tcPr>
          <w:p>
            <w:pPr>
              <w:ind w:left="100"/>
              <w:spacing w:after="0" w:line="189" w:lineRule="exact"/>
              <w:rPr>
                <w:sz w:val="20"/>
                <w:szCs w:val="20"/>
                <w:color w:val="auto"/>
              </w:rPr>
            </w:pPr>
            <w:r>
              <w:rPr>
                <w:rFonts w:ascii="Times New Roman" w:cs="Times New Roman" w:eastAsia="Times New Roman" w:hAnsi="Times New Roman"/>
                <w:sz w:val="18"/>
                <w:szCs w:val="18"/>
                <w:color w:val="auto"/>
              </w:rPr>
              <w:t>Deduct: Loss and LAE payments, net of reinsurance, related to:</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Current year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15,655</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16,153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38,312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27,909</w:t>
            </w:r>
          </w:p>
        </w:tc>
        <w:tc>
          <w:tcPr>
            <w:tcW w:w="0" w:type="dxa"/>
            <w:vAlign w:val="bottom"/>
          </w:tcPr>
          <w:p>
            <w:pPr>
              <w:spacing w:after="0"/>
              <w:rPr>
                <w:sz w:val="1"/>
                <w:szCs w:val="1"/>
                <w:color w:val="auto"/>
              </w:rPr>
            </w:pPr>
          </w:p>
        </w:tc>
      </w:tr>
      <w:tr>
        <w:trPr>
          <w:trHeight w:val="189"/>
        </w:trPr>
        <w:tc>
          <w:tcPr>
            <w:tcW w:w="5140" w:type="dxa"/>
            <w:vAlign w:val="bottom"/>
            <w:tcBorders>
              <w:bottom w:val="single" w:sz="8" w:color="CFF0FC"/>
            </w:tcBorders>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Prior years</w:t>
            </w: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12,629</w:t>
            </w:r>
          </w:p>
        </w:tc>
        <w:tc>
          <w:tcPr>
            <w:tcW w:w="1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5,649</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37,801</w:t>
            </w:r>
          </w:p>
        </w:tc>
        <w:tc>
          <w:tcPr>
            <w:tcW w:w="12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30,053</w:t>
            </w:r>
          </w:p>
        </w:tc>
        <w:tc>
          <w:tcPr>
            <w:tcW w:w="0" w:type="dxa"/>
            <w:vAlign w:val="bottom"/>
          </w:tcPr>
          <w:p>
            <w:pPr>
              <w:spacing w:after="0"/>
              <w:rPr>
                <w:sz w:val="1"/>
                <w:szCs w:val="1"/>
                <w:color w:val="auto"/>
              </w:rPr>
            </w:pPr>
          </w:p>
        </w:tc>
      </w:tr>
      <w:tr>
        <w:trPr>
          <w:trHeight w:val="183"/>
        </w:trPr>
        <w:tc>
          <w:tcPr>
            <w:tcW w:w="51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Total payments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28,284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21,802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76,113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57,962</w:t>
            </w:r>
          </w:p>
        </w:tc>
        <w:tc>
          <w:tcPr>
            <w:tcW w:w="0" w:type="dxa"/>
            <w:vAlign w:val="bottom"/>
          </w:tcPr>
          <w:p>
            <w:pPr>
              <w:spacing w:after="0"/>
              <w:rPr>
                <w:sz w:val="1"/>
                <w:szCs w:val="1"/>
                <w:color w:val="auto"/>
              </w:rPr>
            </w:pPr>
          </w:p>
        </w:tc>
      </w:tr>
      <w:tr>
        <w:trPr>
          <w:trHeight w:val="157"/>
        </w:trPr>
        <w:tc>
          <w:tcPr>
            <w:tcW w:w="514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Reserve for losses and LAE net of reinsurance recoverables at end of</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243,713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137,274</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243,713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137,274</w:t>
            </w:r>
          </w:p>
        </w:tc>
        <w:tc>
          <w:tcPr>
            <w:tcW w:w="0" w:type="dxa"/>
            <w:vAlign w:val="bottom"/>
          </w:tcPr>
          <w:p>
            <w:pPr>
              <w:spacing w:after="0"/>
              <w:rPr>
                <w:sz w:val="1"/>
                <w:szCs w:val="1"/>
                <w:color w:val="auto"/>
              </w:rPr>
            </w:pPr>
          </w:p>
        </w:tc>
      </w:tr>
      <w:tr>
        <w:trPr>
          <w:trHeight w:val="157"/>
        </w:trPr>
        <w:tc>
          <w:tcPr>
            <w:tcW w:w="51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Add: Reinsurance recoverables on unpaid losses and LAE at end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440,559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360,164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440,559</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360,164</w:t>
            </w:r>
          </w:p>
        </w:tc>
        <w:tc>
          <w:tcPr>
            <w:tcW w:w="0" w:type="dxa"/>
            <w:vAlign w:val="bottom"/>
          </w:tcPr>
          <w:p>
            <w:pPr>
              <w:spacing w:after="0"/>
              <w:rPr>
                <w:sz w:val="1"/>
                <w:szCs w:val="1"/>
                <w:color w:val="auto"/>
              </w:rPr>
            </w:pPr>
          </w:p>
        </w:tc>
      </w:tr>
      <w:tr>
        <w:trPr>
          <w:trHeight w:val="20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5140" w:type="dxa"/>
            <w:vAlign w:val="bottom"/>
            <w:shd w:val="clear" w:color="auto" w:fill="CFF0FC"/>
          </w:tcPr>
          <w:p>
            <w:pPr>
              <w:spacing w:after="0" w:line="150" w:lineRule="exact"/>
              <w:rPr>
                <w:sz w:val="20"/>
                <w:szCs w:val="20"/>
                <w:color w:val="auto"/>
              </w:rPr>
            </w:pPr>
            <w:r>
              <w:rPr>
                <w:rFonts w:ascii="Times New Roman" w:cs="Times New Roman" w:eastAsia="Times New Roman" w:hAnsi="Times New Roman"/>
                <w:sz w:val="17"/>
                <w:szCs w:val="17"/>
                <w:color w:val="auto"/>
              </w:rPr>
              <w:t>Reserve for losses and LAE gross of reinsurance recoverables on</w:t>
            </w:r>
          </w:p>
        </w:tc>
        <w:tc>
          <w:tcPr>
            <w:tcW w:w="2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684,272</w:t>
            </w:r>
          </w:p>
        </w:tc>
        <w:tc>
          <w:tcPr>
            <w:tcW w:w="120" w:type="dxa"/>
            <w:vAlign w:val="bottom"/>
            <w:shd w:val="clear" w:color="auto" w:fill="CFF0FC"/>
          </w:tcPr>
          <w:p>
            <w:pPr>
              <w:spacing w:after="0"/>
              <w:rPr>
                <w:sz w:val="13"/>
                <w:szCs w:val="13"/>
                <w:color w:val="auto"/>
              </w:rPr>
            </w:pPr>
          </w:p>
        </w:tc>
        <w:tc>
          <w:tcPr>
            <w:tcW w:w="440" w:type="dxa"/>
            <w:vAlign w:val="bottom"/>
            <w:vMerge w:val="restart"/>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497,438</w:t>
            </w:r>
          </w:p>
        </w:tc>
        <w:tc>
          <w:tcPr>
            <w:tcW w:w="400" w:type="dxa"/>
            <w:vAlign w:val="bottom"/>
            <w:gridSpan w:val="2"/>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684,272</w:t>
            </w:r>
          </w:p>
        </w:tc>
        <w:tc>
          <w:tcPr>
            <w:tcW w:w="560" w:type="dxa"/>
            <w:vAlign w:val="bottom"/>
            <w:gridSpan w:val="2"/>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497,438</w:t>
            </w:r>
          </w:p>
        </w:tc>
        <w:tc>
          <w:tcPr>
            <w:tcW w:w="0" w:type="dxa"/>
            <w:vAlign w:val="bottom"/>
          </w:tcPr>
          <w:p>
            <w:pPr>
              <w:spacing w:after="0"/>
              <w:rPr>
                <w:sz w:val="1"/>
                <w:szCs w:val="1"/>
                <w:color w:val="auto"/>
              </w:rPr>
            </w:pPr>
          </w:p>
        </w:tc>
      </w:tr>
      <w:tr>
        <w:trPr>
          <w:trHeight w:val="200"/>
        </w:trPr>
        <w:tc>
          <w:tcPr>
            <w:tcW w:w="514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8"/>
                <w:szCs w:val="18"/>
                <w:color w:val="auto"/>
              </w:rPr>
              <w:t>unpaid losses and LAE at end of period</w:t>
            </w:r>
          </w:p>
        </w:tc>
        <w:tc>
          <w:tcPr>
            <w:tcW w:w="280" w:type="dxa"/>
            <w:vAlign w:val="bottom"/>
            <w:gridSpan w:val="2"/>
            <w:vMerge w:val="continue"/>
            <w:shd w:val="clear" w:color="auto" w:fill="CFF0FC"/>
          </w:tcPr>
          <w:p>
            <w:pPr>
              <w:spacing w:after="0"/>
              <w:rPr>
                <w:sz w:val="17"/>
                <w:szCs w:val="17"/>
                <w:color w:val="auto"/>
              </w:rPr>
            </w:pPr>
          </w:p>
        </w:tc>
        <w:tc>
          <w:tcPr>
            <w:tcW w:w="12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vMerge w:val="continue"/>
            <w:shd w:val="clear" w:color="auto" w:fill="CFF0FC"/>
          </w:tcPr>
          <w:p>
            <w:pPr>
              <w:spacing w:after="0"/>
              <w:rPr>
                <w:sz w:val="17"/>
                <w:szCs w:val="17"/>
                <w:color w:val="auto"/>
              </w:rPr>
            </w:pPr>
          </w:p>
        </w:tc>
        <w:tc>
          <w:tcPr>
            <w:tcW w:w="940" w:type="dxa"/>
            <w:vAlign w:val="bottom"/>
            <w:vMerge w:val="continue"/>
            <w:shd w:val="clear" w:color="auto" w:fill="CFF0FC"/>
          </w:tcPr>
          <w:p>
            <w:pPr>
              <w:spacing w:after="0"/>
              <w:rPr>
                <w:sz w:val="17"/>
                <w:szCs w:val="17"/>
                <w:color w:val="auto"/>
              </w:rPr>
            </w:pPr>
          </w:p>
        </w:tc>
        <w:tc>
          <w:tcPr>
            <w:tcW w:w="400" w:type="dxa"/>
            <w:vAlign w:val="bottom"/>
            <w:gridSpan w:val="2"/>
            <w:vMerge w:val="continue"/>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560" w:type="dxa"/>
            <w:vAlign w:val="bottom"/>
            <w:gridSpan w:val="2"/>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-1336675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-1336675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-1336675</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-848360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-848360</wp:posOffset>
            </wp:positionV>
            <wp:extent cx="774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-848360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760" w:right="760" w:hanging="752"/>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recognized in Reserve for losses and LAE net of reinsurance recoverables upon acquisition of FIA on 1/1/2025, in accordance with ASC 805, Business Combinations. See Note 12 for additional information regarding the acquisition.</w:t>
      </w:r>
    </w:p>
    <w:p>
      <w:pPr>
        <w:spacing w:after="0" w:line="13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Considerable variability is inherent in the estimate of the reserve for losses and LAE. Although management believes the liability recorded for losses and LAE is adequate, the variability inherent in this estimate could result in changes to the ultimate liability, which may be material to stockholders’ equity.</w:t>
      </w:r>
    </w:p>
    <w:p>
      <w:pPr>
        <w:spacing w:after="0" w:line="150"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$6.1 million and favorable prior year development of $0.2 million during the three months ended September 30, 2025 and 2024, respectively.</w:t>
      </w:r>
    </w:p>
    <w:p>
      <w:pPr>
        <w:spacing w:after="0" w:line="135"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Company experienced favorable prior year development of $17.0 million and favorable prior year development of $2.6 million during the nine months ended September 30, 2025 and 2024, respectively.</w:t>
      </w:r>
    </w:p>
    <w:p>
      <w:pPr>
        <w:spacing w:after="0" w:line="135"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Favorable prior year development during the three months ended September 30, 2025 and 2024 was primarily due to lower than anticipated severity of attritional losses.</w:t>
      </w:r>
    </w:p>
    <w:p>
      <w:pPr>
        <w:spacing w:after="0" w:line="135"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Favorable prior year development during the nine months ended September 30, 2025 and 2024 was primarily due to lower than anticipated severity of attritional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175"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5,000,000 preferred shares authorized with a par value of $0.0001 and no preferred shares issued and outstanding. As of September 30, 2025 and December 31, 2024, the Company had 500,000,000 common shares authorized and 26,494,524 and 26,529,402 common shares issued and outstanding, respectively, with a par value of $0.0001. Additional paid in capital was $516.4 million as of September 30, 2025 and $493.7 million as of December 31, 2024.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 for future issuance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 as of September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p>
      <w:pPr>
        <w:spacing w:after="0" w:line="219" w:lineRule="auto"/>
        <w:rPr>
          <w:sz w:val="20"/>
          <w:szCs w:val="20"/>
          <w:color w:val="auto"/>
        </w:rPr>
      </w:pPr>
      <w:r>
        <w:rPr>
          <w:rFonts w:ascii="Times New Roman" w:cs="Times New Roman" w:eastAsia="Times New Roman" w:hAnsi="Times New Roman"/>
          <w:sz w:val="18"/>
          <w:szCs w:val="18"/>
          <w:color w:val="auto"/>
        </w:rPr>
        <w:t>Performance stock units outstanding under 2019 Equity Incentive Plan,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based compensation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The below table summarizes the Company’s stock-based compensation expense for each period presented: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508,875</w:t>
      </w:r>
    </w:p>
    <w:p>
      <w:pPr>
        <w:jc w:val="right"/>
        <w:ind w:right="120"/>
        <w:spacing w:after="0" w:line="221" w:lineRule="auto"/>
        <w:rPr>
          <w:sz w:val="20"/>
          <w:szCs w:val="20"/>
          <w:color w:val="auto"/>
        </w:rPr>
      </w:pPr>
      <w:r>
        <w:rPr>
          <w:rFonts w:ascii="Times New Roman" w:cs="Times New Roman" w:eastAsia="Times New Roman" w:hAnsi="Times New Roman"/>
          <w:sz w:val="18"/>
          <w:szCs w:val="18"/>
          <w:color w:val="auto"/>
        </w:rPr>
        <w:t>302,720</w:t>
      </w:r>
    </w:p>
    <w:p>
      <w:pPr>
        <w:jc w:val="right"/>
        <w:ind w:right="120"/>
        <w:spacing w:after="0" w:line="219" w:lineRule="auto"/>
        <w:rPr>
          <w:sz w:val="20"/>
          <w:szCs w:val="20"/>
          <w:color w:val="auto"/>
        </w:rPr>
      </w:pPr>
      <w:r>
        <w:rPr>
          <w:rFonts w:ascii="Times New Roman" w:cs="Times New Roman" w:eastAsia="Times New Roman" w:hAnsi="Times New Roman"/>
          <w:sz w:val="18"/>
          <w:szCs w:val="18"/>
          <w:color w:val="auto"/>
        </w:rPr>
        <w:t>502,246</w:t>
      </w:r>
    </w:p>
    <w:p>
      <w:pPr>
        <w:jc w:val="right"/>
        <w:ind w:right="120"/>
        <w:spacing w:after="0" w:line="219" w:lineRule="auto"/>
        <w:rPr>
          <w:sz w:val="20"/>
          <w:szCs w:val="20"/>
          <w:color w:val="auto"/>
        </w:rPr>
      </w:pPr>
      <w:r>
        <w:rPr>
          <w:rFonts w:ascii="Times New Roman" w:cs="Times New Roman" w:eastAsia="Times New Roman" w:hAnsi="Times New Roman"/>
          <w:sz w:val="18"/>
          <w:szCs w:val="18"/>
          <w:color w:val="auto"/>
        </w:rPr>
        <w:t>4,221,675</w:t>
      </w:r>
    </w:p>
    <w:p>
      <w:pPr>
        <w:jc w:val="right"/>
        <w:ind w:right="120"/>
        <w:spacing w:after="0" w:line="235" w:lineRule="auto"/>
        <w:rPr>
          <w:sz w:val="20"/>
          <w:szCs w:val="20"/>
          <w:color w:val="auto"/>
        </w:rPr>
      </w:pPr>
      <w:r>
        <w:rPr>
          <w:rFonts w:ascii="Times New Roman" w:cs="Times New Roman" w:eastAsia="Times New Roman" w:hAnsi="Times New Roman"/>
          <w:sz w:val="18"/>
          <w:szCs w:val="18"/>
          <w:color w:val="auto"/>
        </w:rPr>
        <w:t>1,581,244</w:t>
      </w:r>
    </w:p>
    <w:p>
      <w:pPr>
        <w:spacing w:after="0"/>
        <w:rPr>
          <w:sz w:val="20"/>
          <w:szCs w:val="20"/>
          <w:color w:val="auto"/>
        </w:rPr>
      </w:pPr>
      <w:r>
        <w:rPr>
          <w:rFonts w:ascii="Times New Roman" w:cs="Times New Roman" w:eastAsia="Times New Roman" w:hAnsi="Times New Roman"/>
          <w:sz w:val="18"/>
          <w:szCs w:val="18"/>
          <w:color w:val="auto"/>
        </w:rPr>
        <w:t>7,116,760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-3175</wp:posOffset>
            </wp:positionV>
            <wp:extent cx="12255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25550" cy="8890"/>
                    </a:xfrm>
                    <a:prstGeom prst="rect">
                      <a:avLst/>
                    </a:prstGeom>
                    <a:noFill/>
                  </pic:spPr>
                </pic:pic>
              </a:graphicData>
            </a:graphic>
          </wp:anchor>
        </w:drawing>
        <w:drawing>
          <wp:anchor simplePos="0" relativeHeight="251657728" behindDoc="1" locked="0" layoutInCell="0" allowOverlap="1">
            <wp:simplePos x="0" y="0"/>
            <wp:positionH relativeFrom="column">
              <wp:posOffset>-692150</wp:posOffset>
            </wp:positionH>
            <wp:positionV relativeFrom="paragraph">
              <wp:posOffset>13335</wp:posOffset>
            </wp:positionV>
            <wp:extent cx="12255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993" w:lineRule="exact"/>
        <w:rPr>
          <w:sz w:val="20"/>
          <w:szCs w:val="20"/>
          <w:color w:val="auto"/>
        </w:rPr>
      </w:pPr>
    </w:p>
    <w:p>
      <w:pPr>
        <w:sectPr>
          <w:pgSz w:w="11900" w:h="16838" w:orient="portrait"/>
          <w:cols w:equalWidth="0" w:num="2">
            <w:col w:w="9680" w:space="720"/>
            <w:col w:w="84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2840" w:type="dxa"/>
            <w:vAlign w:val="bottom"/>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40" w:type="dxa"/>
            <w:vAlign w:val="bottom"/>
          </w:tcPr>
          <w:p>
            <w:pPr>
              <w:spacing w:after="0"/>
              <w:rPr>
                <w:sz w:val="17"/>
                <w:szCs w:val="17"/>
                <w:color w:val="auto"/>
              </w:rPr>
            </w:pPr>
          </w:p>
        </w:tc>
        <w:tc>
          <w:tcPr>
            <w:tcW w:w="2800" w:type="dxa"/>
            <w:vAlign w:val="bottom"/>
            <w:gridSpan w:val="5"/>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144"/>
        </w:trPr>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46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gridSpan w:val="2"/>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83"/>
        </w:trPr>
        <w:tc>
          <w:tcPr>
            <w:tcW w:w="5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gridSpan w:val="4"/>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3"/>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FF0FC"/>
          </w:tcPr>
          <w:p>
            <w:pPr>
              <w:jc w:val="right"/>
              <w:ind w:right="6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5,379</w:t>
            </w:r>
          </w:p>
        </w:tc>
        <w:tc>
          <w:tcPr>
            <w:tcW w:w="680" w:type="dxa"/>
            <w:vAlign w:val="bottom"/>
            <w:gridSpan w:val="3"/>
            <w:shd w:val="clear" w:color="auto" w:fill="CFF0FC"/>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4,117</w:t>
            </w:r>
          </w:p>
        </w:tc>
        <w:tc>
          <w:tcPr>
            <w:tcW w:w="400" w:type="dxa"/>
            <w:vAlign w:val="bottom"/>
            <w:gridSpan w:val="2"/>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15,471</w:t>
            </w:r>
          </w:p>
        </w:tc>
        <w:tc>
          <w:tcPr>
            <w:tcW w:w="560" w:type="dxa"/>
            <w:vAlign w:val="bottom"/>
            <w:gridSpan w:val="2"/>
            <w:shd w:val="clear" w:color="auto" w:fill="CFF0FC"/>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11,905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equity-based awards. For performance stock units (“PSUs”), any changes to expense resulting from differences in actual performance versus target are recognized over the remaining vesting period of the awards. The Company does not apply a forfeiture rate to unvested awards and accounts for forfeitures as they occur. All stock-based compensation is included in other underwriting expenses in the Company’s unaudited condensed consolidated statement of income and comprehensive income.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17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42"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Recipients of stock options can purchase shares of the Company’s common stock at a price equal to the common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nine months ended September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00" w:type="dxa"/>
            <w:vAlign w:val="bottom"/>
          </w:tcPr>
          <w:p>
            <w:pPr>
              <w:spacing w:after="0"/>
              <w:rPr>
                <w:sz w:val="18"/>
                <w:szCs w:val="18"/>
                <w:color w:val="auto"/>
              </w:rPr>
            </w:pPr>
          </w:p>
        </w:tc>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15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60" w:type="dxa"/>
            <w:vAlign w:val="bottom"/>
          </w:tcPr>
          <w:p>
            <w:pPr>
              <w:spacing w:after="0"/>
              <w:rPr>
                <w:sz w:val="16"/>
                <w:szCs w:val="16"/>
                <w:color w:val="auto"/>
              </w:rPr>
            </w:pPr>
          </w:p>
        </w:tc>
        <w:tc>
          <w:tcPr>
            <w:tcW w:w="1480" w:type="dxa"/>
            <w:vAlign w:val="bottom"/>
            <w:gridSpan w:val="2"/>
          </w:tcPr>
          <w:p>
            <w:pPr>
              <w:jc w:val="right"/>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average exercise</w:t>
            </w:r>
          </w:p>
        </w:tc>
        <w:tc>
          <w:tcPr>
            <w:tcW w:w="100" w:type="dxa"/>
            <w:vAlign w:val="bottom"/>
          </w:tcPr>
          <w:p>
            <w:pPr>
              <w:spacing w:after="0"/>
              <w:rPr>
                <w:sz w:val="16"/>
                <w:szCs w:val="16"/>
                <w:color w:val="auto"/>
              </w:rPr>
            </w:pPr>
          </w:p>
        </w:tc>
        <w:tc>
          <w:tcPr>
            <w:tcW w:w="1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rPr>
              <w:t>contractual term</w:t>
            </w:r>
          </w:p>
        </w:tc>
        <w:tc>
          <w:tcPr>
            <w:tcW w:w="160" w:type="dxa"/>
            <w:vAlign w:val="bottom"/>
          </w:tcPr>
          <w:p>
            <w:pPr>
              <w:spacing w:after="0"/>
              <w:rPr>
                <w:sz w:val="16"/>
                <w:szCs w:val="16"/>
                <w:color w:val="auto"/>
              </w:rPr>
            </w:pPr>
          </w:p>
        </w:tc>
        <w:tc>
          <w:tcPr>
            <w:tcW w:w="1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intrinsic value (in</w:t>
            </w:r>
          </w:p>
        </w:tc>
        <w:tc>
          <w:tcPr>
            <w:tcW w:w="0" w:type="dxa"/>
            <w:vAlign w:val="bottom"/>
          </w:tcPr>
          <w:p>
            <w:pPr>
              <w:spacing w:after="0"/>
              <w:rPr>
                <w:sz w:val="1"/>
                <w:szCs w:val="1"/>
                <w:color w:val="auto"/>
              </w:rPr>
            </w:pPr>
          </w:p>
        </w:tc>
      </w:tr>
      <w:tr>
        <w:trPr>
          <w:trHeight w:val="225"/>
        </w:trPr>
        <w:tc>
          <w:tcPr>
            <w:tcW w:w="4740" w:type="dxa"/>
            <w:vAlign w:val="bottom"/>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183"/>
        </w:trPr>
        <w:tc>
          <w:tcPr>
            <w:tcW w:w="4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15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588,385</w:t>
            </w:r>
          </w:p>
        </w:tc>
        <w:tc>
          <w:tcPr>
            <w:tcW w:w="34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33.76</w:t>
            </w:r>
          </w:p>
        </w:tc>
        <w:tc>
          <w:tcPr>
            <w:tcW w:w="164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340" w:type="dxa"/>
            <w:vAlign w:val="bottom"/>
            <w:gridSpan w:val="2"/>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42,273</w:t>
            </w: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Options granted</w:t>
            </w:r>
          </w:p>
        </w:tc>
        <w:tc>
          <w:tcPr>
            <w:tcW w:w="15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Options exercised</w:t>
            </w:r>
          </w:p>
        </w:tc>
        <w:tc>
          <w:tcPr>
            <w:tcW w:w="15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(78,976)</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42.36</w:t>
            </w: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Options cancelled</w:t>
            </w: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83.46</w:t>
            </w:r>
          </w:p>
        </w:tc>
        <w:tc>
          <w:tcPr>
            <w:tcW w:w="10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September 30, 2025</w:t>
            </w:r>
          </w:p>
        </w:tc>
        <w:tc>
          <w:tcPr>
            <w:tcW w:w="15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508,875</w:t>
            </w:r>
          </w:p>
        </w:tc>
        <w:tc>
          <w:tcPr>
            <w:tcW w:w="34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32.37</w:t>
            </w:r>
          </w:p>
        </w:tc>
        <w:tc>
          <w:tcPr>
            <w:tcW w:w="164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340" w:type="dxa"/>
            <w:vAlign w:val="bottom"/>
            <w:gridSpan w:val="2"/>
            <w:shd w:val="clear" w:color="auto" w:fill="CFF0FC"/>
          </w:tcPr>
          <w:p>
            <w:pPr>
              <w:ind w:left="1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53,284</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September 30, 2025</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508,807</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32.37</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53,279</w:t>
            </w:r>
          </w:p>
        </w:tc>
        <w:tc>
          <w:tcPr>
            <w:tcW w:w="0" w:type="dxa"/>
            <w:vAlign w:val="bottom"/>
          </w:tcPr>
          <w:p>
            <w:pPr>
              <w:spacing w:after="0"/>
              <w:rPr>
                <w:sz w:val="1"/>
                <w:szCs w:val="1"/>
                <w:color w:val="auto"/>
              </w:rPr>
            </w:pPr>
          </w:p>
        </w:tc>
      </w:tr>
      <w:tr>
        <w:trPr>
          <w:trHeight w:val="616"/>
        </w:trPr>
        <w:tc>
          <w:tcPr>
            <w:tcW w:w="4740" w:type="dxa"/>
            <w:vAlign w:val="bottom"/>
          </w:tcPr>
          <w:p>
            <w:pPr>
              <w:spacing w:after="0"/>
              <w:rPr>
                <w:sz w:val="24"/>
                <w:szCs w:val="24"/>
                <w:color w:val="auto"/>
              </w:rPr>
            </w:pP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-1062355</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-1045210</wp:posOffset>
            </wp:positionV>
            <wp:extent cx="1028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-1062355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-1045210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-1062355</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-1045210</wp:posOffset>
            </wp:positionV>
            <wp:extent cx="1028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immaterial unrecognized stock-based compensation expense related to stock options expected to be recognized over a weighted-average period of 0.1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RSUs are valued using the closing price of the Company’s common stock on their grant date. The Company has issued RSUs with vesting periods of one to five years. Vesting is generally subject to continued service with the Company; however, certain employees who meet the requirements of the Company’s Equity Award Retirement Policy may continue to vest their RSUs following a qualified retirement.</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RSU transactions for the nine months ended September 30,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7"/>
                <w:szCs w:val="17"/>
                <w:color w:val="auto"/>
              </w:rPr>
            </w:pPr>
          </w:p>
        </w:tc>
        <w:tc>
          <w:tcPr>
            <w:tcW w:w="2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17"/>
                <w:szCs w:val="17"/>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18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320,411</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65.03</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130,320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115.65</w:t>
            </w:r>
          </w:p>
        </w:tc>
        <w:tc>
          <w:tcPr>
            <w:tcW w:w="0" w:type="dxa"/>
            <w:vAlign w:val="bottom"/>
          </w:tcPr>
          <w:p>
            <w:pPr>
              <w:spacing w:after="0"/>
              <w:rPr>
                <w:sz w:val="1"/>
                <w:szCs w:val="1"/>
                <w:color w:val="auto"/>
              </w:rPr>
            </w:pPr>
          </w:p>
        </w:tc>
      </w:tr>
      <w:tr>
        <w:trPr>
          <w:trHeight w:val="189"/>
        </w:trPr>
        <w:tc>
          <w:tcPr>
            <w:tcW w:w="6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Released</w:t>
            </w:r>
          </w:p>
        </w:tc>
        <w:tc>
          <w:tcPr>
            <w:tcW w:w="2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(140,737)</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62.68</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(7,274)</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85.58</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outstanding at September 30, 2025</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302,720</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87.42</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1460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1460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approximately $20.0 million of total unrecognized stock-based compensation expense related to RSUs expected to be recognized over a weighted-average period of 1.6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issues PSUs with a combination of service, performance, and market conditions.</w:t>
      </w:r>
    </w:p>
    <w:p>
      <w:pPr>
        <w:spacing w:after="0" w:line="185" w:lineRule="exact"/>
        <w:rPr>
          <w:sz w:val="20"/>
          <w:szCs w:val="20"/>
          <w:color w:val="auto"/>
        </w:rPr>
      </w:pPr>
    </w:p>
    <w:p>
      <w:pPr>
        <w:ind w:right="220" w:firstLine="749"/>
        <w:spacing w:after="0" w:line="244"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and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 As of September 30, 2025, four stock price milestones have been achieved solely with respect to the PSU award granted to the Chief Executive Officer. Additionally, two stock price milestones have been achieved with respect to each of the PSU awards granted to four other executives. These PSUs have been earned, but will not vest until the fifth anniversary of the grant date, subject to continued service.</w:t>
      </w:r>
    </w:p>
    <w:p>
      <w:pPr>
        <w:spacing w:after="0" w:line="155"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The PSU’s performance period is primarily a three-year period beginning with the grant date. At the end of the performance period, the actual results are measured against the predetermined targets to determine the number of PSUs to be earned as compensation. The earned PSUs are also subject to a required service period of approximately three years from the grant date before vesting and being issued as common stock.</w:t>
      </w:r>
    </w:p>
    <w:p>
      <w:pPr>
        <w:spacing w:after="0" w:line="154"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Effective starting with 2025 grants, PSUs issued to executives include a relative total shareholder return (“RTSR”) modifier. The RTSR modifier adjusts PSU payouts up or down based on the Company’s shareholder return relative to the S&amp;P 1500 Property &amp; Casualty Insurance Index (the “Index”) over a three-year measurement period.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PSU transactions for the nine months ended September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40" w:type="dxa"/>
            <w:vAlign w:val="bottom"/>
          </w:tcPr>
          <w:p>
            <w:pPr>
              <w:spacing w:after="0"/>
              <w:rPr>
                <w:sz w:val="18"/>
                <w:szCs w:val="18"/>
                <w:color w:val="auto"/>
              </w:rPr>
            </w:pPr>
          </w:p>
        </w:tc>
        <w:tc>
          <w:tcPr>
            <w:tcW w:w="2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Weighted-average grant</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19"/>
                <w:szCs w:val="19"/>
                <w:color w:val="auto"/>
              </w:rPr>
            </w:pPr>
          </w:p>
        </w:tc>
        <w:tc>
          <w:tcPr>
            <w:tcW w:w="216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18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Outstanding at January 1, 2025</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460,450</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86,844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99.61</w:t>
            </w:r>
          </w:p>
        </w:tc>
        <w:tc>
          <w:tcPr>
            <w:tcW w:w="0" w:type="dxa"/>
            <w:vAlign w:val="bottom"/>
          </w:tcPr>
          <w:p>
            <w:pPr>
              <w:spacing w:after="0"/>
              <w:rPr>
                <w:sz w:val="1"/>
                <w:szCs w:val="1"/>
                <w:color w:val="auto"/>
              </w:rPr>
            </w:pPr>
          </w:p>
        </w:tc>
      </w:tr>
      <w:tr>
        <w:trPr>
          <w:trHeight w:val="189"/>
        </w:trPr>
        <w:tc>
          <w:tcPr>
            <w:tcW w:w="67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2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(41,400)</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189"/>
        </w:trPr>
        <w:tc>
          <w:tcPr>
            <w:tcW w:w="6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(3,648)</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73.15</w:t>
            </w: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outstanding at September 30, 2025</w:t>
            </w:r>
          </w:p>
        </w:tc>
        <w:tc>
          <w:tcPr>
            <w:tcW w:w="2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502,246</w:t>
            </w:r>
          </w:p>
        </w:tc>
        <w:tc>
          <w:tcPr>
            <w:tcW w:w="5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-25400</wp:posOffset>
            </wp:positionV>
            <wp:extent cx="1460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1460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64"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2021 executive stock grants and the 100% achievement of the predetermined performance conditions for the other PSU grants. The actual number of PSUs which will vest is subject to adjustment based on the Company’s actual stock price performance and financial performance relative to the predetermined targets. As of September 30, 2025, the Company had approximately $10.9 million of total</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stock-based compensation expense related to PSUs expected to be recognized over a weighted-average period of 1.1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187"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were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50" w:lineRule="exact"/>
        <w:rPr>
          <w:sz w:val="20"/>
          <w:szCs w:val="20"/>
          <w:color w:val="auto"/>
        </w:rPr>
      </w:pPr>
    </w:p>
    <w:p>
      <w:pPr>
        <w:jc w:val="both"/>
        <w:ind w:right="120" w:firstLine="749"/>
        <w:spacing w:after="0" w:line="250"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12,426 shares pursuant to the ESPP during the nine months ended September 30,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In July 2025, the Company’s Board of Directors approved a share repurchase program authorizing the repurchase of up to $150 million of outstanding shares of common stock through July 31, 2027.</w:t>
      </w:r>
    </w:p>
    <w:p>
      <w:pPr>
        <w:spacing w:after="0" w:line="108"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The Company repurchased 308,417 shares for $37.3 million at an average price of $120.85 per share under this program during the nine months ended September 30, 2025. Approximately $112.7 million remains available for future repurchases under this program. The Company accounts for share repurchases by charging the excess of repurchase price over the common stock’s par value entirely to retained earnings. All repurchased shares are retired and become authorized but unissued shares.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Accumulated Other Comprehensive Income</w:t>
            </w: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92"/>
        </w:trPr>
        <w:tc>
          <w:tcPr>
            <w:tcW w:w="77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(“AOCI”) are as follows:</w:t>
            </w: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8"/>
        </w:trPr>
        <w:tc>
          <w:tcPr>
            <w:tcW w:w="772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83"/>
        </w:trPr>
        <w:tc>
          <w:tcPr>
            <w:tcW w:w="772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7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60" w:type="dxa"/>
            <w:vAlign w:val="bottom"/>
            <w:gridSpan w:val="3"/>
          </w:tcPr>
          <w:p>
            <w:pPr>
              <w:jc w:val="right"/>
              <w:ind w:right="10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160" w:type="dxa"/>
            <w:vAlign w:val="bottom"/>
          </w:tcPr>
          <w:p>
            <w:pPr>
              <w:spacing w:after="0"/>
              <w:rPr>
                <w:sz w:val="15"/>
                <w:szCs w:val="15"/>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shd w:val="clear" w:color="auto" w:fill="CFF0FC"/>
          </w:tcPr>
          <w:p>
            <w:pPr>
              <w:jc w:val="right"/>
              <w:ind w:right="8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(26,845)</w:t>
            </w:r>
          </w:p>
        </w:tc>
        <w:tc>
          <w:tcPr>
            <w:tcW w:w="660" w:type="dxa"/>
            <w:vAlign w:val="bottom"/>
            <w:gridSpan w:val="2"/>
            <w:shd w:val="clear" w:color="auto" w:fill="CFF0FC"/>
          </w:tcPr>
          <w:p>
            <w:pPr>
              <w:jc w:val="right"/>
              <w:ind w:right="4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(23,991)</w:t>
            </w:r>
          </w:p>
        </w:tc>
      </w:tr>
      <w:tr>
        <w:trPr>
          <w:trHeight w:val="189"/>
        </w:trPr>
        <w:tc>
          <w:tcPr>
            <w:tcW w:w="7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72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comprehensive income before reclassification</w:t>
            </w: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28,478</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17,265</w:t>
            </w:r>
          </w:p>
        </w:tc>
      </w:tr>
      <w:tr>
        <w:trPr>
          <w:trHeight w:val="189"/>
        </w:trPr>
        <w:tc>
          <w:tcPr>
            <w:tcW w:w="77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Federal income tax expense</w:t>
            </w: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(5,922)</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(3,626)</w:t>
            </w:r>
          </w:p>
        </w:tc>
      </w:tr>
      <w:tr>
        <w:trPr>
          <w:trHeight w:val="183"/>
        </w:trPr>
        <w:tc>
          <w:tcPr>
            <w:tcW w:w="7720" w:type="dxa"/>
            <w:vAlign w:val="bottom"/>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Other comprehensive income before reclassification, net of tax</w:t>
            </w:r>
          </w:p>
        </w:tc>
        <w:tc>
          <w:tcPr>
            <w:tcW w:w="10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22,556</w:t>
            </w:r>
          </w:p>
        </w:tc>
        <w:tc>
          <w:tcPr>
            <w:tcW w:w="1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13,639</w:t>
            </w:r>
          </w:p>
        </w:tc>
      </w:tr>
      <w:tr>
        <w:trPr>
          <w:trHeight w:val="189"/>
        </w:trPr>
        <w:tc>
          <w:tcPr>
            <w:tcW w:w="7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720" w:type="dxa"/>
            <w:vAlign w:val="bottom"/>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Amounts reclassified from AOCI</w:t>
            </w:r>
          </w:p>
        </w:tc>
        <w:tc>
          <w:tcPr>
            <w:tcW w:w="10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270</w:t>
            </w:r>
          </w:p>
        </w:tc>
      </w:tr>
      <w:tr>
        <w:trPr>
          <w:trHeight w:val="189"/>
        </w:trPr>
        <w:tc>
          <w:tcPr>
            <w:tcW w:w="772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Federal income tax expense</w:t>
            </w: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(57)</w:t>
            </w:r>
          </w:p>
        </w:tc>
      </w:tr>
      <w:tr>
        <w:trPr>
          <w:trHeight w:val="183"/>
        </w:trPr>
        <w:tc>
          <w:tcPr>
            <w:tcW w:w="7720" w:type="dxa"/>
            <w:vAlign w:val="bottom"/>
            <w:tcBorders>
              <w:bottom w:val="single" w:sz="8" w:color="CFF0FC"/>
            </w:tcBorders>
            <w:shd w:val="clear" w:color="auto" w:fill="CFF0FC"/>
          </w:tcPr>
          <w:p>
            <w:pPr>
              <w:ind w:left="140"/>
              <w:spacing w:after="0" w:line="182" w:lineRule="exact"/>
              <w:rPr>
                <w:sz w:val="20"/>
                <w:szCs w:val="20"/>
                <w:color w:val="auto"/>
              </w:rPr>
            </w:pPr>
            <w:r>
              <w:rPr>
                <w:rFonts w:ascii="Times New Roman" w:cs="Times New Roman" w:eastAsia="Times New Roman" w:hAnsi="Times New Roman"/>
                <w:sz w:val="18"/>
                <w:szCs w:val="18"/>
                <w:color w:val="auto"/>
              </w:rPr>
              <w:t>Amounts reclassified from AOCI, net of tax</w:t>
            </w:r>
          </w:p>
        </w:tc>
        <w:tc>
          <w:tcPr>
            <w:tcW w:w="10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197</w:t>
            </w:r>
          </w:p>
        </w:tc>
        <w:tc>
          <w:tcPr>
            <w:tcW w:w="16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213</w:t>
            </w:r>
          </w:p>
        </w:tc>
      </w:tr>
      <w:tr>
        <w:trPr>
          <w:trHeight w:val="183"/>
        </w:trPr>
        <w:tc>
          <w:tcPr>
            <w:tcW w:w="7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7720" w:type="dxa"/>
            <w:vAlign w:val="bottom"/>
            <w:tcBorders>
              <w:bottom w:val="single" w:sz="8" w:color="CFF0FC"/>
            </w:tcBorders>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22,753</w:t>
            </w:r>
          </w:p>
        </w:tc>
        <w:tc>
          <w:tcPr>
            <w:tcW w:w="1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13,852</w:t>
            </w:r>
          </w:p>
        </w:tc>
      </w:tr>
      <w:tr>
        <w:trPr>
          <w:trHeight w:val="183"/>
        </w:trPr>
        <w:tc>
          <w:tcPr>
            <w:tcW w:w="77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end of period</w:t>
            </w:r>
          </w:p>
        </w:tc>
        <w:tc>
          <w:tcPr>
            <w:tcW w:w="1000" w:type="dxa"/>
            <w:vAlign w:val="bottom"/>
          </w:tcPr>
          <w:p>
            <w:pPr>
              <w:jc w:val="right"/>
              <w:ind w:right="8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(4,092)</w:t>
            </w:r>
          </w:p>
        </w:tc>
        <w:tc>
          <w:tcPr>
            <w:tcW w:w="660" w:type="dxa"/>
            <w:vAlign w:val="bottom"/>
            <w:gridSpan w:val="2"/>
          </w:tcPr>
          <w:p>
            <w:pPr>
              <w:jc w:val="right"/>
              <w:ind w:right="4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(10,139)</w:t>
            </w:r>
          </w:p>
        </w:tc>
      </w:tr>
      <w:tr>
        <w:trPr>
          <w:trHeight w:val="20"/>
        </w:trPr>
        <w:tc>
          <w:tcPr>
            <w:tcW w:w="77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-401955</wp:posOffset>
            </wp:positionV>
            <wp:extent cx="1028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-153670</wp:posOffset>
            </wp:positionV>
            <wp:extent cx="10287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Amounts reclassified from AOCI during the nine months ended September 30, 2025 include immaterial activity related to the Company’s derivative instruments. For the livestock put option designated as a cash flow hedge, the excluded time value is recognized directly in earnings and does not impact AOCI. Amounts reclassified to earnings during the period were approximately $0.1 million, and the remaining unrealized portion recorded in OCI was immaterial.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Underwriting Information</w:t>
      </w:r>
    </w:p>
    <w:p>
      <w:pPr>
        <w:spacing w:after="0" w:line="175"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Company has a single reportable segment and offers specialty insurance products. Gross written premiums (“GWP”) by product are presented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9"/>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9"/>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8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6"/>
          </w:tcPr>
          <w:p>
            <w:pPr>
              <w:jc w:val="center"/>
              <w:ind w:right="52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8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6"/>
          </w:tcPr>
          <w:p>
            <w:pPr>
              <w:jc w:val="center"/>
              <w:ind w:right="50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9"/>
        </w:trPr>
        <w:tc>
          <w:tcPr>
            <w:tcW w:w="2360" w:type="dxa"/>
            <w:vAlign w:val="bottom"/>
          </w:tcPr>
          <w:p>
            <w:pPr>
              <w:spacing w:after="0"/>
              <w:rPr>
                <w:sz w:val="16"/>
                <w:szCs w:val="16"/>
                <w:color w:val="auto"/>
              </w:rPr>
            </w:pPr>
          </w:p>
        </w:tc>
        <w:tc>
          <w:tcPr>
            <w:tcW w:w="12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2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360" w:type="dxa"/>
            <w:vAlign w:val="bottom"/>
          </w:tcPr>
          <w:p>
            <w:pPr>
              <w:spacing w:after="0"/>
              <w:rPr>
                <w:sz w:val="19"/>
                <w:szCs w:val="19"/>
                <w:color w:val="auto"/>
              </w:rPr>
            </w:pPr>
          </w:p>
        </w:tc>
        <w:tc>
          <w:tcPr>
            <w:tcW w:w="1200" w:type="dxa"/>
            <w:vAlign w:val="bottom"/>
            <w:gridSpan w:val="4"/>
            <w:vMerge w:val="continue"/>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7"/>
              </w:rPr>
              <w:t>GWP</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vMerge w:val="continue"/>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3"/>
        </w:trPr>
        <w:tc>
          <w:tcPr>
            <w:tcW w:w="2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Product</w:t>
            </w:r>
          </w:p>
        </w:tc>
        <w:tc>
          <w:tcPr>
            <w:tcW w:w="14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Casualty</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152,034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25.5%</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56,307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w:t>
            </w:r>
          </w:p>
        </w:tc>
        <w:tc>
          <w:tcPr>
            <w:tcW w:w="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392,473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25.6%</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166,762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Earthquake</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149,940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135,329</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427,869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376,088</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189"/>
        </w:trPr>
        <w:tc>
          <w:tcPr>
            <w:tcW w:w="236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Crop</w:t>
            </w:r>
          </w:p>
        </w:tc>
        <w:tc>
          <w:tcPr>
            <w:tcW w:w="140" w:type="dxa"/>
            <w:vAlign w:val="bottom"/>
          </w:tcPr>
          <w:p>
            <w:pPr>
              <w:spacing w:after="0"/>
              <w:rPr>
                <w:sz w:val="16"/>
                <w:szCs w:val="16"/>
                <w:color w:val="auto"/>
              </w:rPr>
            </w:pPr>
          </w:p>
        </w:tc>
        <w:tc>
          <w:tcPr>
            <w:tcW w:w="7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119,757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59,662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207,440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100,571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57"/>
        </w:trPr>
        <w:tc>
          <w:tcPr>
            <w:tcW w:w="2360" w:type="dxa"/>
            <w:vAlign w:val="bottom"/>
            <w:shd w:val="clear" w:color="auto" w:fill="CFF0FC"/>
          </w:tcPr>
          <w:p>
            <w:pPr>
              <w:ind w:left="40"/>
              <w:spacing w:after="0" w:line="157" w:lineRule="exact"/>
              <w:rPr>
                <w:sz w:val="20"/>
                <w:szCs w:val="20"/>
                <w:color w:val="auto"/>
              </w:rPr>
            </w:pPr>
            <w:r>
              <w:rPr>
                <w:rFonts w:ascii="Times New Roman" w:cs="Times New Roman" w:eastAsia="Times New Roman" w:hAnsi="Times New Roman"/>
                <w:sz w:val="18"/>
                <w:szCs w:val="18"/>
                <w:color w:val="auto"/>
              </w:rPr>
              <w:t>Inland Marine and Other</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Property</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117,871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78,734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335,462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249,147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189"/>
        </w:trPr>
        <w:tc>
          <w:tcPr>
            <w:tcW w:w="236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Fronting</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57,569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84,945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1"/>
              <w:spacing w:after="0" w:line="189" w:lineRule="exact"/>
              <w:rPr>
                <w:sz w:val="20"/>
                <w:szCs w:val="20"/>
                <w:color w:val="auto"/>
              </w:rPr>
            </w:pPr>
            <w:r>
              <w:rPr>
                <w:rFonts w:ascii="Times New Roman" w:cs="Times New Roman" w:eastAsia="Times New Roman" w:hAnsi="Times New Roman"/>
                <w:sz w:val="18"/>
                <w:szCs w:val="18"/>
                <w:color w:val="auto"/>
              </w:rPr>
              <w:t>172,379</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275,671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151"/>
        </w:trPr>
        <w:tc>
          <w:tcPr>
            <w:tcW w:w="23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1"/>
              <w:spacing w:after="0" w:line="150" w:lineRule="exact"/>
              <w:rPr>
                <w:sz w:val="20"/>
                <w:szCs w:val="20"/>
                <w:color w:val="auto"/>
              </w:rPr>
            </w:pPr>
            <w:r>
              <w:rPr>
                <w:rFonts w:ascii="Times New Roman" w:cs="Times New Roman" w:eastAsia="Times New Roman" w:hAnsi="Times New Roman"/>
                <w:sz w:val="17"/>
                <w:szCs w:val="17"/>
                <w:color w:val="auto"/>
              </w:rPr>
              <w:t>1,535,62</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1"/>
              <w:spacing w:after="0" w:line="150" w:lineRule="exact"/>
              <w:rPr>
                <w:sz w:val="20"/>
                <w:szCs w:val="20"/>
                <w:color w:val="auto"/>
              </w:rPr>
            </w:pPr>
            <w:r>
              <w:rPr>
                <w:rFonts w:ascii="Times New Roman" w:cs="Times New Roman" w:eastAsia="Times New Roman" w:hAnsi="Times New Roman"/>
                <w:sz w:val="17"/>
                <w:szCs w:val="17"/>
                <w:color w:val="auto"/>
              </w:rPr>
              <w:t>1,168,23</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360" w:type="dxa"/>
            <w:vAlign w:val="bottom"/>
            <w:vMerge w:val="continue"/>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597,171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414,977</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3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Gross written premiums by state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9"/>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0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72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6"/>
          </w:tcPr>
          <w:p>
            <w:pPr>
              <w:jc w:val="center"/>
              <w:ind w:right="52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8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6"/>
          </w:tcPr>
          <w:p>
            <w:pPr>
              <w:jc w:val="right"/>
              <w:ind w:right="78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92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3"/>
        </w:trPr>
        <w:tc>
          <w:tcPr>
            <w:tcW w:w="22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State</w:t>
            </w: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168,739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28.3%</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170,265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41.0%</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472,276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30.8%</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510,879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Texas</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38,609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27,019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119,308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96,414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Hawaii</w:t>
            </w: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26,405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23,171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71,307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53,922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Florida</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23,770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14,433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66,391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58,153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Illinois</w:t>
            </w: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20,911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5,557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39,548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13,725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North Dakota</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20,022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18,716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23,709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19,893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New York</w:t>
            </w: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51,240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24,163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9"/>
        </w:trPr>
        <w:tc>
          <w:tcPr>
            <w:tcW w:w="22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Washington</w:t>
            </w: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17,560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16,828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50,416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41,893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9"/>
        </w:trPr>
        <w:tc>
          <w:tcPr>
            <w:tcW w:w="22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261,974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130,835</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641,428</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349,197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155"/>
        </w:trPr>
        <w:tc>
          <w:tcPr>
            <w:tcW w:w="222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Total Gross Written</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1,535,62</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1,168,23</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Premiums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597,171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414,977</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-24765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-24765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72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6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6"/>
          </w:tcPr>
          <w:p>
            <w:pPr>
              <w:jc w:val="right"/>
              <w:ind w:right="80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8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20" w:type="dxa"/>
            <w:vAlign w:val="bottom"/>
            <w:gridSpan w:val="6"/>
          </w:tcPr>
          <w:p>
            <w:pPr>
              <w:jc w:val="right"/>
              <w:ind w:right="780"/>
              <w:spacing w:after="0" w:line="147" w:lineRule="exact"/>
              <w:rPr>
                <w:sz w:val="20"/>
                <w:szCs w:val="20"/>
                <w:color w:val="auto"/>
              </w:rPr>
            </w:pPr>
            <w:r>
              <w:rPr>
                <w:rFonts w:ascii="Times New Roman" w:cs="Times New Roman" w:eastAsia="Times New Roman" w:hAnsi="Times New Roman"/>
                <w:sz w:val="17"/>
                <w:szCs w:val="17"/>
                <w:b w:val="1"/>
                <w:bCs w:val="1"/>
                <w:color w:val="auto"/>
              </w:rPr>
              <w:t>($ in thousands)</w:t>
            </w:r>
          </w:p>
        </w:tc>
        <w:tc>
          <w:tcPr>
            <w:tcW w:w="9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94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tcPr>
          <w:p>
            <w:pPr>
              <w:jc w:val="right"/>
              <w:ind w:right="371"/>
              <w:spacing w:after="0" w:line="189"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vMerge w:val="continue"/>
          </w:tcPr>
          <w:p>
            <w:pPr>
              <w:spacing w:after="0"/>
              <w:rPr>
                <w:sz w:val="19"/>
                <w:szCs w:val="19"/>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vMerge w:val="continue"/>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GWP</w:t>
            </w:r>
          </w:p>
        </w:tc>
        <w:tc>
          <w:tcPr>
            <w:tcW w:w="0" w:type="dxa"/>
            <w:vAlign w:val="bottom"/>
          </w:tcPr>
          <w:p>
            <w:pPr>
              <w:spacing w:after="0"/>
              <w:rPr>
                <w:sz w:val="1"/>
                <w:szCs w:val="1"/>
                <w:color w:val="auto"/>
              </w:rPr>
            </w:pPr>
          </w:p>
        </w:tc>
      </w:tr>
      <w:tr>
        <w:trPr>
          <w:trHeight w:val="183"/>
        </w:trPr>
        <w:tc>
          <w:tcPr>
            <w:tcW w:w="18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38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PSIC</w:t>
            </w:r>
          </w:p>
        </w:tc>
        <w:tc>
          <w:tcPr>
            <w:tcW w:w="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317,177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53.1%</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236,624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57.0%</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781,078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50.9%</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652,988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189"/>
        </w:trPr>
        <w:tc>
          <w:tcPr>
            <w:tcW w:w="18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PESIC</w:t>
            </w: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252,318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159,305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681,048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472,909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189"/>
        </w:trPr>
        <w:tc>
          <w:tcPr>
            <w:tcW w:w="182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Laulima</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22,804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19,048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58,974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42,342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9"/>
        </w:trPr>
        <w:tc>
          <w:tcPr>
            <w:tcW w:w="182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FIA</w:t>
            </w: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4,872</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4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14,523</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80" w:type="dxa"/>
            <w:vAlign w:val="bottom"/>
            <w:gridSpan w:val="3"/>
            <w:shd w:val="clear" w:color="auto" w:fill="CFF0FC"/>
          </w:tcPr>
          <w:p>
            <w:pPr>
              <w:jc w:val="right"/>
              <w:ind w:right="4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182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8"/>
                <w:szCs w:val="18"/>
                <w:color w:val="auto"/>
              </w:rPr>
              <w:t>Total Gross Written</w:t>
            </w:r>
          </w:p>
        </w:tc>
        <w:tc>
          <w:tcPr>
            <w:tcW w:w="3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1,535,62</w:t>
            </w: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0"/>
              <w:spacing w:after="0" w:line="156" w:lineRule="exact"/>
              <w:rPr>
                <w:sz w:val="20"/>
                <w:szCs w:val="20"/>
                <w:color w:val="auto"/>
              </w:rPr>
            </w:pPr>
            <w:r>
              <w:rPr>
                <w:rFonts w:ascii="Times New Roman" w:cs="Times New Roman" w:eastAsia="Times New Roman" w:hAnsi="Times New Roman"/>
                <w:sz w:val="18"/>
                <w:szCs w:val="18"/>
                <w:color w:val="auto"/>
              </w:rPr>
              <w:t>1,168,23</w:t>
            </w:r>
          </w:p>
        </w:tc>
        <w:tc>
          <w:tcPr>
            <w:tcW w:w="10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Premiums</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597,171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414,977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18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-1190625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-1190625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-1190625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-1190625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-1190625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-1190625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-1190625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8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The Company calculates its tax provision in interim periods using its best estimate of the effective tax rate expected for the full year. During the three months ended September 30, 2025, the Company’s income tax rate of 23.4% was higher than the statutory rate of 21% due primarily to non-deductible executive compensation expense. During the three months ended September 30, 2024, the Company’s tax rate of 20.8% was lower than the statutory rate of 21% due primarily to the tax impact of the permanent component of employee stock option exercises.</w:t>
      </w:r>
    </w:p>
    <w:p>
      <w:pPr>
        <w:spacing w:after="0" w:line="137"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the Company’s income tax rates of 22.0% and 22.2%, respectively, were higher than the statutory rate of 21% due primarily to non-deductible executive compensation expense.</w:t>
      </w:r>
    </w:p>
    <w:p>
      <w:pPr>
        <w:spacing w:after="0" w:line="108"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extends or makes permanent various tax provisions that were originally enacted in the 2017 Tax Cuts and Jobs Act and were set to expire at the end of 2025. The Company is currently evaluating the impact of the OBBBA on its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out earnings per share of common stock:</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2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83"/>
        </w:trPr>
        <w:tc>
          <w:tcPr>
            <w:tcW w:w="4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47"/>
        </w:trPr>
        <w:tc>
          <w:tcPr>
            <w:tcW w:w="4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20" w:type="dxa"/>
            <w:vAlign w:val="bottom"/>
            <w:gridSpan w:val="5"/>
          </w:tcPr>
          <w:p>
            <w:pPr>
              <w:jc w:val="center"/>
              <w:ind w:right="90"/>
              <w:spacing w:after="0" w:line="147" w:lineRule="exact"/>
              <w:rPr>
                <w:sz w:val="20"/>
                <w:szCs w:val="20"/>
                <w:color w:val="auto"/>
              </w:rPr>
            </w:pPr>
            <w:r>
              <w:rPr>
                <w:rFonts w:ascii="Times New Roman" w:cs="Times New Roman" w:eastAsia="Times New Roman" w:hAnsi="Times New Roman"/>
                <w:sz w:val="17"/>
                <w:szCs w:val="17"/>
                <w:b w:val="1"/>
                <w:bCs w:val="1"/>
                <w:color w:val="auto"/>
              </w:rPr>
              <w:t>(in thousands, except shares and per</w:t>
            </w:r>
          </w:p>
        </w:tc>
        <w:tc>
          <w:tcPr>
            <w:tcW w:w="100" w:type="dxa"/>
            <w:vAlign w:val="bottom"/>
          </w:tcPr>
          <w:p>
            <w:pPr>
              <w:spacing w:after="0"/>
              <w:rPr>
                <w:sz w:val="12"/>
                <w:szCs w:val="12"/>
                <w:color w:val="auto"/>
              </w:rPr>
            </w:pPr>
          </w:p>
        </w:tc>
        <w:tc>
          <w:tcPr>
            <w:tcW w:w="3040" w:type="dxa"/>
            <w:vAlign w:val="bottom"/>
            <w:gridSpan w:val="5"/>
          </w:tcPr>
          <w:p>
            <w:pPr>
              <w:jc w:val="center"/>
              <w:ind w:right="70"/>
              <w:spacing w:after="0" w:line="147" w:lineRule="exact"/>
              <w:rPr>
                <w:sz w:val="20"/>
                <w:szCs w:val="20"/>
                <w:color w:val="auto"/>
              </w:rPr>
            </w:pPr>
            <w:r>
              <w:rPr>
                <w:rFonts w:ascii="Times New Roman" w:cs="Times New Roman" w:eastAsia="Times New Roman" w:hAnsi="Times New Roman"/>
                <w:sz w:val="17"/>
                <w:szCs w:val="17"/>
                <w:b w:val="1"/>
                <w:bCs w:val="1"/>
                <w:color w:val="auto"/>
              </w:rPr>
              <w:t>(in thousands, except shares and per</w:t>
            </w:r>
          </w:p>
        </w:tc>
      </w:tr>
      <w:tr>
        <w:trPr>
          <w:trHeight w:val="225"/>
        </w:trPr>
        <w:tc>
          <w:tcPr>
            <w:tcW w:w="4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share data)</w:t>
            </w:r>
          </w:p>
        </w:tc>
        <w:tc>
          <w:tcPr>
            <w:tcW w:w="1060" w:type="dxa"/>
            <w:vAlign w:val="bottom"/>
          </w:tcPr>
          <w:p>
            <w:pPr>
              <w:spacing w:after="0"/>
              <w:rPr>
                <w:sz w:val="19"/>
                <w:szCs w:val="19"/>
                <w:color w:val="auto"/>
              </w:rPr>
            </w:pPr>
          </w:p>
        </w:tc>
      </w:tr>
      <w:tr>
        <w:trPr>
          <w:trHeight w:val="189"/>
        </w:trPr>
        <w:tc>
          <w:tcPr>
            <w:tcW w:w="4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shd w:val="clear" w:color="auto" w:fill="CFF0FC"/>
          </w:tcPr>
          <w:p>
            <w:pPr>
              <w:jc w:val="right"/>
              <w:ind w:right="11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51,455</w:t>
            </w:r>
          </w:p>
        </w:tc>
        <w:tc>
          <w:tcPr>
            <w:tcW w:w="520" w:type="dxa"/>
            <w:vAlign w:val="bottom"/>
            <w:gridSpan w:val="2"/>
            <w:shd w:val="clear" w:color="auto" w:fill="CFF0FC"/>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30,497</w:t>
            </w:r>
          </w:p>
        </w:tc>
        <w:tc>
          <w:tcPr>
            <w:tcW w:w="2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140,905</w:t>
            </w:r>
          </w:p>
        </w:tc>
        <w:tc>
          <w:tcPr>
            <w:tcW w:w="520" w:type="dxa"/>
            <w:vAlign w:val="bottom"/>
            <w:gridSpan w:val="2"/>
            <w:shd w:val="clear" w:color="auto" w:fill="CFF0FC"/>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82,608</w:t>
            </w:r>
          </w:p>
        </w:tc>
      </w:tr>
      <w:tr>
        <w:trPr>
          <w:trHeight w:val="189"/>
        </w:trPr>
        <w:tc>
          <w:tcPr>
            <w:tcW w:w="4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4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26,637,592</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25,766,697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26,683,856</w:t>
            </w: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25,194,114</w:t>
            </w:r>
          </w:p>
        </w:tc>
      </w:tr>
      <w:tr>
        <w:trPr>
          <w:trHeight w:val="189"/>
        </w:trPr>
        <w:tc>
          <w:tcPr>
            <w:tcW w:w="4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Share equivalents</w:t>
            </w:r>
          </w:p>
        </w:tc>
        <w:tc>
          <w:tcPr>
            <w:tcW w:w="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808,927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712,869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849,677</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683,143</w:t>
            </w:r>
          </w:p>
        </w:tc>
      </w:tr>
      <w:tr>
        <w:trPr>
          <w:trHeight w:val="223"/>
        </w:trPr>
        <w:tc>
          <w:tcPr>
            <w:tcW w:w="42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8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27,446,519</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26,479,566</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27,533,533</w:t>
            </w:r>
          </w:p>
        </w:tc>
        <w:tc>
          <w:tcPr>
            <w:tcW w:w="1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25,877,257</w:t>
            </w:r>
          </w:p>
        </w:tc>
      </w:tr>
      <w:tr>
        <w:trPr>
          <w:trHeight w:val="170"/>
        </w:trPr>
        <w:tc>
          <w:tcPr>
            <w:tcW w:w="4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42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Earnings per share:</w:t>
            </w:r>
          </w:p>
        </w:tc>
        <w:tc>
          <w:tcPr>
            <w:tcW w:w="8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89"/>
        </w:trPr>
        <w:tc>
          <w:tcPr>
            <w:tcW w:w="4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1120" w:type="dxa"/>
            <w:vAlign w:val="bottom"/>
            <w:gridSpan w:val="2"/>
          </w:tcPr>
          <w:p>
            <w:pPr>
              <w:jc w:val="right"/>
              <w:ind w:right="11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1.93</w:t>
            </w:r>
          </w:p>
        </w:tc>
        <w:tc>
          <w:tcPr>
            <w:tcW w:w="52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1.18</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520" w:type="dxa"/>
            <w:vAlign w:val="bottom"/>
            <w:gridSpan w:val="2"/>
          </w:tcPr>
          <w:p>
            <w:pPr>
              <w:jc w:val="right"/>
              <w:ind w:right="3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w:t>
            </w:r>
          </w:p>
        </w:tc>
      </w:tr>
      <w:tr>
        <w:trPr>
          <w:trHeight w:val="20"/>
        </w:trPr>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2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Diluted</w:t>
            </w:r>
          </w:p>
        </w:tc>
        <w:tc>
          <w:tcPr>
            <w:tcW w:w="1120" w:type="dxa"/>
            <w:vAlign w:val="bottom"/>
            <w:gridSpan w:val="2"/>
            <w:shd w:val="clear" w:color="auto" w:fill="CFF0FC"/>
          </w:tcPr>
          <w:p>
            <w:pPr>
              <w:jc w:val="right"/>
              <w:ind w:right="113"/>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1.87</w:t>
            </w:r>
          </w:p>
        </w:tc>
        <w:tc>
          <w:tcPr>
            <w:tcW w:w="520" w:type="dxa"/>
            <w:vAlign w:val="bottom"/>
            <w:gridSpan w:val="2"/>
            <w:shd w:val="clear" w:color="auto" w:fill="CFF0FC"/>
          </w:tcPr>
          <w:p>
            <w:pPr>
              <w:jc w:val="right"/>
              <w:ind w:right="3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1.15</w:t>
            </w:r>
          </w:p>
        </w:tc>
        <w:tc>
          <w:tcPr>
            <w:tcW w:w="200" w:type="dxa"/>
            <w:vAlign w:val="bottom"/>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5.12</w:t>
            </w:r>
          </w:p>
        </w:tc>
        <w:tc>
          <w:tcPr>
            <w:tcW w:w="520" w:type="dxa"/>
            <w:vAlign w:val="bottom"/>
            <w:gridSpan w:val="2"/>
            <w:shd w:val="clear" w:color="auto" w:fill="CFF0FC"/>
          </w:tcPr>
          <w:p>
            <w:pPr>
              <w:jc w:val="right"/>
              <w:ind w:right="3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3.19</w:t>
            </w: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-556895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-539115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-556895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-539115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-556895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-539115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Common share equivalents relate primarily to outstanding stock options, RSUs and PSUs under the 2019 Plan and unpurchased shares under the 2019 ESPP and are calculated using the treasury stock method.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Reinsurance</w:t>
      </w:r>
    </w:p>
    <w:p>
      <w:pPr>
        <w:spacing w:after="0" w:line="189"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The Company utilizes reinsurance in order to limit its exposure to losses and enable it to underwrite policies with sufficient limits to meet policyholder needs. The Company utilizes both excess of loss (XOL) and quota share reinsurance.</w:t>
      </w:r>
    </w:p>
    <w:p>
      <w:pPr>
        <w:spacing w:after="0" w:line="135" w:lineRule="exact"/>
        <w:rPr>
          <w:sz w:val="20"/>
          <w:szCs w:val="20"/>
          <w:color w:val="auto"/>
        </w:rPr>
      </w:pPr>
    </w:p>
    <w:p>
      <w:pPr>
        <w:ind w:right="280" w:firstLine="749"/>
        <w:spacing w:after="0" w:line="250" w:lineRule="auto"/>
        <w:rPr>
          <w:sz w:val="20"/>
          <w:szCs w:val="20"/>
          <w:color w:val="auto"/>
        </w:rPr>
      </w:pPr>
      <w:r>
        <w:rPr>
          <w:rFonts w:ascii="Times New Roman" w:cs="Times New Roman" w:eastAsia="Times New Roman" w:hAnsi="Times New Roman"/>
          <w:sz w:val="18"/>
          <w:szCs w:val="18"/>
          <w:color w:val="auto"/>
        </w:rPr>
        <w:t>As of September 30, 2025, the Company’s catastrophe event retention is $20 million for earthquake events and $11 million for continental hurricane events and all other perils. Laulima maintains Hawaii hurricane reinsurance coverage through a standalone XOL treaty, which provides per-occurrence coverage up to $735 million with a retention of $1.5 million. As of September 30, 2025, the Company’s XOL reinsurance structure provides protection up to $3.53 billion for earthquake events and $100 million for continental U.S. hurricane events.</w:t>
      </w:r>
    </w:p>
    <w:p>
      <w:pPr>
        <w:spacing w:after="0" w:line="137"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utilizes collateralized protection from the insurance-linked securities market through catastrophe bonds issued via Torrey Pines Re Ltd., a Bermuda-domiciled special purpose insurer. The Company closed a $525 million catastrophe bond in the second quarter of 2025, effective June 1, 2025 through June 1, 2028; a $420 million catastrophe bond in the second quarter of 2024, effective June 1, 2024 through June 1, 2027; a $200 million catastrophe bond in the second quarter of 2023, effective June 1, 2023 through June 1, 2026; and a $275 million 144A catastrophe bond in the second quarter of 2022, effective June 1, 2022 through June 1, 2025. These catastrophe bonds provide indemnity-based reinsurance coverage for earthquake events.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Credit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173" w:lineRule="exact"/>
        <w:rPr>
          <w:sz w:val="20"/>
          <w:szCs w:val="20"/>
          <w:color w:val="auto"/>
        </w:rPr>
      </w:pPr>
    </w:p>
    <w:p>
      <w:pPr>
        <w:ind w:right="140" w:firstLine="749"/>
        <w:spacing w:after="0" w:line="247" w:lineRule="auto"/>
        <w:rPr>
          <w:sz w:val="20"/>
          <w:szCs w:val="20"/>
          <w:color w:val="auto"/>
        </w:rPr>
      </w:pPr>
      <w:r>
        <w:rPr>
          <w:rFonts w:ascii="Times New Roman" w:cs="Times New Roman" w:eastAsia="Times New Roman" w:hAnsi="Times New Roman"/>
          <w:sz w:val="18"/>
          <w:szCs w:val="18"/>
          <w:color w:val="auto"/>
        </w:rPr>
        <w:t>In December 2021, the Company entered into a Credit Agreement with U.S. Bank National Association which provides a revolving credit facility of up to $100 million through December 8, 2026. Interest on the credit facility accrues on each Secured Overnight Financing Rate (“SOFR”) rate loan at the applicable SOFR (as defined in the Credit Agreement) plus 1.75% and on each base rate loan at the applicable Alternate Base Rate (as defined in the Credit Agreement) plus 0.75%. A loan may be either a SOFR rate loan or a base rate loan, at the Company’s discretion. Outstanding amounts under the Credit Agreement may be prepaid in full or in part at any time with no prepayment premium and may be reduced in full or in part at any time upon prior notice. In addition to interest on funds borrowed, the Company must pay an unused line fee of 0.25% on any amounts not borrowed.</w:t>
      </w:r>
    </w:p>
    <w:p>
      <w:pPr>
        <w:spacing w:after="0" w:line="153"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customary affirmative and negative covenants, including, among other things, financial covenants, restrictions on indebtedness, liens, investments, mergers, dispositions, prepayment of other indebtedness, dividends, and other distributions. The financial covenants include requirements to maintain a permissible debt to capital ratio, a minimum consolidated net worth, a minimum risk-based capital ratio and minimum A.M. Best financial strength rating. The Credit Agreement also contains customary events of default, such as non-compliance with financial covenants. If an event of default occurs, any debt may be declared immediately due and payable. As of September 30, 2025, the Company was in compliance with all debt covenants.</w:t>
      </w:r>
    </w:p>
    <w:p>
      <w:pPr>
        <w:spacing w:after="0" w:line="155"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no borrowings outstanding on the Credit Agreement. Interest expense on the Credit Agreement was $0.1 million and $0.3 million for the three and nine months ended September 30, 2025, respectively. Interest expense on the Credit Agreement was $0.1 million and $0.3 million for the three and nine months ended September 30, 2024,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187"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a predetermined term and the interest rate varies based on the term of the advance.</w:t>
      </w:r>
    </w:p>
    <w:p>
      <w:pPr>
        <w:spacing w:after="0" w:line="137"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As of September 30, 2025 the Company had no borrowings outstanding through the FHLB. The Company did not incur any interest expense for either the three or nine months ended September 30, 2025, respectively. As of December 31, 2024, the Company had no borrowings outstanding through the FHLB. Interest expense on the FHLB Line of Credit was immaterial and $0.8 million for the three and nine months ended September 30, 2024,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Acquisitions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January 1, 2025, the Company completed the acquisition of FIA. The acquisition was accounted for as a business combination in accordance with Accounting Standards Codification (ASC) 805, Business Combinations. As the acquisition did not meet the significance thresholds under Rule 3-05 of Regulation S-X, separate financial statements of FIA are not required to be filed.</w:t>
      </w:r>
    </w:p>
    <w:p>
      <w:pPr>
        <w:spacing w:after="0" w:line="142"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the Company recognized the acquired assets and assumed liabilities of FIA at their estimated fair values as of the acquisition date. Accordingly, the Company’s previously issued financial statements as of March 31, 2025 reflect adjustments to record opening balances for the assets acquired and liabilities assumed. These adjustments primarily result from purchase accounting fair value measurements and cause some balances as of January 1, 2025 to differ from the amounts reported as of December 31, 2024.</w:t>
      </w:r>
    </w:p>
    <w:p>
      <w:pPr>
        <w:spacing w:after="0" w:line="137" w:lineRule="exact"/>
        <w:rPr>
          <w:sz w:val="20"/>
          <w:szCs w:val="20"/>
          <w:color w:val="auto"/>
        </w:rPr>
      </w:pPr>
    </w:p>
    <w:p>
      <w:pPr>
        <w:ind w:right="200" w:firstLine="749"/>
        <w:spacing w:after="0" w:line="280" w:lineRule="auto"/>
        <w:rPr>
          <w:sz w:val="20"/>
          <w:szCs w:val="20"/>
          <w:color w:val="auto"/>
        </w:rPr>
      </w:pPr>
      <w:r>
        <w:rPr>
          <w:rFonts w:ascii="Times New Roman" w:cs="Times New Roman" w:eastAsia="Times New Roman" w:hAnsi="Times New Roman"/>
          <w:sz w:val="17"/>
          <w:szCs w:val="17"/>
          <w:color w:val="auto"/>
        </w:rPr>
        <w:t>On April 1, 2025, the Company completed the acquisition of substantially all of the assets and assumed certain liabilities of Advanced AgProtection, LLC (“AAP”). The acquisition was accounted for as a business combination in accordance with ASC 805, Business Combinations. As the acquisition did not meet the significance thresholds under Rule 3-05 of Regulation S-X, separate financial statements of AAP are not required to be filed.</w:t>
      </w:r>
    </w:p>
    <w:p>
      <w:pPr>
        <w:spacing w:after="0" w:line="126" w:lineRule="exact"/>
        <w:rPr>
          <w:sz w:val="20"/>
          <w:szCs w:val="20"/>
          <w:color w:val="auto"/>
        </w:rPr>
      </w:pPr>
    </w:p>
    <w:p>
      <w:pPr>
        <w:jc w:val="both"/>
        <w:ind w:right="180"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acquisition, the Company recognized the acquired assets and assumed liabilities of AAP at their estimated fair values as of the acquisition date. Accordingly, the Company’s financial statements as of June 30, 2025 reflect adjustments to record opening balances for the assets acquired and liabilities assumed. These adjustments primarily result from purchase accounting fair value measurements.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89" w:lineRule="exact"/>
        <w:rPr>
          <w:sz w:val="20"/>
          <w:szCs w:val="20"/>
          <w:color w:val="auto"/>
        </w:rPr>
      </w:pPr>
    </w:p>
    <w:p>
      <w:pPr>
        <w:jc w:val="both"/>
        <w:ind w:right="440" w:firstLine="749"/>
        <w:spacing w:after="0" w:line="250" w:lineRule="auto"/>
        <w:rPr>
          <w:sz w:val="20"/>
          <w:szCs w:val="20"/>
          <w:color w:val="auto"/>
        </w:rPr>
      </w:pPr>
      <w:r>
        <w:rPr>
          <w:rFonts w:ascii="Times New Roman" w:cs="Times New Roman" w:eastAsia="Times New Roman" w:hAnsi="Times New Roman"/>
          <w:sz w:val="18"/>
          <w:szCs w:val="18"/>
          <w:color w:val="auto"/>
        </w:rPr>
        <w:t>On October 27, 2025, the Company entered into an agreement to acquire 100% of the outstanding equity interests of The Gray Casualty &amp; Surety Company, a Treasury-listed surety carrier specializing in contract bonds for mid-sized and emerging contractors across the United States, for a purchase price of approximately $300 million, subject to customary adjustments. The transaction is expected to close in the first half of 2026.</w:t>
      </w:r>
    </w:p>
    <w:p>
      <w:pPr>
        <w:spacing w:after="0" w:line="15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evaluated all other subsequent events from the balance sheet date through the date the financial statements were issued and has determined there are no additional events required to be disclosed.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187"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i w:val="1"/>
          <w:iCs w:val="1"/>
          <w:color w:val="auto"/>
        </w:rPr>
        <w:t>Forward looking statements within the meaning of Section 27A of the Securities Act of 1933 and Section 21E of the Securities Exchange Act of 1934 appear throughout this report. These forward looking statements generally include words such as “expect,” “predict,” “estimate,” “will,” “should,” “anticipate,” “believe” and similar expressions. Such assumptions are, in turn, based on information available and internal estimates and analyses of general economic conditions, competitive factors, conditions specific to the property and casualty insurance and reinsurance industries, claims development and the impact thereof on our loss reserves, the adequacy and financial security of our reinsurance programs, developments in the securities market and the impact on our investment portfolio, regulatory changes and conditions and other factors. These assumptions are subject to various risks, uncertainties and other factors, including, without limitation those set forth in “Item 1A. Risk Factors” within the Annual Report on Form 10-K for the year ended December 31, 2024 and Part II within this report. Actual results could differ materially from those expressed in, or implied by, these forward looking statements. Forward looking statements reflect the Company’s expectations, plans or forecasts of future events and views as of the date of this report. While the Company may elect to update these forward looking statements at some point in the future, the Company specifically disclaims any obligation to do so. You should review the various risks, uncertainties and other factors listed from time to time in our Securities and Exchange Commission filings.</w:t>
      </w:r>
    </w:p>
    <w:p>
      <w:pPr>
        <w:spacing w:after="0" w:line="155" w:lineRule="exact"/>
        <w:rPr>
          <w:sz w:val="20"/>
          <w:szCs w:val="20"/>
          <w:color w:val="auto"/>
        </w:rPr>
      </w:pPr>
    </w:p>
    <w:p>
      <w:pPr>
        <w:ind w:right="60" w:firstLine="749"/>
        <w:spacing w:after="0" w:line="251" w:lineRule="auto"/>
        <w:rPr>
          <w:sz w:val="20"/>
          <w:szCs w:val="20"/>
          <w:color w:val="auto"/>
        </w:rPr>
      </w:pPr>
      <w:r>
        <w:rPr>
          <w:rFonts w:ascii="Times New Roman" w:cs="Times New Roman" w:eastAsia="Times New Roman" w:hAnsi="Times New Roman"/>
          <w:sz w:val="18"/>
          <w:szCs w:val="18"/>
          <w:i w:val="1"/>
          <w:iCs w:val="1"/>
          <w:color w:val="auto"/>
        </w:rPr>
        <w:t>The results of operations for the nine months ended September 30, 2025 are not necessarily indicative of the results that may be expected for the full year ended December 31, 2025,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as filed with the SEC on February 25, 2025.</w:t>
      </w:r>
    </w:p>
    <w:p>
      <w:pPr>
        <w:spacing w:after="0" w:line="133" w:lineRule="exact"/>
        <w:rPr>
          <w:sz w:val="20"/>
          <w:szCs w:val="20"/>
          <w:color w:val="auto"/>
        </w:rPr>
      </w:pPr>
    </w:p>
    <w:p>
      <w:pPr>
        <w:ind w:right="5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the “Company,” “Palomar,” “we,” “us,” and “our” are to Palomar Holdings, Inc. and its subsidiaries, unless the context otherwise requires.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18"/>
          <w:szCs w:val="18"/>
          <w:color w:val="auto"/>
        </w:rPr>
        <w:t>We are a specialty insurance company that provides property and casualty insurance products to individuals and businesses. We use our underwriting and analytical expertise to provide innovative solutions in five product categories: Earthquake, Inland Marine and Other Property, Casualty, Fronting, and Crop. We use proprietary data analytics and a modern technology platform to offer our customers flexible products with customized and granular pricing for both the admitted and excess and surplus lines (“E&amp;S”) markets. Our insurance company subsidiaries, Palomar Specialty Insurance Company (“PSIC”), and Palomar Excess and Surplus Insurance Company (“PESIC”) carry an “A” rating from A.M. Best Company (“A.M. Best”), a leading rating agency for the insurance industry. First Indemnity of America Insurance Co. (“FIA”) carries an “A-” (Stable) rating from A.M. Best.</w:t>
      </w:r>
    </w:p>
    <w:p>
      <w:pPr>
        <w:spacing w:after="0" w:line="15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50"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$1.5 billion for the year ended December 31, 2024, which reflects a compound annual growth rate of approximately 57%. We have also been profitable since 2016 and our net income growth since 2016 reflects a compound annual growth rate of 43%.</w:t>
      </w:r>
    </w:p>
    <w:p>
      <w:pPr>
        <w:spacing w:after="0" w:line="137"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We seek to continuously grow our income by developing product offerings for lines of business that harness our core competencies and where we believe we can generate attractive risk adjusted returns. In recent years, we have introduced several new products including Crop, Environmental Liability, and E&amp;S Casualty. These new products diversify our book of business and broaden our product portfolio. We believe that our market opportunity, distinctive products, and differentiated business model position us to grow our business profitably.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7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129" w:lineRule="exact"/>
        <w:rPr>
          <w:sz w:val="20"/>
          <w:szCs w:val="20"/>
          <w:color w:val="auto"/>
        </w:rPr>
      </w:pPr>
    </w:p>
    <w:p>
      <w:pPr>
        <w:ind w:left="5540" w:right="4380" w:hanging="4783"/>
        <w:spacing w:after="0" w:line="563" w:lineRule="auto"/>
        <w:tabs>
          <w:tab w:leader="none" w:pos="1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Exits from existing partnerships or reducing or ceasing to offer existing insurance products;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171" w:lineRule="exact"/>
        <w:rPr>
          <w:sz w:val="20"/>
          <w:szCs w:val="20"/>
          <w:color w:val="auto"/>
        </w:rPr>
      </w:pPr>
    </w:p>
    <w:p>
      <w:pPr>
        <w:ind w:right="140" w:firstLine="749"/>
        <w:spacing w:after="0" w:line="264" w:lineRule="auto"/>
        <w:rPr>
          <w:sz w:val="20"/>
          <w:szCs w:val="20"/>
          <w:color w:val="auto"/>
        </w:rPr>
      </w:pPr>
      <w:r>
        <w:rPr>
          <w:rFonts w:ascii="Times New Roman" w:cs="Times New Roman" w:eastAsia="Times New Roman" w:hAnsi="Times New Roman"/>
          <w:sz w:val="17"/>
          <w:szCs w:val="17"/>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 The majority of our Crop written premiums are recognized in the third quarter, as we receive the requisite reporting from insureds at that time. This pattern reflects the seasonal nature of the Crop business, which typically results in a disproportionate amount of Crop premiums being recognized in the third quarter. As such, our interim results may not be indicative of full-year performance.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89"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55" w:lineRule="exact"/>
        <w:rPr>
          <w:sz w:val="20"/>
          <w:szCs w:val="20"/>
          <w:color w:val="auto"/>
        </w:rPr>
      </w:pPr>
    </w:p>
    <w:p>
      <w:pPr>
        <w:ind w:right="80" w:firstLine="749"/>
        <w:spacing w:after="0" w:line="247" w:lineRule="auto"/>
        <w:rPr>
          <w:sz w:val="20"/>
          <w:szCs w:val="20"/>
          <w:color w:val="auto"/>
        </w:rPr>
      </w:pPr>
      <w:r>
        <w:rPr>
          <w:rFonts w:ascii="Times New Roman" w:cs="Times New Roman" w:eastAsia="Times New Roman" w:hAnsi="Times New Roman"/>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in cost of XOL between contract periods, changes of premium in-force during the XOL contract period, or due to acceleration of XOL charges or the need to purchase additional XOL reinsurance due to losses. In addition, the volume of premiums ceded in fronting agreements each period may vary due to the timing of entering new fronting partnerships and terminations of fronting partnerships.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89"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Crop premiums are earned ratably over the risk period. The requisite reporting of Crop premiums is primarily received in the third quarter, after the start of the risk period, and earned premium is caught up to cover the period between the start of the risk period and receipt of reporting. Generally, this process results in most of the Crop earned premiums being recognized in the third quarter of each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17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Commission and other income consist of commissions earned on policies written on behalf of third-party insurance companies where we have no exposure to the insured risk and certain fees earned in conjunction with underwriting policies. Commission and other income are earned on the effective date of the underlying policy.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7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or casualty claims. In addition, many of the policies we write subject us to catastrophe losses. Catastrophe losses are certain losses resulting from events involving multiple claims and policyholders, including earthquakes, hurricanes, floods, droughts, convective storms, terrorist acts or other aggregating events. Our losses and loss adjustment expenses are generally affected by:</w:t>
      </w:r>
    </w:p>
    <w:p>
      <w:pPr>
        <w:spacing w:after="0" w:line="137" w:lineRule="exact"/>
        <w:rPr>
          <w:sz w:val="20"/>
          <w:szCs w:val="20"/>
          <w:color w:val="auto"/>
        </w:rPr>
      </w:pPr>
    </w:p>
    <w:p>
      <w:pPr>
        <w:ind w:left="1500" w:hanging="743"/>
        <w:spacing w:after="0"/>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143" w:lineRule="exact"/>
        <w:rPr>
          <w:rFonts w:ascii="Times New Roman" w:cs="Times New Roman" w:eastAsia="Times New Roman" w:hAnsi="Times New Roman"/>
          <w:sz w:val="18"/>
          <w:szCs w:val="18"/>
          <w:color w:val="auto"/>
        </w:rPr>
      </w:pPr>
    </w:p>
    <w:p>
      <w:pPr>
        <w:ind w:left="1500" w:hanging="743"/>
        <w:spacing w:after="0" w:line="207" w:lineRule="exact"/>
        <w:tabs>
          <w:tab w:leader="none" w:pos="1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catastrophe attritional losses;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 and</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amounts awarded by courts and juries.</w:t>
      </w:r>
    </w:p>
    <w:p>
      <w:pPr>
        <w:spacing w:after="0" w:line="185"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189" w:lineRule="exact"/>
        <w:rPr>
          <w:sz w:val="20"/>
          <w:szCs w:val="20"/>
          <w:color w:val="auto"/>
        </w:rPr>
      </w:pPr>
    </w:p>
    <w:p>
      <w:pPr>
        <w:ind w:right="100" w:firstLine="749"/>
        <w:spacing w:after="0" w:line="212" w:lineRule="exact"/>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related taxes and other fees. Acquisition expenses related to each policy we write are deferred and expensed pro rata over the term of the policy. We earn fronting fees consistent with how we earn premiums on the underlying insurance policies, on a pro-rata basis over the terms of the policies.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189" w:lineRule="exact"/>
        <w:rPr>
          <w:sz w:val="20"/>
          <w:szCs w:val="20"/>
          <w:color w:val="auto"/>
        </w:rPr>
      </w:pPr>
    </w:p>
    <w:p>
      <w:pPr>
        <w:ind w:right="160" w:firstLine="749"/>
        <w:spacing w:after="0" w:line="250"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incurred on borrowings from our U.S. Bank credit agreement and FHLB line of credit and the unused line fee and amortization of the commitment fee on our U.S. Bank credit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75"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 we receive from our insureds, less payments on policyholder claims and other operating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18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and unrealized gains and losses on equity securities and equity method investments. Unrealized gains and losses on fixed maturity securities are recognized as a component of other comprehensive income and do not impact our net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75"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Currently our income tax expense consists mainly of federal income taxes imposed on our operations. Our effective tax rates are dependent upon the components of pretax earnings and the related tax effects.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189" w:lineRule="exact"/>
        <w:rPr>
          <w:sz w:val="20"/>
          <w:szCs w:val="20"/>
          <w:color w:val="auto"/>
        </w:rPr>
      </w:pPr>
    </w:p>
    <w:p>
      <w:pPr>
        <w:ind w:right="820" w:firstLine="749"/>
        <w:spacing w:after="0" w:line="266"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2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Underwriting revenue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total revenue, excluding net investment income and net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on investments.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total revenue calculated in accordance with GAAP to underwriting revenue.</w:t>
      </w:r>
    </w:p>
    <w:p>
      <w:pPr>
        <w:spacing w:after="0" w:line="103" w:lineRule="exact"/>
        <w:rPr>
          <w:sz w:val="20"/>
          <w:szCs w:val="20"/>
          <w:color w:val="auto"/>
        </w:rPr>
      </w:pPr>
    </w:p>
    <w:p>
      <w:pPr>
        <w:ind w:right="24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income before income taxes excluding net investment income, net 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unrealized gains and losses on investments, and interest expense.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income before income taxes calculated in accordance with GAAP to underwriting income.</w:t>
      </w:r>
    </w:p>
    <w:p>
      <w:pPr>
        <w:spacing w:after="0" w:line="117" w:lineRule="exact"/>
        <w:rPr>
          <w:sz w:val="20"/>
          <w:szCs w:val="20"/>
          <w:color w:val="auto"/>
        </w:rPr>
      </w:pPr>
    </w:p>
    <w:p>
      <w:pPr>
        <w:ind w:right="80" w:firstLine="749"/>
        <w:spacing w:after="0" w:line="231" w:lineRule="exact"/>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net income excluding the impact of certain items that may not be indicative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net income calculated in accordance with GAAP to adjusted net income.</w:t>
      </w:r>
    </w:p>
    <w:p>
      <w:pPr>
        <w:spacing w:after="0" w:line="117" w:lineRule="exact"/>
        <w:rPr>
          <w:sz w:val="20"/>
          <w:szCs w:val="20"/>
          <w:color w:val="auto"/>
        </w:rPr>
      </w:pPr>
    </w:p>
    <w:p>
      <w:pPr>
        <w:ind w:right="46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Annualized return on equity </w:t>
      </w:r>
      <w:r>
        <w:rPr>
          <w:rFonts w:ascii="Times New Roman" w:cs="Times New Roman" w:eastAsia="Times New Roman" w:hAnsi="Times New Roman"/>
          <w:sz w:val="18"/>
          <w:szCs w:val="18"/>
          <w:color w:val="auto"/>
        </w:rPr>
        <w:t>is net income expressed on an annualized basis as a percentage of average beginning and ending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during the period.</w:t>
      </w:r>
    </w:p>
    <w:p>
      <w:pPr>
        <w:spacing w:after="0" w:line="93" w:lineRule="exact"/>
        <w:rPr>
          <w:sz w:val="20"/>
          <w:szCs w:val="20"/>
          <w:color w:val="auto"/>
        </w:rPr>
      </w:pPr>
    </w:p>
    <w:p>
      <w:pPr>
        <w:ind w:right="30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Annualized adjusted return on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net income expressed on an annualized basis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average beginning and ending stockholders’ equity during the period.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return on equity calculated using unadjusted GAAP numbers to adjusted return on equity.</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185"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 commission and other income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premiums.</w:t>
      </w:r>
    </w:p>
    <w:p>
      <w:pPr>
        <w:spacing w:after="0" w:line="132" w:lineRule="exact"/>
        <w:rPr>
          <w:sz w:val="20"/>
          <w:szCs w:val="20"/>
          <w:color w:val="auto"/>
        </w:rPr>
      </w:pPr>
    </w:p>
    <w:p>
      <w:pPr>
        <w:ind w:right="18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defined as the sum of the loss ratio and the expense ratio. A combined ratio under 100% generally indicates 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 combined ratio over 100% generally indicates an underwriting loss.</w:t>
      </w:r>
    </w:p>
    <w:p>
      <w:pPr>
        <w:spacing w:after="0" w:line="93" w:lineRule="exact"/>
        <w:rPr>
          <w:sz w:val="20"/>
          <w:szCs w:val="20"/>
          <w:color w:val="auto"/>
        </w:rPr>
      </w:pPr>
    </w:p>
    <w:p>
      <w:pPr>
        <w:jc w:val="both"/>
        <w:ind w:right="260" w:firstLine="749"/>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sum of the loss ratio and the expense ratio calculated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certain items that may not be indicative of underlying business trends, operating results, or future outlook.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w:t>
      </w:r>
    </w:p>
    <w:p>
      <w:pPr>
        <w:spacing w:after="0" w:line="103" w:lineRule="exact"/>
        <w:rPr>
          <w:sz w:val="20"/>
          <w:szCs w:val="20"/>
          <w:color w:val="auto"/>
        </w:rPr>
      </w:pPr>
    </w:p>
    <w:p>
      <w:pPr>
        <w:ind w:right="40" w:firstLine="749"/>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financial measure defined as adjusted net income divided by the weighted-average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outstanding for the period, reflecting the dilution which could occur if equity-based awards are converted into common share equivalents as calculated using the treasury stock method.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diluted earnings per share calculated in accordance with GAAP to diluted adjusted earnings per share.</w:t>
      </w:r>
    </w:p>
    <w:p>
      <w:pPr>
        <w:spacing w:after="0" w:line="119" w:lineRule="exact"/>
        <w:rPr>
          <w:sz w:val="20"/>
          <w:szCs w:val="20"/>
          <w:color w:val="auto"/>
        </w:rPr>
      </w:pPr>
    </w:p>
    <w:p>
      <w:pPr>
        <w:ind w:right="160" w:firstLine="749"/>
        <w:spacing w:after="0" w:line="253" w:lineRule="exact"/>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the ratio of catastrophe losses to net earned premiums. See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loss ratio calculated using unadjusted GAAP numbers to catastrophe loss ratio.</w:t>
      </w:r>
    </w:p>
    <w:p>
      <w:pPr>
        <w:spacing w:after="0" w:line="89" w:lineRule="exact"/>
        <w:rPr>
          <w:sz w:val="20"/>
          <w:szCs w:val="20"/>
          <w:color w:val="auto"/>
        </w:rPr>
      </w:pPr>
    </w:p>
    <w:p>
      <w:pPr>
        <w:ind w:firstLine="749"/>
        <w:spacing w:after="0" w:line="226" w:lineRule="exact"/>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adjusted combined ratio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catastrophe losses.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combined ratio calculated using unadjusted GAAP numbers to adjusted combined ratio excluding catastrophe losses.</w:t>
      </w:r>
    </w:p>
    <w:p>
      <w:pPr>
        <w:spacing w:after="0" w:line="157" w:lineRule="exact"/>
        <w:rPr>
          <w:sz w:val="20"/>
          <w:szCs w:val="20"/>
          <w:color w:val="auto"/>
        </w:rPr>
      </w:pPr>
    </w:p>
    <w:p>
      <w:pPr>
        <w:ind w:right="100" w:firstLine="74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Adjusted underwriting income </w:t>
      </w:r>
      <w:r>
        <w:rPr>
          <w:rFonts w:ascii="Times New Roman" w:cs="Times New Roman" w:eastAsia="Times New Roman" w:hAnsi="Times New Roman"/>
          <w:sz w:val="18"/>
          <w:szCs w:val="18"/>
          <w:color w:val="auto"/>
        </w:rPr>
        <w:t>is a non-GAAP financial measure defined as underwriting income excluding the impact of certain items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88" w:lineRule="exact"/>
        <w:rPr>
          <w:sz w:val="20"/>
          <w:szCs w:val="20"/>
          <w:color w:val="auto"/>
        </w:rPr>
      </w:pPr>
    </w:p>
    <w:p>
      <w:pPr>
        <w:ind w:right="300" w:firstLine="749"/>
        <w:spacing w:after="0" w:line="259" w:lineRule="exact"/>
        <w:rPr>
          <w:sz w:val="20"/>
          <w:szCs w:val="20"/>
          <w:color w:val="auto"/>
        </w:rPr>
      </w:pPr>
      <w:r>
        <w:rPr>
          <w:rFonts w:ascii="Times New Roman" w:cs="Times New Roman" w:eastAsia="Times New Roman" w:hAnsi="Times New Roman"/>
          <w:sz w:val="18"/>
          <w:szCs w:val="18"/>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w:t>
      </w:r>
      <w:r>
        <w:rPr>
          <w:rFonts w:ascii="Times New Roman" w:cs="Times New Roman" w:eastAsia="Times New Roman" w:hAnsi="Times New Roman"/>
          <w:sz w:val="18"/>
          <w:szCs w:val="18"/>
          <w:color w:val="auto"/>
        </w:rPr>
        <w:t>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defined as stockholders’ equity less intangible assets.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calculated in accordance with GAAP to tangible stockholders’ equity.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4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Three months ended September 30, 2025 compared to three months ended September 30, 2024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40" w:type="dxa"/>
            <w:vAlign w:val="bottom"/>
            <w:gridSpan w:val="7"/>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for the three months ended September 30, 2025 and 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gridSpan w:val="8"/>
          </w:tcPr>
          <w:p>
            <w:pPr>
              <w:ind w:left="96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 except per share data)</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597,171</w:t>
            </w:r>
          </w:p>
        </w:tc>
        <w:tc>
          <w:tcPr>
            <w:tcW w:w="360" w:type="dxa"/>
            <w:vAlign w:val="bottom"/>
            <w:gridSpan w:val="2"/>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414,977</w:t>
            </w:r>
          </w:p>
        </w:tc>
        <w:tc>
          <w:tcPr>
            <w:tcW w:w="3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182,194</w:t>
            </w: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189"/>
        </w:trPr>
        <w:tc>
          <w:tcPr>
            <w:tcW w:w="5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Ceded written premiums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(321,927)</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(255,267)</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(66,660)</w:t>
            </w:r>
          </w:p>
        </w:tc>
        <w:tc>
          <w:tcPr>
            <w:tcW w:w="1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183"/>
        </w:trPr>
        <w:tc>
          <w:tcPr>
            <w:tcW w:w="5700" w:type="dxa"/>
            <w:vAlign w:val="bottom"/>
            <w:gridSpan w:val="2"/>
            <w:shd w:val="clear" w:color="auto" w:fill="CFF0FC"/>
          </w:tcPr>
          <w:p>
            <w:pPr>
              <w:ind w:left="120"/>
              <w:spacing w:after="0" w:line="182" w:lineRule="exact"/>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275,244</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159,710</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115,534</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Pr>
          <w:p>
            <w:pPr>
              <w:spacing w:after="0"/>
              <w:rPr>
                <w:sz w:val="13"/>
                <w:szCs w:val="13"/>
                <w:color w:val="auto"/>
              </w:rPr>
            </w:pPr>
          </w:p>
        </w:tc>
        <w:tc>
          <w:tcPr>
            <w:tcW w:w="106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225,147</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135,646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89,501</w:t>
            </w:r>
          </w:p>
        </w:tc>
        <w:tc>
          <w:tcPr>
            <w:tcW w:w="120" w:type="dxa"/>
            <w:vAlign w:val="bottom"/>
          </w:tcPr>
          <w:p>
            <w:pPr>
              <w:spacing w:after="0"/>
              <w:rPr>
                <w:sz w:val="13"/>
                <w:szCs w:val="13"/>
                <w:color w:val="auto"/>
              </w:rPr>
            </w:pPr>
          </w:p>
        </w:tc>
        <w:tc>
          <w:tcPr>
            <w:tcW w:w="13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94"/>
        </w:trPr>
        <w:tc>
          <w:tcPr>
            <w:tcW w:w="5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Commission and other income</w:t>
            </w:r>
          </w:p>
        </w:tc>
        <w:tc>
          <w:tcPr>
            <w:tcW w:w="240" w:type="dxa"/>
            <w:vAlign w:val="bottom"/>
          </w:tcPr>
          <w:p>
            <w:pPr>
              <w:spacing w:after="0"/>
              <w:rPr>
                <w:sz w:val="16"/>
                <w:szCs w:val="16"/>
                <w:color w:val="auto"/>
              </w:rPr>
            </w:pPr>
          </w:p>
        </w:tc>
        <w:tc>
          <w:tcPr>
            <w:tcW w:w="106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1,448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733</w:t>
            </w:r>
          </w:p>
        </w:tc>
        <w:tc>
          <w:tcPr>
            <w:tcW w:w="12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7"/>
        </w:trPr>
        <w:tc>
          <w:tcPr>
            <w:tcW w:w="5700" w:type="dxa"/>
            <w:vAlign w:val="bottom"/>
            <w:gridSpan w:val="2"/>
            <w:vMerge w:val="restart"/>
          </w:tcPr>
          <w:p>
            <w:pPr>
              <w:ind w:left="120"/>
              <w:spacing w:after="0" w:line="229" w:lineRule="exact"/>
              <w:rPr>
                <w:sz w:val="20"/>
                <w:szCs w:val="20"/>
                <w:color w:val="auto"/>
              </w:rPr>
            </w:pPr>
            <w:r>
              <w:rPr>
                <w:rFonts w:ascii="Times New Roman" w:cs="Times New Roman" w:eastAsia="Times New Roman" w:hAnsi="Times New Roman"/>
                <w:sz w:val="18"/>
                <w:szCs w:val="18"/>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226,595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136,361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90,234</w:t>
            </w: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72,812</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40,315</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32,497</w:t>
            </w: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240" w:type="dxa"/>
            <w:vAlign w:val="bottom"/>
          </w:tcPr>
          <w:p>
            <w:pPr>
              <w:spacing w:after="0"/>
              <w:rPr>
                <w:sz w:val="13"/>
                <w:szCs w:val="13"/>
                <w:color w:val="auto"/>
              </w:rPr>
            </w:pPr>
          </w:p>
        </w:tc>
        <w:tc>
          <w:tcPr>
            <w:tcW w:w="106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56,270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41,469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14,801</w:t>
            </w:r>
          </w:p>
        </w:tc>
        <w:tc>
          <w:tcPr>
            <w:tcW w:w="120" w:type="dxa"/>
            <w:vAlign w:val="bottom"/>
          </w:tcPr>
          <w:p>
            <w:pPr>
              <w:spacing w:after="0"/>
              <w:rPr>
                <w:sz w:val="13"/>
                <w:szCs w:val="13"/>
                <w:color w:val="auto"/>
              </w:rPr>
            </w:pPr>
          </w:p>
        </w:tc>
        <w:tc>
          <w:tcPr>
            <w:tcW w:w="13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194"/>
        </w:trPr>
        <w:tc>
          <w:tcPr>
            <w:tcW w:w="5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Other underwriting expenses</w:t>
            </w:r>
          </w:p>
        </w:tc>
        <w:tc>
          <w:tcPr>
            <w:tcW w:w="240" w:type="dxa"/>
            <w:vAlign w:val="bottom"/>
          </w:tcPr>
          <w:p>
            <w:pPr>
              <w:spacing w:after="0"/>
              <w:rPr>
                <w:sz w:val="16"/>
                <w:szCs w:val="16"/>
                <w:color w:val="auto"/>
              </w:rPr>
            </w:pPr>
          </w:p>
        </w:tc>
        <w:tc>
          <w:tcPr>
            <w:tcW w:w="106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48,306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28,129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20,177</w:t>
            </w:r>
          </w:p>
        </w:tc>
        <w:tc>
          <w:tcPr>
            <w:tcW w:w="120" w:type="dxa"/>
            <w:vAlign w:val="bottom"/>
          </w:tcPr>
          <w:p>
            <w:pPr>
              <w:spacing w:after="0"/>
              <w:rPr>
                <w:sz w:val="16"/>
                <w:szCs w:val="16"/>
                <w:color w:val="auto"/>
              </w:rPr>
            </w:pPr>
          </w:p>
        </w:tc>
        <w:tc>
          <w:tcPr>
            <w:tcW w:w="13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7"/>
        </w:trPr>
        <w:tc>
          <w:tcPr>
            <w:tcW w:w="5700" w:type="dxa"/>
            <w:vAlign w:val="bottom"/>
            <w:gridSpan w:val="2"/>
            <w:vMerge w:val="restart"/>
          </w:tcPr>
          <w:p>
            <w:pPr>
              <w:ind w:left="120"/>
              <w:spacing w:after="0" w:line="229" w:lineRule="exact"/>
              <w:rPr>
                <w:sz w:val="20"/>
                <w:szCs w:val="20"/>
                <w:color w:val="auto"/>
              </w:rPr>
            </w:pPr>
            <w:r>
              <w:rPr>
                <w:rFonts w:ascii="Times New Roman" w:cs="Times New Roman" w:eastAsia="Times New Roman" w:hAnsi="Times New Roman"/>
                <w:sz w:val="18"/>
                <w:szCs w:val="18"/>
                <w:color w:val="auto"/>
              </w:rPr>
              <w:t xml:space="preserve">Underwriting income </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49,207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26,448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22,759</w:t>
            </w:r>
          </w:p>
        </w:tc>
        <w:tc>
          <w:tcPr>
            <w:tcW w:w="12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189"/>
        </w:trPr>
        <w:tc>
          <w:tcPr>
            <w:tcW w:w="5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14,572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9,408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5,164</w:t>
            </w:r>
          </w:p>
        </w:tc>
        <w:tc>
          <w:tcPr>
            <w:tcW w:w="1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3,493</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2,734</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83"/>
        </w:trPr>
        <w:tc>
          <w:tcPr>
            <w:tcW w:w="570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67,139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38,503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28,636</w:t>
            </w:r>
          </w:p>
        </w:tc>
        <w:tc>
          <w:tcPr>
            <w:tcW w:w="120" w:type="dxa"/>
            <w:vAlign w:val="bottom"/>
          </w:tcPr>
          <w:p>
            <w:pPr>
              <w:spacing w:after="0"/>
              <w:rPr>
                <w:sz w:val="15"/>
                <w:szCs w:val="15"/>
                <w:color w:val="auto"/>
              </w:rPr>
            </w:pPr>
          </w:p>
        </w:tc>
        <w:tc>
          <w:tcPr>
            <w:tcW w:w="13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15,684</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8,006</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7,678</w:t>
            </w:r>
          </w:p>
        </w:tc>
        <w:tc>
          <w:tcPr>
            <w:tcW w:w="12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183"/>
        </w:trPr>
        <w:tc>
          <w:tcPr>
            <w:tcW w:w="570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51,455</w:t>
            </w:r>
          </w:p>
        </w:tc>
        <w:tc>
          <w:tcPr>
            <w:tcW w:w="360" w:type="dxa"/>
            <w:vAlign w:val="bottom"/>
            <w:gridSpan w:val="2"/>
          </w:tcPr>
          <w:p>
            <w:pPr>
              <w:jc w:val="right"/>
              <w:ind w:right="56"/>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30,497</w:t>
            </w:r>
          </w:p>
        </w:tc>
        <w:tc>
          <w:tcPr>
            <w:tcW w:w="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20,958</w:t>
            </w:r>
          </w:p>
        </w:tc>
        <w:tc>
          <w:tcPr>
            <w:tcW w:w="12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0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(3,493)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(759)</w:t>
            </w:r>
          </w:p>
        </w:tc>
        <w:tc>
          <w:tcPr>
            <w:tcW w:w="1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728</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644</w:t>
            </w: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9"/>
        </w:trPr>
        <w:tc>
          <w:tcPr>
            <w:tcW w:w="5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5,379</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4,117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1,262</w:t>
            </w:r>
          </w:p>
        </w:tc>
        <w:tc>
          <w:tcPr>
            <w:tcW w:w="120" w:type="dxa"/>
            <w:vAlign w:val="bottom"/>
          </w:tcPr>
          <w:p>
            <w:pPr>
              <w:spacing w:after="0"/>
              <w:rPr>
                <w:sz w:val="16"/>
                <w:szCs w:val="16"/>
                <w:color w:val="auto"/>
              </w:rPr>
            </w:pPr>
          </w:p>
        </w:tc>
        <w:tc>
          <w:tcPr>
            <w:tcW w:w="13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162"/>
        </w:trPr>
        <w:tc>
          <w:tcPr>
            <w:tcW w:w="570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auto"/>
              </w:rPr>
              <w:t>Tax impact</w:t>
            </w:r>
          </w:p>
        </w:tc>
        <w:tc>
          <w:tcPr>
            <w:tcW w:w="240" w:type="dxa"/>
            <w:vAlign w:val="bottom"/>
          </w:tcPr>
          <w:p>
            <w:pPr>
              <w:spacing w:after="0"/>
              <w:rPr>
                <w:sz w:val="14"/>
                <w:szCs w:val="14"/>
                <w:color w:val="auto"/>
              </w:rPr>
            </w:pPr>
          </w:p>
        </w:tc>
        <w:tc>
          <w:tcPr>
            <w:tcW w:w="1060" w:type="dxa"/>
            <w:vAlign w:val="bottom"/>
          </w:tcPr>
          <w:p>
            <w:pPr>
              <w:jc w:val="right"/>
              <w:ind w:right="30"/>
              <w:spacing w:after="0" w:line="162" w:lineRule="exact"/>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110"/>
              <w:spacing w:after="0" w:line="162" w:lineRule="exact"/>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4"/>
                <w:szCs w:val="14"/>
                <w:color w:val="auto"/>
              </w:rPr>
            </w:pPr>
          </w:p>
        </w:tc>
        <w:tc>
          <w:tcPr>
            <w:tcW w:w="136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700" w:type="dxa"/>
            <w:vAlign w:val="bottom"/>
            <w:gridSpan w:val="2"/>
            <w:vMerge w:val="restart"/>
          </w:tcPr>
          <w:p>
            <w:pPr>
              <w:ind w:left="1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240" w:type="dxa"/>
            <w:vAlign w:val="bottom"/>
            <w:tcBorders>
              <w:bottom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55,164</w:t>
            </w: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5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32,444</w:t>
            </w: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22,720</w:t>
            </w:r>
          </w:p>
        </w:tc>
        <w:tc>
          <w:tcPr>
            <w:tcW w:w="120" w:type="dxa"/>
            <w:vAlign w:val="bottom"/>
          </w:tcPr>
          <w:p>
            <w:pPr>
              <w:spacing w:after="0"/>
              <w:rPr>
                <w:sz w:val="15"/>
                <w:szCs w:val="15"/>
                <w:color w:val="auto"/>
              </w:rPr>
            </w:pPr>
          </w:p>
        </w:tc>
        <w:tc>
          <w:tcPr>
            <w:tcW w:w="13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line="177"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7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7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Annualized return on equity</w:t>
            </w:r>
          </w:p>
        </w:tc>
        <w:tc>
          <w:tcPr>
            <w:tcW w:w="2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line="229" w:lineRule="exact"/>
              <w:rPr>
                <w:sz w:val="20"/>
                <w:szCs w:val="20"/>
                <w:color w:val="auto"/>
              </w:rPr>
            </w:pPr>
            <w:r>
              <w:rPr>
                <w:rFonts w:ascii="Times New Roman" w:cs="Times New Roman" w:eastAsia="Times New Roman" w:hAnsi="Times New Roman"/>
                <w:sz w:val="18"/>
                <w:szCs w:val="18"/>
                <w:color w:val="auto"/>
              </w:rPr>
              <w:t xml:space="preserve">Annualized adjusted return on equity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70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tcPr>
          <w:p>
            <w:pPr>
              <w:spacing w:after="0"/>
              <w:rPr>
                <w:sz w:val="13"/>
                <w:szCs w:val="13"/>
                <w:color w:val="auto"/>
              </w:rPr>
            </w:pPr>
          </w:p>
        </w:tc>
        <w:tc>
          <w:tcPr>
            <w:tcW w:w="10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50.8%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7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78.1%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0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Adjusted combined ratio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74.8%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7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1.87</w:t>
            </w:r>
          </w:p>
        </w:tc>
        <w:tc>
          <w:tcPr>
            <w:tcW w:w="360" w:type="dxa"/>
            <w:vAlign w:val="bottom"/>
            <w:gridSpan w:val="2"/>
          </w:tcPr>
          <w:p>
            <w:pPr>
              <w:jc w:val="right"/>
              <w:ind w:right="56"/>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70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Diluted adjusted earnings per share </w:t>
            </w:r>
            <w:r>
              <w:rPr>
                <w:rFonts w:ascii="Times New Roman" w:cs="Times New Roman" w:eastAsia="Times New Roman" w:hAnsi="Times New Roman"/>
                <w:sz w:val="22"/>
                <w:szCs w:val="22"/>
                <w:color w:val="auto"/>
                <w:vertAlign w:val="superscript"/>
              </w:rPr>
              <w:t>(1)</w:t>
            </w:r>
          </w:p>
        </w:tc>
        <w:tc>
          <w:tcPr>
            <w:tcW w:w="2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2.01</w:t>
            </w:r>
          </w:p>
        </w:tc>
        <w:tc>
          <w:tcPr>
            <w:tcW w:w="360" w:type="dxa"/>
            <w:vAlign w:val="bottom"/>
            <w:gridSpan w:val="2"/>
          </w:tcPr>
          <w:p>
            <w:pPr>
              <w:jc w:val="right"/>
              <w:ind w:right="56"/>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7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Catastrophe losses</w:t>
            </w:r>
          </w:p>
        </w:tc>
        <w:tc>
          <w:tcPr>
            <w:tcW w:w="240" w:type="dxa"/>
            <w:vAlign w:val="bottom"/>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1,900</w:t>
            </w:r>
          </w:p>
        </w:tc>
        <w:tc>
          <w:tcPr>
            <w:tcW w:w="360" w:type="dxa"/>
            <w:vAlign w:val="bottom"/>
            <w:gridSpan w:val="2"/>
          </w:tcPr>
          <w:p>
            <w:pPr>
              <w:jc w:val="right"/>
              <w:ind w:right="56"/>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12,924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74.0%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00" w:type="dxa"/>
            <w:vAlign w:val="bottom"/>
            <w:gridSpan w:val="2"/>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Adjusted underwriting income </w:t>
            </w:r>
            <w:r>
              <w:rPr>
                <w:rFonts w:ascii="Times New Roman" w:cs="Times New Roman" w:eastAsia="Times New Roman" w:hAnsi="Times New Roman"/>
                <w:sz w:val="24"/>
                <w:szCs w:val="24"/>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56,660</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31,038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25,622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-1431925</wp:posOffset>
            </wp:positionV>
            <wp:extent cx="7132320" cy="1200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1200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1200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200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-3926840</wp:posOffset>
            </wp:positionV>
            <wp:extent cx="7132320"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-3437890</wp:posOffset>
            </wp:positionV>
            <wp:extent cx="7132320"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-2829560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-2829560</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-2829560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-2580640</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-2580640</wp:posOffset>
            </wp:positionV>
            <wp:extent cx="857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-2580640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-1697990</wp:posOffset>
            </wp:positionV>
            <wp:extent cx="7132320" cy="146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25" w:lineRule="exact"/>
        <w:rPr>
          <w:sz w:val="20"/>
          <w:szCs w:val="20"/>
          <w:color w:val="auto"/>
        </w:rPr>
      </w:pPr>
    </w:p>
    <w:p>
      <w:pPr>
        <w:ind w:left="1500" w:right="20" w:hanging="743"/>
        <w:spacing w:after="0" w:line="245" w:lineRule="exact"/>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financial measures prepared in accordance with GAAP.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89"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18"/>
          <w:szCs w:val="18"/>
          <w:color w:val="auto"/>
        </w:rPr>
        <w:t>Gross written premiums increased $182.2 million, or 43.9%, to $597.2 million for the three months ended September 30, 2025 compared to $415.0 million for the three months ended September 30, 2024. Premium growth was primarily due to an increased volume of policies in the majority of our lines of business, particularly in our Casualty and Crop lines, which was driven by new business generated with existing partners, strong premium retention rates for existing business, expansion of our distribution footprint, and new partnerships, partially offset by a decrease in our Fronting line. The following table summarizes our gross written premiums by line of business and shows each line’s percentage of total gross written premiums for each period: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10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0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2"/>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4"/>
        </w:trPr>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29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Product</w:t>
            </w:r>
          </w:p>
        </w:tc>
        <w:tc>
          <w:tcPr>
            <w:tcW w:w="4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Casualty</w:t>
            </w:r>
          </w:p>
        </w:tc>
        <w:tc>
          <w:tcPr>
            <w:tcW w:w="5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152,034</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25.5%</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56,307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w:t>
            </w:r>
          </w:p>
        </w:tc>
        <w:tc>
          <w:tcPr>
            <w:tcW w:w="2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95,727</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Earthquake</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tcBorders>
              <w:right w:val="single" w:sz="8" w:color="CFF0FC"/>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149,940</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135,329</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14,611</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89"/>
        </w:trPr>
        <w:tc>
          <w:tcPr>
            <w:tcW w:w="29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Crop</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119,757</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59,662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60,095</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Inland Marine and Other Property</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tcBorders>
              <w:right w:val="single" w:sz="8" w:color="CFF0FC"/>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117,871</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78,734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39,137</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189"/>
        </w:trPr>
        <w:tc>
          <w:tcPr>
            <w:tcW w:w="29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Fronting</w:t>
            </w: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57,569</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84,945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(27,376)</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03"/>
        </w:trPr>
        <w:tc>
          <w:tcPr>
            <w:tcW w:w="2900" w:type="dxa"/>
            <w:vAlign w:val="bottom"/>
            <w:shd w:val="clear" w:color="auto" w:fill="CFF0FC"/>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56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597,171</w:t>
            </w:r>
          </w:p>
        </w:tc>
        <w:tc>
          <w:tcPr>
            <w:tcW w:w="140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414,977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182,194</w:t>
            </w:r>
          </w:p>
        </w:tc>
        <w:tc>
          <w:tcPr>
            <w:tcW w:w="14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-25400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-25400</wp:posOffset>
            </wp:positionV>
            <wp:extent cx="7683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-25400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774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decline in fronting premiums shown above is primarily the result of a large fronting partnership terminated in the third quarter of 2024.</w:t>
      </w:r>
    </w:p>
    <w:p>
      <w:pPr>
        <w:spacing w:after="0" w:line="1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1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3"/>
              </w:rPr>
              <w:t>($</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4"/>
        </w:trPr>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33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14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PSIC</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317,177</w:t>
            </w:r>
          </w:p>
        </w:tc>
        <w:tc>
          <w:tcPr>
            <w:tcW w:w="14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53.1%</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236,624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57.0%</w:t>
            </w:r>
          </w:p>
        </w:tc>
        <w:tc>
          <w:tcPr>
            <w:tcW w:w="2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80,553</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189"/>
        </w:trPr>
        <w:tc>
          <w:tcPr>
            <w:tcW w:w="334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PESIC</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252,318</w:t>
            </w:r>
          </w:p>
        </w:tc>
        <w:tc>
          <w:tcPr>
            <w:tcW w:w="1480" w:type="dxa"/>
            <w:vAlign w:val="bottom"/>
            <w:gridSpan w:val="3"/>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159,305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93,013</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189"/>
        </w:trPr>
        <w:tc>
          <w:tcPr>
            <w:tcW w:w="33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Laulima</w:t>
            </w:r>
          </w:p>
        </w:tc>
        <w:tc>
          <w:tcPr>
            <w:tcW w:w="14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22,804</w:t>
            </w:r>
          </w:p>
        </w:tc>
        <w:tc>
          <w:tcPr>
            <w:tcW w:w="14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19,048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3,756</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89"/>
        </w:trPr>
        <w:tc>
          <w:tcPr>
            <w:tcW w:w="3340" w:type="dxa"/>
            <w:vAlign w:val="bottom"/>
            <w:tcBorders>
              <w:bottom w:val="single" w:sz="8" w:color="CFF0FC"/>
            </w:tcBorders>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FIA</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4,872</w:t>
            </w:r>
          </w:p>
        </w:tc>
        <w:tc>
          <w:tcPr>
            <w:tcW w:w="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4,872</w:t>
            </w:r>
          </w:p>
        </w:tc>
        <w:tc>
          <w:tcPr>
            <w:tcW w:w="1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334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597,171</w:t>
            </w:r>
          </w:p>
        </w:tc>
        <w:tc>
          <w:tcPr>
            <w:tcW w:w="148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414,977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182,194</w:t>
            </w:r>
          </w:p>
        </w:tc>
        <w:tc>
          <w:tcPr>
            <w:tcW w:w="14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-153670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-153670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-153670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-153670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89"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Ceded written premiums increased $66.7 million, or 26.1%, to $321.9 million for the three months ended September 30, 2025 from $255.3 million for the three months ended September 30, 2024. The increase in ceded written premium was primarily driven by growth in written premiums subject to quota share arrangements, such as those in Casualty and Crop lines, as well as elevated exposure leading to higher XOL reinsurance expense.</w:t>
      </w:r>
    </w:p>
    <w:p>
      <w:pPr>
        <w:spacing w:after="0" w:line="129"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 to 53.9% for the three months ended September 30, 2025 from 61.5% for the three months ended September 30, 2024. This percentage decrease was driven by changes in our composition of business whereby premiums written in the current period were subject to lower quota share or XOL cession percentages compared to premiums written in the prior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18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Net written premiums increased $115.5 million, or 72.3%, to $275.2 million for the three months ended September 30, 2025 from $159.7 million for the three months ended September 30, 2024. The increase was primarily due to an increase in gross written premiums, primarily in our Casualty and Crop lines, partially offset by increased ceded written premiums.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89"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Net earned premiums increased $89.5 million, or 66.0%, to $225.1 million for the three months ended September 30, 2025 from $135.6 million for the three months ended September 30, 2024 due primarily to the earning of increased gross written premiums partially 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earned premiums</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518,783</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395,881</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122,902</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Ceded earned premiums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(293,636)</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(260,235)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(33,401)</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225,147</w:t>
            </w:r>
          </w:p>
        </w:tc>
        <w:tc>
          <w:tcPr>
            <w:tcW w:w="3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135,646</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89,501</w:t>
            </w:r>
          </w:p>
        </w:tc>
        <w:tc>
          <w:tcPr>
            <w:tcW w:w="14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170"/>
        </w:trPr>
        <w:tc>
          <w:tcPr>
            <w:tcW w:w="57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earned premium ratio</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43.4%</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-264795</wp:posOffset>
            </wp:positionV>
            <wp:extent cx="857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-247650</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-264795</wp:posOffset>
            </wp:positionV>
            <wp:extent cx="857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-247650</wp:posOffset>
            </wp:positionV>
            <wp:extent cx="85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-264795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175" w:lineRule="exact"/>
        <w:rPr>
          <w:sz w:val="20"/>
          <w:szCs w:val="20"/>
          <w:color w:val="auto"/>
        </w:rPr>
      </w:pPr>
    </w:p>
    <w:p>
      <w:pPr>
        <w:jc w:val="both"/>
        <w:ind w:right="220" w:firstLine="749"/>
        <w:spacing w:after="0" w:line="258" w:lineRule="auto"/>
        <w:rPr>
          <w:sz w:val="20"/>
          <w:szCs w:val="20"/>
          <w:color w:val="auto"/>
        </w:rPr>
      </w:pPr>
      <w:r>
        <w:rPr>
          <w:rFonts w:ascii="Times New Roman" w:cs="Times New Roman" w:eastAsia="Times New Roman" w:hAnsi="Times New Roman"/>
          <w:sz w:val="18"/>
          <w:szCs w:val="18"/>
          <w:color w:val="auto"/>
        </w:rPr>
        <w:t>Commission and other income increased $0.7 million to $1.4 million for the three months ended September 30, 2025 from $0.7 million for the three months ended September 30, 2024. The balance increased due to an increase in commissions and policy related fees driven by increased premiums written.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8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Losses and loss adjustment expenses increased $32.5 million, or 80.6%, to $72.8 million for the three months ended September 30, 2025 from $40.3 million for the three months ended September 30, 2024. Losses and loss adjustment expenses consisted of the following elements during the respective periods: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ind w:left="40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Catastrophe losses</w:t>
            </w:r>
          </w:p>
        </w:tc>
        <w:tc>
          <w:tcPr>
            <w:tcW w:w="156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1,900</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12,924</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(11,024)</w:t>
            </w:r>
          </w:p>
        </w:tc>
        <w:tc>
          <w:tcPr>
            <w:tcW w:w="15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losses</w:t>
            </w: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70,912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80"/>
              <w:spacing w:after="0" w:line="189" w:lineRule="exact"/>
              <w:rPr>
                <w:sz w:val="20"/>
                <w:szCs w:val="20"/>
                <w:color w:val="auto"/>
              </w:rPr>
            </w:pPr>
            <w:r>
              <w:rPr>
                <w:rFonts w:ascii="Times New Roman" w:cs="Times New Roman" w:eastAsia="Times New Roman" w:hAnsi="Times New Roman"/>
                <w:sz w:val="18"/>
                <w:szCs w:val="18"/>
                <w:color w:val="auto"/>
              </w:rPr>
              <w:t>27,391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43,521</w:t>
            </w:r>
          </w:p>
        </w:tc>
        <w:tc>
          <w:tcPr>
            <w:tcW w:w="1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losses and loss adjustment expenses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72,812</w:t>
            </w:r>
          </w:p>
        </w:tc>
        <w:tc>
          <w:tcPr>
            <w:tcW w:w="3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380"/>
              <w:spacing w:after="0" w:line="169" w:lineRule="exact"/>
              <w:rPr>
                <w:sz w:val="20"/>
                <w:szCs w:val="20"/>
                <w:color w:val="auto"/>
              </w:rPr>
            </w:pPr>
            <w:r>
              <w:rPr>
                <w:rFonts w:ascii="Times New Roman" w:cs="Times New Roman" w:eastAsia="Times New Roman" w:hAnsi="Times New Roman"/>
                <w:sz w:val="18"/>
                <w:szCs w:val="18"/>
                <w:color w:val="auto"/>
              </w:rPr>
              <w:t>40,315</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32,497</w:t>
            </w:r>
          </w:p>
        </w:tc>
        <w:tc>
          <w:tcPr>
            <w:tcW w:w="15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40" w:type="dxa"/>
            <w:vAlign w:val="bottom"/>
            <w:shd w:val="clear" w:color="auto" w:fill="CFF0FC"/>
          </w:tcPr>
          <w:p>
            <w:pPr>
              <w:spacing w:after="0"/>
              <w:rPr>
                <w:sz w:val="18"/>
                <w:szCs w:val="18"/>
                <w:color w:val="auto"/>
              </w:rPr>
            </w:pPr>
          </w:p>
        </w:tc>
      </w:tr>
      <w:tr>
        <w:trPr>
          <w:trHeight w:val="189"/>
        </w:trPr>
        <w:tc>
          <w:tcPr>
            <w:tcW w:w="5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 ratio</w:t>
            </w: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20.2%</w:t>
            </w:r>
          </w:p>
        </w:tc>
        <w:tc>
          <w:tcPr>
            <w:tcW w:w="2840" w:type="dxa"/>
            <w:vAlign w:val="bottom"/>
          </w:tcPr>
          <w:p>
            <w:pPr>
              <w:spacing w:after="0"/>
              <w:rPr>
                <w:sz w:val="16"/>
                <w:szCs w:val="16"/>
                <w:color w:val="auto"/>
              </w:rPr>
            </w:pPr>
          </w:p>
        </w:tc>
      </w:tr>
      <w:tr>
        <w:trPr>
          <w:trHeight w:val="223"/>
        </w:trPr>
        <w:tc>
          <w:tcPr>
            <w:tcW w:w="56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loss ratio</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32.3%</w:t>
            </w: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29.7%</w:t>
            </w:r>
          </w:p>
        </w:tc>
        <w:tc>
          <w:tcPr>
            <w:tcW w:w="28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857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Catastrophe loss activity for the quarter ended September 30, 2025 was primarily related to flood events.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Catastrophe loss activity for the quarter ended September 30, 2024 was primarily related to Hurricanes Beryl, Debby, and Helene.</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Non-catastrophe losses increased for the three months ended September 30, 2025 compared to the three months ended September 30, 2024 due mainly to higher attritional losses driven by premium growth on lines of business subject to attritional losses such as Casualty, Crop, and Inland Marine and Other Property.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18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Acquisition expenses increased $14.8 million, or 35.7%, to $56.3 million for the three months ended September 30, 2025 from $41.5 million for the three months ended September 30, 2024. The increase was primarily due to higher commissions and premium-related taxes resulting from higher gross earned premiums. Acquisition expenses as a percentage of gross earned premiums were 10.8% for the three months ended September 30, 2025 compared to 10.5% for the three months ended September 30, 2024. Acquisition expenses as a percentage of gross earned premiums increased due to higher commissions as a percentage of gross earned premiums and lower fronting fees as a percentage of gross earned premiums due to changes in the composition of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189"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Other underwriting expenses increased $20.2 million, or 71.7%, to $48.3 million for the three months ended September 30, 2025 from $28.1 million for the three months ended September 30, 2024. The increase was primarily due to the Company incurring higher payroll, technology, and stock-based compensation expenses associated with general growth.</w:t>
      </w:r>
    </w:p>
    <w:p>
      <w:pPr>
        <w:spacing w:after="0" w:line="150"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9.3% for the three months ended September 30, 2025 compared to 7.1% for the three months ended September 30, 2024. Excluding the impact of expenses relating to transactions, stock-based compensation, and amortization of intangibles, other underwriting expenses as a percentage of gross earned premiums were 7.9% for the three months ended September 30, 2025 compared to 5.9% for the three months ended September 30, 2024. Other underwriting expenses as a percentage of gross earned premiums fluctuates period over period based on timing of certain expenses relative to premium growth.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175"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Net investment income increased $5.2 million, or 54.9%, to $14.6 million for the three months ended September 30, 2025 from $9.4 million for the three months ended September 30, 2024. The increase was primarily due to a higher average balance of investments during the three months ended September 30, 2025 due to the investing of cash generated from operations and the proceeds from our August 2024 secondary offering as well as higher yields on invested assets versus the prior year.</w:t>
      </w:r>
    </w:p>
    <w:p>
      <w:pPr>
        <w:spacing w:after="0" w:line="150" w:lineRule="exact"/>
        <w:rPr>
          <w:sz w:val="20"/>
          <w:szCs w:val="20"/>
          <w:color w:val="auto"/>
        </w:rPr>
      </w:pPr>
    </w:p>
    <w:p>
      <w:pPr>
        <w:ind w:right="220" w:firstLine="749"/>
        <w:spacing w:after="0" w:line="246" w:lineRule="auto"/>
        <w:rPr>
          <w:sz w:val="20"/>
          <w:szCs w:val="20"/>
          <w:color w:val="auto"/>
        </w:rPr>
      </w:pPr>
      <w:r>
        <w:rPr>
          <w:rFonts w:ascii="Times New Roman" w:cs="Times New Roman" w:eastAsia="Times New Roman" w:hAnsi="Times New Roman"/>
          <w:sz w:val="18"/>
          <w:szCs w:val="18"/>
          <w:color w:val="auto"/>
        </w:rPr>
        <w:t>The Company incurred $3.5 million of net realized and unrealized gains on investments for the three months ended September 30, 2025 compared to $2.7 million of net realized and unrealized gains for the three months ended September 30, 2024. In both periods, the balance was primarily driven by unrealized gains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4"/>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14,515</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9,365</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5,150</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189"/>
        </w:trPr>
        <w:tc>
          <w:tcPr>
            <w:tcW w:w="5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78</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(64)</w:t>
            </w:r>
          </w:p>
        </w:tc>
        <w:tc>
          <w:tcPr>
            <w:tcW w:w="148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183"/>
        </w:trPr>
        <w:tc>
          <w:tcPr>
            <w:tcW w:w="58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14,572</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9,408</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5,164</w:t>
            </w:r>
          </w:p>
        </w:tc>
        <w:tc>
          <w:tcPr>
            <w:tcW w:w="14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3,493</w:t>
            </w: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2,734</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759</w:t>
            </w:r>
          </w:p>
        </w:tc>
        <w:tc>
          <w:tcPr>
            <w:tcW w:w="14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183"/>
        </w:trPr>
        <w:tc>
          <w:tcPr>
            <w:tcW w:w="5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18,065</w:t>
            </w:r>
          </w:p>
        </w:tc>
        <w:tc>
          <w:tcPr>
            <w:tcW w:w="380" w:type="dxa"/>
            <w:vAlign w:val="bottom"/>
            <w:gridSpan w:val="2"/>
          </w:tcPr>
          <w:p>
            <w:pPr>
              <w:jc w:val="right"/>
              <w:ind w:right="1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12,142</w:t>
            </w:r>
          </w:p>
        </w:tc>
        <w:tc>
          <w:tcPr>
            <w:tcW w:w="30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5,923</w:t>
            </w:r>
          </w:p>
        </w:tc>
        <w:tc>
          <w:tcPr>
            <w:tcW w:w="14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-410845</wp:posOffset>
            </wp:positionV>
            <wp:extent cx="857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-410845</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-410845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-153670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-153670</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-153670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18"/>
          <w:szCs w:val="18"/>
          <w:color w:val="auto"/>
        </w:rPr>
        <w:t>Income tax expense increased $7.7 million to $15.7 million for the three months ended September 30, 2025 from $8.0 million for the three months ended September 30, 2024 due to higher pre-tax income for the period ended September 30, 2025. During the three months ended September 30, 2025 our income tax rate of 23.4% was higher than the statutory rate of 21% due primarily to non-deductible executive compensation expense. During the three months ended September 30, 2024 our income tax rate of 20.8% was lower than the statutory rate of 21% due primarily to the tax impact of the permanent component of employee stock option exercises.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3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9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compared to nine months ended September 30, 2024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8"/>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for the nine months ended September 30, 2025 and 2024: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vMerge w:val="restart"/>
          </w:tcPr>
          <w:p>
            <w:pPr>
              <w:spacing w:after="0"/>
              <w:rPr>
                <w:sz w:val="19"/>
                <w:szCs w:val="19"/>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40" w:type="dxa"/>
            <w:vAlign w:val="bottom"/>
            <w:gridSpan w:val="8"/>
          </w:tcPr>
          <w:p>
            <w:pPr>
              <w:ind w:left="94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 except per share data)</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written premiums</w:t>
            </w:r>
          </w:p>
        </w:tc>
        <w:tc>
          <w:tcPr>
            <w:tcW w:w="66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1,535,623</w:t>
            </w:r>
          </w:p>
        </w:tc>
        <w:tc>
          <w:tcPr>
            <w:tcW w:w="360" w:type="dxa"/>
            <w:vAlign w:val="bottom"/>
            <w:gridSpan w:val="2"/>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1,168,239</w:t>
            </w:r>
          </w:p>
        </w:tc>
        <w:tc>
          <w:tcPr>
            <w:tcW w:w="3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367,384</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Ceded written premiums</w:t>
            </w:r>
          </w:p>
        </w:tc>
        <w:tc>
          <w:tcPr>
            <w:tcW w:w="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(819,171)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(692,620)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(126,551)</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CFF0FC"/>
          </w:tcPr>
          <w:p>
            <w:pPr>
              <w:ind w:left="100"/>
              <w:spacing w:after="0" w:line="182" w:lineRule="exact"/>
              <w:rPr>
                <w:sz w:val="20"/>
                <w:szCs w:val="20"/>
                <w:color w:val="auto"/>
              </w:rPr>
            </w:pPr>
            <w:r>
              <w:rPr>
                <w:rFonts w:ascii="Times New Roman" w:cs="Times New Roman" w:eastAsia="Times New Roman" w:hAnsi="Times New Roman"/>
                <w:sz w:val="18"/>
                <w:szCs w:val="18"/>
                <w:color w:val="auto"/>
              </w:rPr>
              <w:t>Net written premiums</w:t>
            </w:r>
          </w:p>
        </w:tc>
        <w:tc>
          <w:tcPr>
            <w:tcW w:w="4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716,452</w:t>
            </w: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475,619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240,833</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Net earned premiums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569,175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365,796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203,379</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94"/>
        </w:trPr>
        <w:tc>
          <w:tcPr>
            <w:tcW w:w="5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Commission and other income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3,954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2,035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573,129</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367,831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205,298</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157,739</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97,583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60,156</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154,266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109,072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45,194</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194"/>
        </w:trPr>
        <w:tc>
          <w:tcPr>
            <w:tcW w:w="5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Other underwriting expenses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129,563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84,165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45,398</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00"/>
              <w:spacing w:after="0" w:line="229" w:lineRule="exact"/>
              <w:rPr>
                <w:sz w:val="20"/>
                <w:szCs w:val="20"/>
                <w:color w:val="auto"/>
              </w:rPr>
            </w:pPr>
            <w:r>
              <w:rPr>
                <w:rFonts w:ascii="Times New Roman" w:cs="Times New Roman" w:eastAsia="Times New Roman" w:hAnsi="Times New Roman"/>
                <w:sz w:val="18"/>
                <w:szCs w:val="18"/>
                <w:color w:val="auto"/>
              </w:rPr>
              <w:t xml:space="preserve">Underwriting income </w:t>
            </w:r>
            <w:r>
              <w:rPr>
                <w:rFonts w:ascii="Times New Roman" w:cs="Times New Roman" w:eastAsia="Times New Roman" w:hAnsi="Times New Roman"/>
                <w:sz w:val="24"/>
                <w:szCs w:val="24"/>
                <w:color w:val="auto"/>
                <w:vertAlign w:val="superscript"/>
              </w:rPr>
              <w:t>(1)</w:t>
            </w:r>
          </w:p>
        </w:tc>
        <w:tc>
          <w:tcPr>
            <w:tcW w:w="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131,561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77,011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54,550</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(1,052)</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40,014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24,506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15,508</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4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9,461</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5,768</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3,693</w:t>
            </w:r>
          </w:p>
        </w:tc>
        <w:tc>
          <w:tcPr>
            <w:tcW w:w="12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183"/>
        </w:trPr>
        <w:tc>
          <w:tcPr>
            <w:tcW w:w="5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180,732</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106,233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74,499</w:t>
            </w:r>
          </w:p>
        </w:tc>
        <w:tc>
          <w:tcPr>
            <w:tcW w:w="120" w:type="dxa"/>
            <w:vAlign w:val="bottom"/>
          </w:tcPr>
          <w:p>
            <w:pPr>
              <w:spacing w:after="0"/>
              <w:rPr>
                <w:sz w:val="15"/>
                <w:szCs w:val="15"/>
                <w:color w:val="auto"/>
              </w:rPr>
            </w:pPr>
          </w:p>
        </w:tc>
        <w:tc>
          <w:tcPr>
            <w:tcW w:w="14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39,827</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23,625</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16,202</w:t>
            </w:r>
          </w:p>
        </w:tc>
        <w:tc>
          <w:tcPr>
            <w:tcW w:w="12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183"/>
        </w:trPr>
        <w:tc>
          <w:tcPr>
            <w:tcW w:w="524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660" w:type="dxa"/>
            <w:vAlign w:val="bottom"/>
            <w:gridSpan w:val="2"/>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140,905</w:t>
            </w:r>
          </w:p>
        </w:tc>
        <w:tc>
          <w:tcPr>
            <w:tcW w:w="360" w:type="dxa"/>
            <w:vAlign w:val="bottom"/>
            <w:gridSpan w:val="2"/>
          </w:tcPr>
          <w:p>
            <w:pPr>
              <w:jc w:val="right"/>
              <w:ind w:right="56"/>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82,608</w:t>
            </w:r>
          </w:p>
        </w:tc>
        <w:tc>
          <w:tcPr>
            <w:tcW w:w="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58,297</w:t>
            </w:r>
          </w:p>
        </w:tc>
        <w:tc>
          <w:tcPr>
            <w:tcW w:w="120" w:type="dxa"/>
            <w:vAlign w:val="bottom"/>
          </w:tcPr>
          <w:p>
            <w:pPr>
              <w:spacing w:after="0"/>
              <w:rPr>
                <w:sz w:val="15"/>
                <w:szCs w:val="15"/>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4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Adjustments:</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(9,461)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(5,768)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(3,693)</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3,570</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3,013</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15,471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11,905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3,566</w:t>
            </w:r>
          </w:p>
        </w:tc>
        <w:tc>
          <w:tcPr>
            <w:tcW w:w="12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2,232</w:t>
            </w: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157"/>
        </w:trPr>
        <w:tc>
          <w:tcPr>
            <w:tcW w:w="524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110"/>
              <w:spacing w:after="0" w:line="157" w:lineRule="exact"/>
              <w:rPr>
                <w:sz w:val="20"/>
                <w:szCs w:val="20"/>
                <w:color w:val="auto"/>
              </w:rPr>
            </w:pPr>
            <w:r>
              <w:rPr>
                <w:rFonts w:ascii="Times New Roman" w:cs="Times New Roman" w:eastAsia="Times New Roman" w:hAnsi="Times New Roman"/>
                <w:sz w:val="18"/>
                <w:szCs w:val="18"/>
                <w:color w:val="auto"/>
              </w:rPr>
              <w:t>2,483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30"/>
              <w:spacing w:after="0" w:line="157" w:lineRule="exact"/>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3"/>
                <w:szCs w:val="13"/>
                <w:color w:val="auto"/>
              </w:rPr>
            </w:pPr>
          </w:p>
        </w:tc>
        <w:tc>
          <w:tcPr>
            <w:tcW w:w="140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4"/>
        </w:trPr>
        <w:tc>
          <w:tcPr>
            <w:tcW w:w="5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Tax impact</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(1,543)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7"/>
        </w:trPr>
        <w:tc>
          <w:tcPr>
            <w:tcW w:w="5240" w:type="dxa"/>
            <w:vAlign w:val="bottom"/>
            <w:gridSpan w:val="2"/>
            <w:vMerge w:val="restart"/>
          </w:tcPr>
          <w:p>
            <w:pPr>
              <w:ind w:left="10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4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40" w:type="dxa"/>
            <w:vAlign w:val="bottom"/>
            <w:tcBorders>
              <w:bottom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155,003</w:t>
            </w: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5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92,219</w:t>
            </w: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62,784</w:t>
            </w:r>
          </w:p>
        </w:tc>
        <w:tc>
          <w:tcPr>
            <w:tcW w:w="120" w:type="dxa"/>
            <w:vAlign w:val="bottom"/>
          </w:tcPr>
          <w:p>
            <w:pPr>
              <w:spacing w:after="0"/>
              <w:rPr>
                <w:sz w:val="15"/>
                <w:szCs w:val="15"/>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240" w:type="dxa"/>
            <w:vAlign w:val="bottom"/>
            <w:gridSpan w:val="2"/>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4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Annualized return on equity</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23.4%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Annualized adjusted return on equity </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ratio</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24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 ratio</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Combined ratio</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76.9%</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78.9%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Adjusted combined ratio </w:t>
            </w:r>
            <w:r>
              <w:rPr>
                <w:rFonts w:ascii="Times New Roman" w:cs="Times New Roman" w:eastAsia="Times New Roman" w:hAnsi="Times New Roman"/>
                <w:sz w:val="22"/>
                <w:szCs w:val="22"/>
                <w:color w:val="auto"/>
                <w:vertAlign w:val="superscript"/>
              </w:rPr>
              <w:t>(1)</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72.5%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Diluted earnings per share</w:t>
            </w:r>
          </w:p>
        </w:tc>
        <w:tc>
          <w:tcPr>
            <w:tcW w:w="660" w:type="dxa"/>
            <w:vAlign w:val="bottom"/>
            <w:gridSpan w:val="2"/>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5.12</w:t>
            </w:r>
          </w:p>
        </w:tc>
        <w:tc>
          <w:tcPr>
            <w:tcW w:w="360" w:type="dxa"/>
            <w:vAlign w:val="bottom"/>
            <w:gridSpan w:val="2"/>
          </w:tcPr>
          <w:p>
            <w:pPr>
              <w:jc w:val="right"/>
              <w:ind w:right="56"/>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40" w:type="dxa"/>
            <w:vAlign w:val="bottom"/>
            <w:gridSpan w:val="2"/>
          </w:tcPr>
          <w:p>
            <w:pPr>
              <w:spacing w:after="0" w:line="198" w:lineRule="exact"/>
              <w:rPr>
                <w:sz w:val="20"/>
                <w:szCs w:val="20"/>
                <w:color w:val="auto"/>
              </w:rPr>
            </w:pPr>
            <w:r>
              <w:rPr>
                <w:rFonts w:ascii="Times New Roman" w:cs="Times New Roman" w:eastAsia="Times New Roman" w:hAnsi="Times New Roman"/>
                <w:sz w:val="17"/>
                <w:szCs w:val="17"/>
                <w:color w:val="auto"/>
              </w:rPr>
              <w:t xml:space="preserve">Diluted adjusted earnings per share </w:t>
            </w:r>
            <w:r>
              <w:rPr>
                <w:rFonts w:ascii="Times New Roman" w:cs="Times New Roman" w:eastAsia="Times New Roman" w:hAnsi="Times New Roman"/>
                <w:sz w:val="22"/>
                <w:szCs w:val="22"/>
                <w:color w:val="auto"/>
                <w:vertAlign w:val="superscript"/>
              </w:rPr>
              <w:t>(1)</w:t>
            </w:r>
          </w:p>
        </w:tc>
        <w:tc>
          <w:tcPr>
            <w:tcW w:w="660" w:type="dxa"/>
            <w:vAlign w:val="bottom"/>
            <w:gridSpan w:val="2"/>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5.63</w:t>
            </w:r>
          </w:p>
        </w:tc>
        <w:tc>
          <w:tcPr>
            <w:tcW w:w="360" w:type="dxa"/>
            <w:vAlign w:val="bottom"/>
            <w:gridSpan w:val="2"/>
          </w:tcPr>
          <w:p>
            <w:pPr>
              <w:jc w:val="right"/>
              <w:ind w:right="56"/>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2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Catastrophe losses</w:t>
            </w:r>
          </w:p>
        </w:tc>
        <w:tc>
          <w:tcPr>
            <w:tcW w:w="660" w:type="dxa"/>
            <w:vAlign w:val="bottom"/>
            <w:gridSpan w:val="2"/>
          </w:tcPr>
          <w:p>
            <w:pPr>
              <w:jc w:val="right"/>
              <w:ind w:right="5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81" w:lineRule="exact"/>
              <w:rPr>
                <w:sz w:val="20"/>
                <w:szCs w:val="20"/>
                <w:color w:val="auto"/>
              </w:rPr>
            </w:pPr>
            <w:r>
              <w:rPr>
                <w:rFonts w:ascii="Times New Roman" w:cs="Times New Roman" w:eastAsia="Times New Roman" w:hAnsi="Times New Roman"/>
                <w:sz w:val="18"/>
                <w:szCs w:val="18"/>
                <w:color w:val="auto"/>
              </w:rPr>
              <w:t>1,335</w:t>
            </w:r>
          </w:p>
        </w:tc>
        <w:tc>
          <w:tcPr>
            <w:tcW w:w="360" w:type="dxa"/>
            <w:vAlign w:val="bottom"/>
            <w:gridSpan w:val="2"/>
          </w:tcPr>
          <w:p>
            <w:pPr>
              <w:jc w:val="right"/>
              <w:ind w:right="56"/>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line="181" w:lineRule="exact"/>
              <w:rPr>
                <w:sz w:val="20"/>
                <w:szCs w:val="20"/>
                <w:color w:val="auto"/>
              </w:rPr>
            </w:pPr>
            <w:r>
              <w:rPr>
                <w:rFonts w:ascii="Times New Roman" w:cs="Times New Roman" w:eastAsia="Times New Roman" w:hAnsi="Times New Roman"/>
                <w:sz w:val="18"/>
                <w:szCs w:val="18"/>
                <w:color w:val="auto"/>
              </w:rPr>
              <w:t>19,724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40" w:type="dxa"/>
            <w:vAlign w:val="bottom"/>
            <w:gridSpan w:val="2"/>
          </w:tcPr>
          <w:p>
            <w:pPr>
              <w:spacing w:after="0" w:line="189"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240" w:type="dxa"/>
            <w:vAlign w:val="bottom"/>
            <w:gridSpan w:val="2"/>
          </w:tcPr>
          <w:p>
            <w:pPr>
              <w:spacing w:after="0" w:line="218" w:lineRule="exact"/>
              <w:rPr>
                <w:sz w:val="20"/>
                <w:szCs w:val="20"/>
                <w:color w:val="auto"/>
              </w:rPr>
            </w:pPr>
            <w:r>
              <w:rPr>
                <w:rFonts w:ascii="Times New Roman" w:cs="Times New Roman" w:eastAsia="Times New Roman" w:hAnsi="Times New Roman"/>
                <w:sz w:val="18"/>
                <w:szCs w:val="18"/>
                <w:color w:val="auto"/>
              </w:rPr>
              <w:t xml:space="preserve">Adjusted underwriting income </w:t>
            </w:r>
            <w:r>
              <w:rPr>
                <w:rFonts w:ascii="Times New Roman" w:cs="Times New Roman" w:eastAsia="Times New Roman" w:hAnsi="Times New Roman"/>
                <w:sz w:val="24"/>
                <w:szCs w:val="24"/>
                <w:color w:val="auto"/>
                <w:vertAlign w:val="superscript"/>
              </w:rPr>
              <w:t>(1)</w:t>
            </w:r>
          </w:p>
        </w:tc>
        <w:tc>
          <w:tcPr>
            <w:tcW w:w="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156,663</w:t>
            </w:r>
          </w:p>
        </w:tc>
        <w:tc>
          <w:tcPr>
            <w:tcW w:w="3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93,124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63,539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-1311910</wp:posOffset>
            </wp:positionV>
            <wp:extent cx="7132320" cy="1200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132320" cy="1200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200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200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-4046855</wp:posOffset>
            </wp:positionV>
            <wp:extent cx="7132320"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-3557905</wp:posOffset>
            </wp:positionV>
            <wp:extent cx="7132320"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-2949575</wp:posOffset>
            </wp:positionV>
            <wp:extent cx="857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-2949575</wp:posOffset>
            </wp:positionV>
            <wp:extent cx="857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-2949575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-2700655</wp:posOffset>
            </wp:positionV>
            <wp:extent cx="857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-2700655</wp:posOffset>
            </wp:positionV>
            <wp:extent cx="857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-2700655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-1826260</wp:posOffset>
            </wp:positionV>
            <wp:extent cx="713232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51" w:lineRule="exact"/>
        <w:rPr>
          <w:sz w:val="20"/>
          <w:szCs w:val="20"/>
          <w:color w:val="auto"/>
        </w:rPr>
      </w:pPr>
    </w:p>
    <w:p>
      <w:pPr>
        <w:ind w:left="1500" w:right="20" w:hanging="743"/>
        <w:spacing w:after="0" w:line="245" w:lineRule="exact"/>
        <w:tabs>
          <w:tab w:leader="none" w:pos="1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their most directly comparable financial measures prepared in accordance with GAAP.</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18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Gross written premiums increased $367.4 million, or 31.4%, to $1.5 billion for the nine months ended September 30, 2025 compared to $1.2 billion for the nine months ended September 30, 2024. Premium growth was primarily due to an increased volume of policies in the majority of our lines of business, particularly in our Casualty and Crop lines, which was driven by new business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generated with existing partners, strong premium retention rates for existing business, expansion of our distribution footprint, and new partnerships, partially offset by a decrease in our Fronting line. The following table summarizes our gross written premiums by line of business and shows each line’s percentage of total gross written premiums for each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109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0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80" w:type="dxa"/>
            <w:vAlign w:val="bottom"/>
            <w:gridSpan w:val="2"/>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4"/>
        </w:trPr>
        <w:tc>
          <w:tcPr>
            <w:tcW w:w="2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29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Product</w:t>
            </w:r>
          </w:p>
        </w:tc>
        <w:tc>
          <w:tcPr>
            <w:tcW w:w="4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Earthquake</w:t>
            </w:r>
          </w:p>
        </w:tc>
        <w:tc>
          <w:tcPr>
            <w:tcW w:w="5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427,869</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27.9%</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376,088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2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51,781</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Casualty</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392,473</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166,762</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225,711</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189"/>
        </w:trPr>
        <w:tc>
          <w:tcPr>
            <w:tcW w:w="29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Inland Marine and Other Property</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335,462</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249,147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86,315</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89"/>
        </w:trPr>
        <w:tc>
          <w:tcPr>
            <w:tcW w:w="290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Crop</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207,440</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100,571</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106,869</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106.3%</w:t>
            </w:r>
          </w:p>
        </w:tc>
        <w:tc>
          <w:tcPr>
            <w:tcW w:w="0" w:type="dxa"/>
            <w:vAlign w:val="bottom"/>
          </w:tcPr>
          <w:p>
            <w:pPr>
              <w:spacing w:after="0"/>
              <w:rPr>
                <w:sz w:val="1"/>
                <w:szCs w:val="1"/>
                <w:color w:val="auto"/>
              </w:rPr>
            </w:pPr>
          </w:p>
        </w:tc>
      </w:tr>
      <w:tr>
        <w:trPr>
          <w:trHeight w:val="189"/>
        </w:trPr>
        <w:tc>
          <w:tcPr>
            <w:tcW w:w="29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Fronting</w:t>
            </w: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172,379</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275,671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(103,292)</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03"/>
        </w:trPr>
        <w:tc>
          <w:tcPr>
            <w:tcW w:w="2900" w:type="dxa"/>
            <w:vAlign w:val="bottom"/>
            <w:shd w:val="clear" w:color="auto" w:fill="CFF0FC"/>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56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1,535,623</w:t>
            </w:r>
          </w:p>
        </w:tc>
        <w:tc>
          <w:tcPr>
            <w:tcW w:w="140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1,168,239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FF0FC"/>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367,384</w:t>
            </w:r>
          </w:p>
        </w:tc>
        <w:tc>
          <w:tcPr>
            <w:tcW w:w="14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29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77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 A large fronting partnership terminated in the third quarter of 2024, causing the decline in fronting premiums shown above.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11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2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3"/>
              </w:rPr>
              <w:t>($</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04"/>
        </w:trPr>
        <w:tc>
          <w:tcPr>
            <w:tcW w:w="3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GWP</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83"/>
        </w:trPr>
        <w:tc>
          <w:tcPr>
            <w:tcW w:w="33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14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PSIC</w:t>
            </w: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781,078</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50.9%</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652,988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55.9%</w:t>
            </w:r>
          </w:p>
        </w:tc>
        <w:tc>
          <w:tcPr>
            <w:tcW w:w="28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128,090</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89"/>
        </w:trPr>
        <w:tc>
          <w:tcPr>
            <w:tcW w:w="3340" w:type="dxa"/>
            <w:vAlign w:val="bottom"/>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PESIC</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681,048</w:t>
            </w:r>
          </w:p>
        </w:tc>
        <w:tc>
          <w:tcPr>
            <w:tcW w:w="14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472,909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208,139</w:t>
            </w:r>
          </w:p>
        </w:tc>
        <w:tc>
          <w:tcPr>
            <w:tcW w:w="14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189"/>
        </w:trPr>
        <w:tc>
          <w:tcPr>
            <w:tcW w:w="334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Laulima</w:t>
            </w:r>
          </w:p>
        </w:tc>
        <w:tc>
          <w:tcPr>
            <w:tcW w:w="1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58,974</w:t>
            </w:r>
          </w:p>
        </w:tc>
        <w:tc>
          <w:tcPr>
            <w:tcW w:w="14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42,342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16,632</w:t>
            </w:r>
          </w:p>
        </w:tc>
        <w:tc>
          <w:tcPr>
            <w:tcW w:w="14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189"/>
        </w:trPr>
        <w:tc>
          <w:tcPr>
            <w:tcW w:w="3340" w:type="dxa"/>
            <w:vAlign w:val="bottom"/>
            <w:tcBorders>
              <w:bottom w:val="single" w:sz="8" w:color="CFF0FC"/>
            </w:tcBorders>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auto"/>
              </w:rPr>
              <w:t>FIA</w:t>
            </w:r>
          </w:p>
        </w:tc>
        <w:tc>
          <w:tcPr>
            <w:tcW w:w="1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14,523</w:t>
            </w:r>
          </w:p>
        </w:tc>
        <w:tc>
          <w:tcPr>
            <w:tcW w:w="12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14,523</w:t>
            </w:r>
          </w:p>
        </w:tc>
        <w:tc>
          <w:tcPr>
            <w:tcW w:w="10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334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Total Gross Written Premiums</w:t>
            </w:r>
          </w:p>
        </w:tc>
        <w:tc>
          <w:tcPr>
            <w:tcW w:w="1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1,535,623</w:t>
            </w:r>
          </w:p>
        </w:tc>
        <w:tc>
          <w:tcPr>
            <w:tcW w:w="14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1,168,239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ind w:righ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367,384</w:t>
            </w:r>
          </w:p>
        </w:tc>
        <w:tc>
          <w:tcPr>
            <w:tcW w:w="14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-153670</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-153670</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-153670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-153670</wp:posOffset>
            </wp:positionV>
            <wp:extent cx="774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-153670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18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Ceded written premiums increased $126.6 million, or 18.3%, to $819.2 million for the nine months ended September 30, 2025 from $692.6 million for the nine months ended September 30, 2024. The increase in ceded written premium was primarily driven by growth in written premiums subject to quota share arrangements, such as those in Casualty and Crop lines, as well as elevated exposure leading to higher XOL reinsurance expense.</w:t>
      </w:r>
    </w:p>
    <w:p>
      <w:pPr>
        <w:spacing w:after="0" w:line="150"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 to 53.3% for the nine months ended September 30, 2025 from 59.3% for the nine months ended September 30, 2024. This percentage decrease was driven by changes in our composition of business whereby premiums written in the current period were subject to lower quota share or XOL cession percentages compared to premiums written in the prior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175"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Net written premiums increased $240.8 million, or 50.6%, to $716.5 million for the nine months ended September 30, 2025 from $475.6 million for the nine months ended September 30, 2024. The increase was primarily due to an increase in gross written premiums, primarily in our Casualty and Crop lines, partially offset by increased ceded written premiums.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17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Net earned premiums increased $203.4 million, or 55.6%, to $569.2 million for the nine months ended September 30, 2025 from $365.8 million for the nine months ended September 30, 2024 due primarily to the earning of increased gross written premiums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offset by the earning of ceded written premiums under reinsurance agreements. The table below shows the amount of premiums we earned on a gross and net basis and net earned premiums as a percentage of gross earned premiums in each period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jc w:val="right"/>
              <w:ind w:right="6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Gross earned premiums</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1,303,323</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1,025,716</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277,607</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Ceded earned premiums</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(734,148)</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(659,920)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(74,228)</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569,175</w:t>
            </w:r>
          </w:p>
        </w:tc>
        <w:tc>
          <w:tcPr>
            <w:tcW w:w="3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365,796</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203,379</w:t>
            </w:r>
          </w:p>
        </w:tc>
        <w:tc>
          <w:tcPr>
            <w:tcW w:w="148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69"/>
        </w:trPr>
        <w:tc>
          <w:tcPr>
            <w:tcW w:w="57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3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earned premium ratio</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-264795</wp:posOffset>
            </wp:positionV>
            <wp:extent cx="8572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-248285</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-264795</wp:posOffset>
            </wp:positionV>
            <wp:extent cx="857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-248285</wp:posOffset>
            </wp:positionV>
            <wp:extent cx="8572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-264795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-248285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189" w:lineRule="exact"/>
        <w:rPr>
          <w:sz w:val="20"/>
          <w:szCs w:val="20"/>
          <w:color w:val="auto"/>
        </w:rPr>
      </w:pPr>
    </w:p>
    <w:p>
      <w:pPr>
        <w:jc w:val="both"/>
        <w:ind w:right="260" w:firstLine="749"/>
        <w:spacing w:after="0" w:line="258" w:lineRule="auto"/>
        <w:rPr>
          <w:sz w:val="20"/>
          <w:szCs w:val="20"/>
          <w:color w:val="auto"/>
        </w:rPr>
      </w:pPr>
      <w:r>
        <w:rPr>
          <w:rFonts w:ascii="Times New Roman" w:cs="Times New Roman" w:eastAsia="Times New Roman" w:hAnsi="Times New Roman"/>
          <w:sz w:val="18"/>
          <w:szCs w:val="18"/>
          <w:color w:val="auto"/>
        </w:rPr>
        <w:t>Commission and other income increased $1.9 million to $4.0 million for the nine months ended September 30, 2025 from $2.0 million for the nine months ended September 30, 2024. The balance increased due to an increase in commissions and policy related fees driven by increased premiums written.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189"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Losses and loss adjustment expenses increased $60.2 million, or 61.6%, to $157.7 million for the nine months ended September 30, 2025 from $97.6 million for the nine months ended September 30, 2024. Losses and loss adjustment expenses consisted of the following elements during the respective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4"/>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4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0" w:type="dxa"/>
            <w:vAlign w:val="bottom"/>
            <w:gridSpan w:val="4"/>
          </w:tcPr>
          <w:p>
            <w:pPr>
              <w:ind w:left="40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Catastrophe losses</w:t>
            </w:r>
          </w:p>
        </w:tc>
        <w:tc>
          <w:tcPr>
            <w:tcW w:w="156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1,335</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380"/>
              <w:spacing w:after="0" w:line="189" w:lineRule="exact"/>
              <w:rPr>
                <w:sz w:val="20"/>
                <w:szCs w:val="20"/>
                <w:color w:val="auto"/>
              </w:rPr>
            </w:pPr>
            <w:r>
              <w:rPr>
                <w:rFonts w:ascii="Times New Roman" w:cs="Times New Roman" w:eastAsia="Times New Roman" w:hAnsi="Times New Roman"/>
                <w:sz w:val="18"/>
                <w:szCs w:val="18"/>
                <w:color w:val="auto"/>
              </w:rPr>
              <w:t>19,724</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(18,389)</w:t>
            </w:r>
          </w:p>
        </w:tc>
        <w:tc>
          <w:tcPr>
            <w:tcW w:w="15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189"/>
        </w:trPr>
        <w:tc>
          <w:tcPr>
            <w:tcW w:w="4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losses</w:t>
            </w: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156,404</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380"/>
              <w:spacing w:after="0" w:line="189" w:lineRule="exact"/>
              <w:rPr>
                <w:sz w:val="20"/>
                <w:szCs w:val="20"/>
                <w:color w:val="auto"/>
              </w:rPr>
            </w:pPr>
            <w:r>
              <w:rPr>
                <w:rFonts w:ascii="Times New Roman" w:cs="Times New Roman" w:eastAsia="Times New Roman" w:hAnsi="Times New Roman"/>
                <w:sz w:val="18"/>
                <w:szCs w:val="18"/>
                <w:color w:val="auto"/>
              </w:rPr>
              <w:t>77,859</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78,545</w:t>
            </w:r>
          </w:p>
        </w:tc>
        <w:tc>
          <w:tcPr>
            <w:tcW w:w="15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Total losses and loss adjustment expenses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157,739</w:t>
            </w:r>
          </w:p>
        </w:tc>
        <w:tc>
          <w:tcPr>
            <w:tcW w:w="360" w:type="dxa"/>
            <w:vAlign w:val="bottom"/>
            <w:gridSpan w:val="2"/>
            <w:shd w:val="clear" w:color="auto" w:fill="CFF0FC"/>
          </w:tcPr>
          <w:p>
            <w:pPr>
              <w:jc w:val="right"/>
              <w:ind w:right="1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ind w:left="380"/>
              <w:spacing w:after="0" w:line="169" w:lineRule="exact"/>
              <w:rPr>
                <w:sz w:val="20"/>
                <w:szCs w:val="20"/>
                <w:color w:val="auto"/>
              </w:rPr>
            </w:pPr>
            <w:r>
              <w:rPr>
                <w:rFonts w:ascii="Times New Roman" w:cs="Times New Roman" w:eastAsia="Times New Roman" w:hAnsi="Times New Roman"/>
                <w:sz w:val="18"/>
                <w:szCs w:val="18"/>
                <w:color w:val="auto"/>
              </w:rPr>
              <w:t>97,583</w:t>
            </w:r>
          </w:p>
        </w:tc>
        <w:tc>
          <w:tcPr>
            <w:tcW w:w="300" w:type="dxa"/>
            <w:vAlign w:val="bottom"/>
            <w:gridSpan w:val="2"/>
            <w:shd w:val="clear" w:color="auto" w:fill="CFF0FC"/>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60,156</w:t>
            </w:r>
          </w:p>
        </w:tc>
        <w:tc>
          <w:tcPr>
            <w:tcW w:w="15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857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40" w:type="dxa"/>
            <w:vAlign w:val="bottom"/>
            <w:shd w:val="clear" w:color="auto" w:fill="CFF0FC"/>
          </w:tcPr>
          <w:p>
            <w:pPr>
              <w:spacing w:after="0"/>
              <w:rPr>
                <w:sz w:val="18"/>
                <w:szCs w:val="18"/>
                <w:color w:val="auto"/>
              </w:rPr>
            </w:pPr>
          </w:p>
        </w:tc>
      </w:tr>
      <w:tr>
        <w:trPr>
          <w:trHeight w:val="189"/>
        </w:trPr>
        <w:tc>
          <w:tcPr>
            <w:tcW w:w="5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Non-catastrophe loss ratio</w:t>
            </w: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21.3%</w:t>
            </w:r>
          </w:p>
        </w:tc>
        <w:tc>
          <w:tcPr>
            <w:tcW w:w="2840" w:type="dxa"/>
            <w:vAlign w:val="bottom"/>
          </w:tcPr>
          <w:p>
            <w:pPr>
              <w:spacing w:after="0"/>
              <w:rPr>
                <w:sz w:val="16"/>
                <w:szCs w:val="16"/>
                <w:color w:val="auto"/>
              </w:rPr>
            </w:pPr>
          </w:p>
        </w:tc>
      </w:tr>
      <w:tr>
        <w:trPr>
          <w:trHeight w:val="223"/>
        </w:trPr>
        <w:tc>
          <w:tcPr>
            <w:tcW w:w="56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loss ratio</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26.7%</w:t>
            </w:r>
          </w:p>
        </w:tc>
        <w:tc>
          <w:tcPr>
            <w:tcW w:w="28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857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Catastrophe loss activity for the nine months ended September 30, 2025 was related to flood losses in the third quarter offset by favorable development on prior period catastrophe events.</w:t>
      </w:r>
    </w:p>
    <w:p>
      <w:pPr>
        <w:spacing w:after="0" w:line="108" w:lineRule="exact"/>
        <w:rPr>
          <w:sz w:val="20"/>
          <w:szCs w:val="20"/>
          <w:color w:val="auto"/>
        </w:rPr>
      </w:pPr>
    </w:p>
    <w:p>
      <w:pPr>
        <w:ind w:right="760" w:firstLine="749"/>
        <w:spacing w:after="0" w:line="282" w:lineRule="auto"/>
        <w:rPr>
          <w:sz w:val="20"/>
          <w:szCs w:val="20"/>
          <w:color w:val="auto"/>
        </w:rPr>
      </w:pPr>
      <w:r>
        <w:rPr>
          <w:rFonts w:ascii="Times New Roman" w:cs="Times New Roman" w:eastAsia="Times New Roman" w:hAnsi="Times New Roman"/>
          <w:sz w:val="18"/>
          <w:szCs w:val="18"/>
          <w:color w:val="auto"/>
        </w:rPr>
        <w:t>Catastrophe loss activity for the nine months ended September 30, 2024 was primarily related to flood losses in the first quarter, severe convective storms in the second quarter, and Hurricanes Beryl, Debby, and Helene during the third quarter.</w:t>
      </w:r>
    </w:p>
    <w:p>
      <w:pPr>
        <w:spacing w:after="0" w:line="10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Non-catastrophe losses increased for the nine months ended September 30, 2025 compared to the nine months ended September 30, 2024 due mainly to higher attritional losses driven by premium growth on lines of business subject to attritional losses such as Casualty, Crop, and Inland Marine and Other Property.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175" w:lineRule="exact"/>
        <w:rPr>
          <w:sz w:val="20"/>
          <w:szCs w:val="20"/>
          <w:color w:val="auto"/>
        </w:rPr>
      </w:pPr>
    </w:p>
    <w:p>
      <w:pPr>
        <w:ind w:right="20" w:firstLine="749"/>
        <w:spacing w:after="0" w:line="247" w:lineRule="auto"/>
        <w:rPr>
          <w:sz w:val="20"/>
          <w:szCs w:val="20"/>
          <w:color w:val="auto"/>
        </w:rPr>
      </w:pPr>
      <w:r>
        <w:rPr>
          <w:rFonts w:ascii="Times New Roman" w:cs="Times New Roman" w:eastAsia="Times New Roman" w:hAnsi="Times New Roman"/>
          <w:sz w:val="18"/>
          <w:szCs w:val="18"/>
          <w:color w:val="auto"/>
        </w:rPr>
        <w:t>Acquisition expenses increased $45.2 million, or 41.4%, to $154.3 million for the nine months ended September 30, 2025 from $109.1 million for the nine months ended September 30, 2024. The increase was primarily due to higher commissions and premium-related taxes resulting from higher gross earned premiums. Acquisition expenses as a percentage of gross earned premiums were 11.8% for the nine months ended September 30, 2025 compared to 10.6% for the nine months ended September 30, 2024. Acquisition expenses as a percentage of gross earned premiums increased due to higher commissions as a percentage of gross earned premiums and lower fronting fees as a percentage of gross earned premiums due to changes in the composition of our business.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189" w:lineRule="exact"/>
        <w:rPr>
          <w:sz w:val="20"/>
          <w:szCs w:val="20"/>
          <w:color w:val="auto"/>
        </w:rPr>
      </w:pPr>
    </w:p>
    <w:p>
      <w:pPr>
        <w:jc w:val="both"/>
        <w:ind w:right="260" w:firstLine="749"/>
        <w:spacing w:after="0" w:line="250" w:lineRule="auto"/>
        <w:rPr>
          <w:sz w:val="20"/>
          <w:szCs w:val="20"/>
          <w:color w:val="auto"/>
        </w:rPr>
      </w:pPr>
      <w:r>
        <w:rPr>
          <w:rFonts w:ascii="Times New Roman" w:cs="Times New Roman" w:eastAsia="Times New Roman" w:hAnsi="Times New Roman"/>
          <w:sz w:val="18"/>
          <w:szCs w:val="18"/>
          <w:color w:val="auto"/>
        </w:rPr>
        <w:t>Other underwriting expenses increased $45.4 million, or 53.9%, to $129.6 million for the nine months ended September 30, 2025 from $84.2 million for the nine months ended September 30, 2024. The increase was primarily due to the Company incurring higher payroll, technology, and stock-based compensation expenses associated with general growth.</w:t>
      </w:r>
    </w:p>
    <w:p>
      <w:pPr>
        <w:spacing w:after="0" w:line="150"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9.9% for the nine months ended September 30, 2025 compared to 8.2% for the nine months ended September 30, 2024. Excluding the impact of expenses relating to transactions, stock-based compensation, and amortization of intangibles, other underwriting expenses as a percentage of gross earned premiums were 8.0% for the nine months ended September 30, 2025 compared to 6.6% for the nine months ended September 30, 2024. Other underwriting expenses as a percentage of gross earned premiums fluctuates period over period based on timing of certain expenses relative to premium growth.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175"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Net investment income increased $15.5 million, or 63.3%, to $40.0 million for the nine months ended September 30, 2025 from $24.5 million for the nine months ended September 30, 2024. The increase was primarily due to a higher average balance of investments during the nine months ended September 30, 2025 due primarily to the investing of proceeds from our August 2024 secondary offering and also due to higher yields on invested assets versus the prior year.</w:t>
      </w:r>
    </w:p>
    <w:p>
      <w:pPr>
        <w:spacing w:after="0" w:line="150" w:lineRule="exact"/>
        <w:rPr>
          <w:sz w:val="20"/>
          <w:szCs w:val="20"/>
          <w:color w:val="auto"/>
        </w:rPr>
      </w:pPr>
    </w:p>
    <w:p>
      <w:pPr>
        <w:ind w:right="280" w:firstLine="749"/>
        <w:spacing w:after="0" w:line="246" w:lineRule="auto"/>
        <w:rPr>
          <w:sz w:val="20"/>
          <w:szCs w:val="20"/>
          <w:color w:val="auto"/>
        </w:rPr>
      </w:pPr>
      <w:r>
        <w:rPr>
          <w:rFonts w:ascii="Times New Roman" w:cs="Times New Roman" w:eastAsia="Times New Roman" w:hAnsi="Times New Roman"/>
          <w:sz w:val="18"/>
          <w:szCs w:val="18"/>
          <w:color w:val="auto"/>
        </w:rPr>
        <w:t>The Company incurred $9.5 million of net realized and unrealized gains on investments for the nine months ended September 30, 2025 compared to $5.8 million of net realized and unrealized gains for the nine months ended September 30, 2024. In both periods, the balance was primarily driven by unrealized gains on our equity securities. Unrealized gains and losses on fixed maturity securities are recognized as a component of other comprehensive income and do not impact our net income. The following table summarizes the components of our investment income for each period presented: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19"/>
                <w:szCs w:val="19"/>
                <w:color w:val="auto"/>
              </w:rPr>
            </w:pPr>
          </w:p>
        </w:tc>
        <w:tc>
          <w:tcPr>
            <w:tcW w:w="13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4"/>
          </w:tcPr>
          <w:p>
            <w:pPr>
              <w:jc w:val="right"/>
              <w:ind w:right="63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39,824</w:t>
            </w:r>
          </w:p>
        </w:tc>
        <w:tc>
          <w:tcPr>
            <w:tcW w:w="380" w:type="dxa"/>
            <w:vAlign w:val="bottom"/>
            <w:gridSpan w:val="2"/>
            <w:shd w:val="clear" w:color="auto" w:fill="CFF0FC"/>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24,317</w:t>
            </w:r>
          </w:p>
        </w:tc>
        <w:tc>
          <w:tcPr>
            <w:tcW w:w="30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15,507</w:t>
            </w:r>
          </w:p>
        </w:tc>
        <w:tc>
          <w:tcPr>
            <w:tcW w:w="14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189"/>
        </w:trPr>
        <w:tc>
          <w:tcPr>
            <w:tcW w:w="5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675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182</w:t>
            </w:r>
          </w:p>
        </w:tc>
        <w:tc>
          <w:tcPr>
            <w:tcW w:w="14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(486)</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(181)</w:t>
            </w:r>
          </w:p>
        </w:tc>
        <w:tc>
          <w:tcPr>
            <w:tcW w:w="1480" w:type="dxa"/>
            <w:vAlign w:val="bottom"/>
            <w:tcBorders>
              <w:bottom w:val="single" w:sz="8" w:color="CFF0FC"/>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83"/>
        </w:trPr>
        <w:tc>
          <w:tcPr>
            <w:tcW w:w="58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40,014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24,506</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15,508</w:t>
            </w:r>
          </w:p>
        </w:tc>
        <w:tc>
          <w:tcPr>
            <w:tcW w:w="14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9,461</w:t>
            </w: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5,768</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3,693</w:t>
            </w:r>
          </w:p>
        </w:tc>
        <w:tc>
          <w:tcPr>
            <w:tcW w:w="148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183"/>
        </w:trPr>
        <w:tc>
          <w:tcPr>
            <w:tcW w:w="5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49,475</w:t>
            </w:r>
          </w:p>
        </w:tc>
        <w:tc>
          <w:tcPr>
            <w:tcW w:w="380" w:type="dxa"/>
            <w:vAlign w:val="bottom"/>
            <w:gridSpan w:val="2"/>
          </w:tcPr>
          <w:p>
            <w:pPr>
              <w:jc w:val="right"/>
              <w:ind w:right="1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30,274</w:t>
            </w:r>
          </w:p>
        </w:tc>
        <w:tc>
          <w:tcPr>
            <w:tcW w:w="30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69" w:lineRule="exact"/>
              <w:rPr>
                <w:sz w:val="20"/>
                <w:szCs w:val="20"/>
                <w:color w:val="auto"/>
              </w:rPr>
            </w:pPr>
            <w:r>
              <w:rPr>
                <w:rFonts w:ascii="Times New Roman" w:cs="Times New Roman" w:eastAsia="Times New Roman" w:hAnsi="Times New Roman"/>
                <w:sz w:val="18"/>
                <w:szCs w:val="18"/>
                <w:color w:val="auto"/>
              </w:rPr>
              <w:t>19,201</w:t>
            </w:r>
          </w:p>
        </w:tc>
        <w:tc>
          <w:tcPr>
            <w:tcW w:w="14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-410845</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-410845</wp:posOffset>
            </wp:positionV>
            <wp:extent cx="85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-410845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-153670</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-153670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-153670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Income tax expense increased $16.2 million to $39.8 million for the nine months ended September 30, 2025 from $23.6 million for the nine months ended September 30, 2024 due to higher pre-tax income for the period ended September 30, 2025. For the nine months ended September 30, 2025 and 2024, the Company’s income tax rates of 22.0% and 22.2%, respectively, were higher than the statutory rate of 21% due primarily to non-deductible executive compensation expense.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GAAP Financial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175" w:lineRule="exact"/>
        <w:rPr>
          <w:sz w:val="20"/>
          <w:szCs w:val="20"/>
          <w:color w:val="auto"/>
        </w:rPr>
      </w:pPr>
    </w:p>
    <w:p>
      <w:pPr>
        <w:ind w:right="180" w:firstLine="749"/>
        <w:spacing w:after="0" w:line="250"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5"/>
        </w:trPr>
        <w:tc>
          <w:tcPr>
            <w:tcW w:w="5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3"/>
        </w:trPr>
        <w:tc>
          <w:tcPr>
            <w:tcW w:w="5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4"/>
          </w:tcPr>
          <w:p>
            <w:pPr>
              <w:jc w:val="right"/>
              <w:ind w:right="7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4"/>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89"/>
        </w:trPr>
        <w:tc>
          <w:tcPr>
            <w:tcW w:w="58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244,660</w:t>
            </w:r>
          </w:p>
        </w:tc>
        <w:tc>
          <w:tcPr>
            <w:tcW w:w="38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148,503</w:t>
            </w:r>
          </w:p>
        </w:tc>
        <w:tc>
          <w:tcPr>
            <w:tcW w:w="38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622,604</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398,105</w:t>
            </w:r>
          </w:p>
        </w:tc>
      </w:tr>
      <w:tr>
        <w:trPr>
          <w:trHeight w:val="189"/>
        </w:trPr>
        <w:tc>
          <w:tcPr>
            <w:tcW w:w="58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(9,408)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(40,014)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(24,506)</w:t>
            </w:r>
          </w:p>
        </w:tc>
      </w:tr>
      <w:tr>
        <w:trPr>
          <w:trHeight w:val="189"/>
        </w:trPr>
        <w:tc>
          <w:tcPr>
            <w:tcW w:w="582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(3,493)</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(2,734)</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(9,461)</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(5,768)</w:t>
            </w:r>
          </w:p>
        </w:tc>
      </w:tr>
      <w:tr>
        <w:trPr>
          <w:trHeight w:val="183"/>
        </w:trPr>
        <w:tc>
          <w:tcPr>
            <w:tcW w:w="58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Underwriting revenue</w:t>
            </w:r>
          </w:p>
        </w:tc>
        <w:tc>
          <w:tcPr>
            <w:tcW w:w="2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226,595</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136,361</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573,129</w:t>
            </w:r>
          </w:p>
        </w:tc>
        <w:tc>
          <w:tcPr>
            <w:tcW w:w="3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367,831</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-153670</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-153670</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-153670</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 and Adjusted Underwriting Income</w:t>
      </w:r>
    </w:p>
    <w:p>
      <w:pPr>
        <w:spacing w:after="0" w:line="189" w:lineRule="exact"/>
        <w:rPr>
          <w:sz w:val="20"/>
          <w:szCs w:val="20"/>
          <w:color w:val="auto"/>
        </w:rPr>
      </w:pPr>
    </w:p>
    <w:p>
      <w:pPr>
        <w:ind w:right="40" w:firstLine="749"/>
        <w:spacing w:after="0" w:line="212" w:lineRule="exact"/>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net realized and unrealized gains and losses on investments, and interest expense. Underwriting income represents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profitability of our underwriting operations and allows us to evaluate our underwriting performance without regard to investment results. We use this metric as we believe it gives our management and other users of our financial information useful insight into our underlying business performance.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and other companies may define underwriting income differently.</w:t>
      </w:r>
    </w:p>
    <w:p>
      <w:pPr>
        <w:spacing w:after="0" w:line="159" w:lineRule="exact"/>
        <w:rPr>
          <w:sz w:val="20"/>
          <w:szCs w:val="20"/>
          <w:color w:val="auto"/>
        </w:rPr>
      </w:pPr>
    </w:p>
    <w:p>
      <w:pPr>
        <w:jc w:val="both"/>
        <w:ind w:right="100" w:firstLine="749"/>
        <w:spacing w:after="0" w:line="214" w:lineRule="exact"/>
        <w:rPr>
          <w:sz w:val="20"/>
          <w:szCs w:val="20"/>
          <w:color w:val="auto"/>
        </w:rPr>
      </w:pPr>
      <w:r>
        <w:rPr>
          <w:rFonts w:ascii="Times New Roman" w:cs="Times New Roman" w:eastAsia="Times New Roman" w:hAnsi="Times New Roman"/>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income calculated in accordance with GAAP. Other companies may define adjusted underwriting income differently.</w:t>
      </w:r>
    </w:p>
    <w:p>
      <w:pPr>
        <w:spacing w:after="0" w:line="1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Income before income taxes calculated in accordance with GAAP reconciles to underwriting income and adjusted underwriting income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45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4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4"/>
          </w:tcPr>
          <w:p>
            <w:pPr>
              <w:jc w:val="right"/>
              <w:ind w:right="7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4"/>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Income before income taxes</w:t>
            </w:r>
          </w:p>
        </w:tc>
        <w:tc>
          <w:tcPr>
            <w:tcW w:w="152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67,139</w:t>
            </w:r>
          </w:p>
        </w:tc>
        <w:tc>
          <w:tcPr>
            <w:tcW w:w="38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38,503</w:t>
            </w:r>
          </w:p>
        </w:tc>
        <w:tc>
          <w:tcPr>
            <w:tcW w:w="38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180,732</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106,233</w:t>
            </w:r>
          </w:p>
        </w:tc>
        <w:tc>
          <w:tcPr>
            <w:tcW w:w="0" w:type="dxa"/>
            <w:vAlign w:val="bottom"/>
          </w:tcPr>
          <w:p>
            <w:pPr>
              <w:spacing w:after="0"/>
              <w:rPr>
                <w:sz w:val="1"/>
                <w:szCs w:val="1"/>
                <w:color w:val="auto"/>
              </w:rPr>
            </w:pP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investment income</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(14,572)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(9,408)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(40,014)</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(24,506)</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(3,493)</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(2,734)</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(9,461)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Underwriting income</w:t>
            </w:r>
          </w:p>
        </w:tc>
        <w:tc>
          <w:tcPr>
            <w:tcW w:w="152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49,207</w:t>
            </w:r>
          </w:p>
        </w:tc>
        <w:tc>
          <w:tcPr>
            <w:tcW w:w="38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26,448</w:t>
            </w:r>
          </w:p>
        </w:tc>
        <w:tc>
          <w:tcPr>
            <w:tcW w:w="38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131,561</w:t>
            </w:r>
          </w:p>
        </w:tc>
        <w:tc>
          <w:tcPr>
            <w:tcW w:w="36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77,011</w:t>
            </w:r>
          </w:p>
        </w:tc>
        <w:tc>
          <w:tcPr>
            <w:tcW w:w="0" w:type="dxa"/>
            <w:vAlign w:val="bottom"/>
          </w:tcPr>
          <w:p>
            <w:pPr>
              <w:spacing w:after="0"/>
              <w:rPr>
                <w:sz w:val="1"/>
                <w:szCs w:val="1"/>
                <w:color w:val="auto"/>
              </w:rPr>
            </w:pPr>
          </w:p>
        </w:tc>
      </w:tr>
      <w:tr>
        <w:trPr>
          <w:trHeight w:val="170"/>
        </w:trPr>
        <w:tc>
          <w:tcPr>
            <w:tcW w:w="4540" w:type="dxa"/>
            <w:vAlign w:val="bottom"/>
            <w:tcBorders>
              <w:top w:val="single" w:sz="8" w:color="CFF0FC"/>
            </w:tcBorders>
          </w:tcPr>
          <w:p>
            <w:pPr>
              <w:spacing w:after="0" w:line="170"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128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728</w:t>
            </w: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84</w:t>
            </w:r>
          </w:p>
        </w:tc>
        <w:tc>
          <w:tcPr>
            <w:tcW w:w="1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3,570</w:t>
            </w:r>
          </w:p>
        </w:tc>
        <w:tc>
          <w:tcPr>
            <w:tcW w:w="14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50"/>
              <w:spacing w:after="0" w:line="170" w:lineRule="exact"/>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189"/>
        </w:trPr>
        <w:tc>
          <w:tcPr>
            <w:tcW w:w="45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5,379</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4,117</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15,471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11,905</w:t>
            </w:r>
          </w:p>
        </w:tc>
        <w:tc>
          <w:tcPr>
            <w:tcW w:w="0" w:type="dxa"/>
            <w:vAlign w:val="bottom"/>
          </w:tcPr>
          <w:p>
            <w:pPr>
              <w:spacing w:after="0"/>
              <w:rPr>
                <w:sz w:val="1"/>
                <w:szCs w:val="1"/>
                <w:color w:val="auto"/>
              </w:rPr>
            </w:pPr>
          </w:p>
        </w:tc>
      </w:tr>
      <w:tr>
        <w:trPr>
          <w:trHeight w:val="189"/>
        </w:trPr>
        <w:tc>
          <w:tcPr>
            <w:tcW w:w="4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189"/>
        </w:trPr>
        <w:tc>
          <w:tcPr>
            <w:tcW w:w="45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1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183"/>
        </w:trPr>
        <w:tc>
          <w:tcPr>
            <w:tcW w:w="4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underwriting income</w:t>
            </w:r>
          </w:p>
        </w:tc>
        <w:tc>
          <w:tcPr>
            <w:tcW w:w="152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56,660</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31,038</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156,663</w:t>
            </w:r>
          </w:p>
        </w:tc>
        <w:tc>
          <w:tcPr>
            <w:tcW w:w="3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93,124</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5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45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-1576705</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-1559560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-1576705</wp:posOffset>
            </wp:positionV>
            <wp:extent cx="857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-1559560</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-1576705</wp:posOffset>
            </wp:positionV>
            <wp:extent cx="857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-1559560</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-1071245</wp:posOffset>
            </wp:positionV>
            <wp:extent cx="857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-1071245</wp:posOffset>
            </wp:positionV>
            <wp:extent cx="857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-1071245</wp:posOffset>
            </wp:positionV>
            <wp:extent cx="857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75"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18"/>
          <w:szCs w:val="18"/>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5"/>
        </w:trPr>
        <w:tc>
          <w:tcPr>
            <w:tcW w:w="4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4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4"/>
          </w:tcPr>
          <w:p>
            <w:pPr>
              <w:jc w:val="right"/>
              <w:ind w:right="7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4"/>
          </w:tcPr>
          <w:p>
            <w:pPr>
              <w:jc w:val="right"/>
              <w:ind w:right="75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89"/>
        </w:trPr>
        <w:tc>
          <w:tcPr>
            <w:tcW w:w="4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51,455</w:t>
            </w:r>
          </w:p>
        </w:tc>
        <w:tc>
          <w:tcPr>
            <w:tcW w:w="38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30,497</w:t>
            </w:r>
          </w:p>
        </w:tc>
        <w:tc>
          <w:tcPr>
            <w:tcW w:w="380" w:type="dxa"/>
            <w:vAlign w:val="bottom"/>
            <w:gridSpan w:val="2"/>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140,905</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82,608</w:t>
            </w:r>
          </w:p>
        </w:tc>
      </w:tr>
      <w:tr>
        <w:trPr>
          <w:trHeight w:val="203"/>
        </w:trPr>
        <w:tc>
          <w:tcPr>
            <w:tcW w:w="4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Adjustments: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9"/>
        </w:trPr>
        <w:tc>
          <w:tcPr>
            <w:tcW w:w="4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(3,493)</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(2,734)</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(9,461)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(5,768)</w:t>
            </w:r>
          </w:p>
        </w:tc>
      </w:tr>
      <w:tr>
        <w:trPr>
          <w:trHeight w:val="189"/>
        </w:trPr>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728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3,570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557</w:t>
            </w:r>
          </w:p>
        </w:tc>
      </w:tr>
      <w:tr>
        <w:trPr>
          <w:trHeight w:val="189"/>
        </w:trPr>
        <w:tc>
          <w:tcPr>
            <w:tcW w:w="4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5,379</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4,117</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15,471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11,905</w:t>
            </w:r>
          </w:p>
        </w:tc>
      </w:tr>
      <w:tr>
        <w:trPr>
          <w:trHeight w:val="189"/>
        </w:trPr>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Amortization of intangibles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3,400</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1,168</w:t>
            </w:r>
          </w:p>
        </w:tc>
      </w:tr>
      <w:tr>
        <w:trPr>
          <w:trHeight w:val="189"/>
        </w:trPr>
        <w:tc>
          <w:tcPr>
            <w:tcW w:w="46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2,483</w:t>
            </w:r>
          </w:p>
        </w:tc>
      </w:tr>
      <w:tr>
        <w:trPr>
          <w:trHeight w:val="189"/>
        </w:trPr>
        <w:tc>
          <w:tcPr>
            <w:tcW w:w="4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Tax impact</w:t>
            </w:r>
          </w:p>
        </w:tc>
        <w:tc>
          <w:tcPr>
            <w:tcW w:w="1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(1,543)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(734)</w:t>
            </w:r>
          </w:p>
        </w:tc>
      </w:tr>
      <w:tr>
        <w:trPr>
          <w:trHeight w:val="203"/>
        </w:trPr>
        <w:tc>
          <w:tcPr>
            <w:tcW w:w="46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Adjusted net income</w:t>
            </w: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55,164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32,444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155,003</w:t>
            </w:r>
          </w:p>
        </w:tc>
        <w:tc>
          <w:tcPr>
            <w:tcW w:w="36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92,219</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-25400</wp:posOffset>
            </wp:positionV>
            <wp:extent cx="8572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-25400</wp:posOffset>
            </wp:positionV>
            <wp:extent cx="857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Adjusted Return on Equity</w:t>
      </w:r>
    </w:p>
    <w:p>
      <w:pPr>
        <w:spacing w:after="0" w:line="189"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We define annualized adjusted return on equity as adjusted net income expressed on an annualized basis as a percentage of average beginning and ending stockholders’ equity during the period. We use annualized adjusted return on equity as an internal performance measure in the management of our operations because we believe it gives our management and financial statement users useful insight into our results of operations and our underlying business performance. Annualized adjusted return on equity should not be viewed as a substitute for return on equity calculated using unadjusted GAAP numbers, and other companies may define adjusted return on equity differently.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Annualized adjusted return on equity is calculated as follows: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56"/>
        </w:trPr>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5"/>
        </w:trPr>
        <w:tc>
          <w:tcPr>
            <w:tcW w:w="5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3"/>
        </w:trPr>
        <w:tc>
          <w:tcPr>
            <w:tcW w:w="5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89"/>
        </w:trPr>
        <w:tc>
          <w:tcPr>
            <w:tcW w:w="5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Annualized adjusted net income</w:t>
            </w:r>
          </w:p>
        </w:tc>
        <w:tc>
          <w:tcPr>
            <w:tcW w:w="220" w:type="dxa"/>
            <w:vAlign w:val="bottom"/>
            <w:shd w:val="clear" w:color="auto" w:fill="CFF0FC"/>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220,656</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129,776</w:t>
            </w:r>
          </w:p>
        </w:tc>
        <w:tc>
          <w:tcPr>
            <w:tcW w:w="36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206,671</w:t>
            </w:r>
          </w:p>
        </w:tc>
        <w:tc>
          <w:tcPr>
            <w:tcW w:w="38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122,959</w:t>
            </w: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183"/>
        </w:trPr>
        <w:tc>
          <w:tcPr>
            <w:tcW w:w="56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Average stockholders’ equity</w:t>
            </w:r>
          </w:p>
        </w:tc>
        <w:tc>
          <w:tcPr>
            <w:tcW w:w="220" w:type="dxa"/>
            <w:vAlign w:val="bottom"/>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862,654</w:t>
            </w:r>
          </w:p>
        </w:tc>
        <w:tc>
          <w:tcPr>
            <w:tcW w:w="140" w:type="dxa"/>
            <w:vAlign w:val="bottom"/>
          </w:tcPr>
          <w:p>
            <w:pPr>
              <w:spacing w:after="0"/>
              <w:rPr>
                <w:sz w:val="15"/>
                <w:szCs w:val="15"/>
                <w:color w:val="auto"/>
              </w:rPr>
            </w:pPr>
          </w:p>
        </w:tc>
        <w:tc>
          <w:tcPr>
            <w:tcW w:w="2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617,959</w:t>
            </w:r>
          </w:p>
        </w:tc>
        <w:tc>
          <w:tcPr>
            <w:tcW w:w="3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803,570</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587,282</w:t>
            </w:r>
          </w:p>
        </w:tc>
      </w:tr>
      <w:tr>
        <w:trPr>
          <w:trHeight w:val="183"/>
        </w:trPr>
        <w:tc>
          <w:tcPr>
            <w:tcW w:w="56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Annualized adjusted return on equity</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25.6%</w:t>
            </w: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21.0%</w:t>
            </w:r>
          </w:p>
        </w:tc>
        <w:tc>
          <w:tcPr>
            <w:tcW w:w="1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25.7%</w:t>
            </w:r>
          </w:p>
        </w:tc>
        <w:tc>
          <w:tcPr>
            <w:tcW w:w="1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-265430</wp:posOffset>
            </wp:positionV>
            <wp:extent cx="8572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-265430</wp:posOffset>
            </wp:positionV>
            <wp:extent cx="8572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-265430</wp:posOffset>
            </wp:positionV>
            <wp:extent cx="85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857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857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857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189"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5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13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1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57"/>
        </w:trPr>
        <w:tc>
          <w:tcPr>
            <w:tcW w:w="5660" w:type="dxa"/>
            <w:vAlign w:val="bottom"/>
            <w:gridSpan w:val="2"/>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60" w:type="dxa"/>
            <w:vAlign w:val="bottom"/>
            <w:gridSpan w:val="2"/>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and other underwriting expenses, net of commission and other</w:t>
            </w:r>
          </w:p>
        </w:tc>
        <w:tc>
          <w:tcPr>
            <w:tcW w:w="22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175,940</w:t>
            </w:r>
          </w:p>
        </w:tc>
        <w:tc>
          <w:tcPr>
            <w:tcW w:w="14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109,198</w:t>
            </w: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437,614</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288,785</w:t>
            </w:r>
          </w:p>
        </w:tc>
        <w:tc>
          <w:tcPr>
            <w:tcW w:w="0" w:type="dxa"/>
            <w:vAlign w:val="bottom"/>
          </w:tcPr>
          <w:p>
            <w:pPr>
              <w:spacing w:after="0"/>
              <w:rPr>
                <w:sz w:val="1"/>
                <w:szCs w:val="1"/>
                <w:color w:val="auto"/>
              </w:rPr>
            </w:pPr>
          </w:p>
        </w:tc>
      </w:tr>
      <w:tr>
        <w:trPr>
          <w:trHeight w:val="207"/>
        </w:trPr>
        <w:tc>
          <w:tcPr>
            <w:tcW w:w="5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CFF0FC"/>
          </w:tcPr>
          <w:p>
            <w:pPr>
              <w:spacing w:after="0" w:line="20" w:lineRule="exact"/>
              <w:rPr>
                <w:sz w:val="1"/>
                <w:szCs w:val="1"/>
                <w:color w:val="auto"/>
              </w:rPr>
            </w:pPr>
          </w:p>
        </w:tc>
        <w:tc>
          <w:tcPr>
            <w:tcW w:w="4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225,147</w:t>
            </w:r>
          </w:p>
        </w:tc>
        <w:tc>
          <w:tcPr>
            <w:tcW w:w="1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135,646</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569,175</w:t>
            </w:r>
          </w:p>
        </w:tc>
        <w:tc>
          <w:tcPr>
            <w:tcW w:w="3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365,796</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Combined ratio</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76.9%</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Adjustments to numerator:</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(728)</w:t>
            </w:r>
          </w:p>
        </w:tc>
        <w:tc>
          <w:tcPr>
            <w:tcW w:w="380" w:type="dxa"/>
            <w:vAlign w:val="bottom"/>
            <w:gridSpan w:val="2"/>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(3,570)</w:t>
            </w:r>
          </w:p>
        </w:tc>
        <w:tc>
          <w:tcPr>
            <w:tcW w:w="38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(5,379)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(4,117)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(15,471)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(11,905)</w:t>
            </w:r>
          </w:p>
        </w:tc>
        <w:tc>
          <w:tcPr>
            <w:tcW w:w="0" w:type="dxa"/>
            <w:vAlign w:val="bottom"/>
          </w:tcPr>
          <w:p>
            <w:pPr>
              <w:spacing w:after="0"/>
              <w:rPr>
                <w:sz w:val="1"/>
                <w:szCs w:val="1"/>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3"/>
        </w:trPr>
        <w:tc>
          <w:tcPr>
            <w:tcW w:w="56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combined ratio</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74.8%</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72.5%</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-1071245</wp:posOffset>
            </wp:positionV>
            <wp:extent cx="857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-1071245</wp:posOffset>
            </wp:positionV>
            <wp:extent cx="857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-1071245</wp:posOffset>
            </wp:positionV>
            <wp:extent cx="857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-796290</wp:posOffset>
            </wp:positionV>
            <wp:extent cx="857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85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-796290</wp:posOffset>
            </wp:positionV>
            <wp:extent cx="857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857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8572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857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2"/>
        </w:trPr>
        <w:tc>
          <w:tcPr>
            <w:tcW w:w="5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25"/>
        </w:trPr>
        <w:tc>
          <w:tcPr>
            <w:tcW w:w="5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183"/>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47"/>
        </w:trPr>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right"/>
              <w:ind w:right="30"/>
              <w:spacing w:after="0" w:line="147" w:lineRule="exact"/>
              <w:rPr>
                <w:sz w:val="20"/>
                <w:szCs w:val="20"/>
                <w:color w:val="auto"/>
              </w:rPr>
            </w:pPr>
            <w:r>
              <w:rPr>
                <w:rFonts w:ascii="Times New Roman" w:cs="Times New Roman" w:eastAsia="Times New Roman" w:hAnsi="Times New Roman"/>
                <w:sz w:val="17"/>
                <w:szCs w:val="17"/>
                <w:b w:val="1"/>
                <w:bCs w:val="1"/>
                <w:color w:val="auto"/>
              </w:rPr>
              <w:t>(in thousands,</w:t>
            </w:r>
          </w:p>
        </w:tc>
        <w:tc>
          <w:tcPr>
            <w:tcW w:w="1380" w:type="dxa"/>
            <w:vAlign w:val="bottom"/>
            <w:gridSpan w:val="3"/>
          </w:tcPr>
          <w:p>
            <w:pPr>
              <w:jc w:val="right"/>
              <w:ind w:right="110"/>
              <w:spacing w:after="0" w:line="147" w:lineRule="exact"/>
              <w:rPr>
                <w:sz w:val="20"/>
                <w:szCs w:val="20"/>
                <w:color w:val="auto"/>
              </w:rPr>
            </w:pPr>
            <w:r>
              <w:rPr>
                <w:rFonts w:ascii="Times New Roman" w:cs="Times New Roman" w:eastAsia="Times New Roman" w:hAnsi="Times New Roman"/>
                <w:sz w:val="17"/>
                <w:szCs w:val="17"/>
                <w:b w:val="1"/>
                <w:bCs w:val="1"/>
                <w:color w:val="auto"/>
                <w:w w:val="97"/>
              </w:rPr>
              <w:t>except per share</w:t>
            </w:r>
          </w:p>
        </w:tc>
        <w:tc>
          <w:tcPr>
            <w:tcW w:w="140" w:type="dxa"/>
            <w:vAlign w:val="bottom"/>
          </w:tcPr>
          <w:p>
            <w:pPr>
              <w:spacing w:after="0"/>
              <w:rPr>
                <w:sz w:val="12"/>
                <w:szCs w:val="12"/>
                <w:color w:val="auto"/>
              </w:rPr>
            </w:pPr>
          </w:p>
        </w:tc>
        <w:tc>
          <w:tcPr>
            <w:tcW w:w="1260" w:type="dxa"/>
            <w:vAlign w:val="bottom"/>
            <w:gridSpan w:val="2"/>
          </w:tcPr>
          <w:p>
            <w:pPr>
              <w:jc w:val="right"/>
              <w:ind w:right="50"/>
              <w:spacing w:after="0" w:line="147" w:lineRule="exact"/>
              <w:rPr>
                <w:sz w:val="20"/>
                <w:szCs w:val="20"/>
                <w:color w:val="auto"/>
              </w:rPr>
            </w:pPr>
            <w:r>
              <w:rPr>
                <w:rFonts w:ascii="Times New Roman" w:cs="Times New Roman" w:eastAsia="Times New Roman" w:hAnsi="Times New Roman"/>
                <w:sz w:val="17"/>
                <w:szCs w:val="17"/>
                <w:b w:val="1"/>
                <w:bCs w:val="1"/>
                <w:color w:val="auto"/>
              </w:rPr>
              <w:t>(in thousands,</w:t>
            </w:r>
          </w:p>
        </w:tc>
        <w:tc>
          <w:tcPr>
            <w:tcW w:w="1400" w:type="dxa"/>
            <w:vAlign w:val="bottom"/>
            <w:gridSpan w:val="3"/>
          </w:tcPr>
          <w:p>
            <w:pPr>
              <w:jc w:val="right"/>
              <w:ind w:right="130"/>
              <w:spacing w:after="0" w:line="147" w:lineRule="exact"/>
              <w:rPr>
                <w:sz w:val="20"/>
                <w:szCs w:val="20"/>
                <w:color w:val="auto"/>
              </w:rPr>
            </w:pPr>
            <w:r>
              <w:rPr>
                <w:rFonts w:ascii="Times New Roman" w:cs="Times New Roman" w:eastAsia="Times New Roman" w:hAnsi="Times New Roman"/>
                <w:sz w:val="17"/>
                <w:szCs w:val="17"/>
                <w:b w:val="1"/>
                <w:bCs w:val="1"/>
                <w:color w:val="auto"/>
                <w:w w:val="97"/>
              </w:rPr>
              <w:t>except per share</w:t>
            </w:r>
          </w:p>
        </w:tc>
      </w:tr>
      <w:tr>
        <w:trPr>
          <w:trHeight w:val="225"/>
        </w:trPr>
        <w:tc>
          <w:tcPr>
            <w:tcW w:w="5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data)</w:t>
            </w:r>
          </w:p>
        </w:tc>
        <w:tc>
          <w:tcPr>
            <w:tcW w:w="1060" w:type="dxa"/>
            <w:vAlign w:val="bottom"/>
          </w:tcPr>
          <w:p>
            <w:pPr>
              <w:spacing w:after="0"/>
              <w:rPr>
                <w:sz w:val="19"/>
                <w:szCs w:val="19"/>
                <w:color w:val="auto"/>
              </w:rPr>
            </w:pPr>
          </w:p>
        </w:tc>
      </w:tr>
      <w:tr>
        <w:trPr>
          <w:trHeight w:val="203"/>
        </w:trPr>
        <w:tc>
          <w:tcPr>
            <w:tcW w:w="544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Adjusted net income</w:t>
            </w:r>
          </w:p>
        </w:tc>
        <w:tc>
          <w:tcPr>
            <w:tcW w:w="580" w:type="dxa"/>
            <w:vAlign w:val="bottom"/>
            <w:gridSpan w:val="2"/>
            <w:shd w:val="clear" w:color="auto" w:fill="CFF0FC"/>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55,164</w:t>
            </w:r>
          </w:p>
        </w:tc>
        <w:tc>
          <w:tcPr>
            <w:tcW w:w="340" w:type="dxa"/>
            <w:vAlign w:val="bottom"/>
            <w:gridSpan w:val="2"/>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32,444</w:t>
            </w:r>
          </w:p>
        </w:tc>
        <w:tc>
          <w:tcPr>
            <w:tcW w:w="340" w:type="dxa"/>
            <w:vAlign w:val="bottom"/>
            <w:gridSpan w:val="2"/>
            <w:shd w:val="clear" w:color="auto" w:fill="CFF0FC"/>
          </w:tcPr>
          <w:p>
            <w:pPr>
              <w:jc w:val="right"/>
              <w:ind w:right="13"/>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155,003</w:t>
            </w:r>
          </w:p>
        </w:tc>
        <w:tc>
          <w:tcPr>
            <w:tcW w:w="340" w:type="dxa"/>
            <w:vAlign w:val="bottom"/>
            <w:gridSpan w:val="2"/>
            <w:shd w:val="clear" w:color="auto" w:fill="CFF0FC"/>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92,219</w:t>
            </w:r>
          </w:p>
        </w:tc>
      </w:tr>
      <w:tr>
        <w:trPr>
          <w:trHeight w:val="196"/>
        </w:trPr>
        <w:tc>
          <w:tcPr>
            <w:tcW w:w="54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38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27,446,519</w:t>
            </w: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26,479,566</w:t>
            </w: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27,533,533</w:t>
            </w: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25,877,257</w:t>
            </w:r>
          </w:p>
        </w:tc>
      </w:tr>
      <w:tr>
        <w:trPr>
          <w:trHeight w:val="196"/>
        </w:trPr>
        <w:tc>
          <w:tcPr>
            <w:tcW w:w="5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adjusted earnings per share</w:t>
            </w: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5.63</w:t>
            </w:r>
          </w:p>
        </w:tc>
        <w:tc>
          <w:tcPr>
            <w:tcW w:w="3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3.56</w:t>
            </w: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-281940</wp:posOffset>
            </wp:positionV>
            <wp:extent cx="8572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-281940</wp:posOffset>
            </wp:positionV>
            <wp:extent cx="857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-281940</wp:posOffset>
            </wp:positionV>
            <wp:extent cx="857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p>
      <w:pPr>
        <w:spacing w:after="0" w:line="175"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Catastrophe loss ratio should not be viewed as a substitute for loss ratio calculated using unadjusted GAAP numbers, and other companies may define catastrophe loss ratio differently.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9"/>
              </w:rPr>
              <w:t>Table of Contents</w:t>
            </w:r>
          </w:p>
        </w:tc>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925"/>
        </w:trPr>
        <w:tc>
          <w:tcPr>
            <w:tcW w:w="56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Loss ratio and catastrophe loss ratio are calculated as follows: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56"/>
        </w:trPr>
        <w:tc>
          <w:tcPr>
            <w:tcW w:w="13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25"/>
        </w:trPr>
        <w:tc>
          <w:tcPr>
            <w:tcW w:w="13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3"/>
        </w:trPr>
        <w:tc>
          <w:tcPr>
            <w:tcW w:w="1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1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72,812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40,315</w:t>
            </w:r>
          </w:p>
        </w:tc>
        <w:tc>
          <w:tcPr>
            <w:tcW w:w="36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157,739</w:t>
            </w:r>
          </w:p>
        </w:tc>
        <w:tc>
          <w:tcPr>
            <w:tcW w:w="38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97,583</w:t>
            </w:r>
          </w:p>
        </w:tc>
      </w:tr>
      <w:tr>
        <w:trPr>
          <w:trHeight w:val="20"/>
        </w:trPr>
        <w:tc>
          <w:tcPr>
            <w:tcW w:w="1380" w:type="dxa"/>
            <w:vAlign w:val="bottom"/>
            <w:shd w:val="clear" w:color="auto" w:fill="CFF0FC"/>
          </w:tcPr>
          <w:p>
            <w:pPr>
              <w:spacing w:after="0" w:line="20" w:lineRule="exact"/>
              <w:rPr>
                <w:sz w:val="1"/>
                <w:szCs w:val="1"/>
                <w:color w:val="auto"/>
              </w:rPr>
            </w:pPr>
          </w:p>
        </w:tc>
        <w:tc>
          <w:tcPr>
            <w:tcW w:w="4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225,147</w:t>
            </w:r>
          </w:p>
        </w:tc>
        <w:tc>
          <w:tcPr>
            <w:tcW w:w="1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135,646</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569,175</w:t>
            </w:r>
          </w:p>
        </w:tc>
        <w:tc>
          <w:tcPr>
            <w:tcW w:w="3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365,796</w:t>
            </w:r>
          </w:p>
        </w:tc>
      </w:tr>
      <w:tr>
        <w:trPr>
          <w:trHeight w:val="196"/>
        </w:trPr>
        <w:tc>
          <w:tcPr>
            <w:tcW w:w="56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Loss ratio</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27.7%</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w:t>
            </w:r>
          </w:p>
        </w:tc>
      </w:tr>
      <w:tr>
        <w:trPr>
          <w:trHeight w:val="196"/>
        </w:trPr>
        <w:tc>
          <w:tcPr>
            <w:tcW w:w="56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60" w:type="dxa"/>
            <w:vAlign w:val="bottom"/>
            <w:gridSpan w:val="2"/>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Numerator: Catastrophe losses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1,900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12,924</w:t>
            </w:r>
          </w:p>
        </w:tc>
        <w:tc>
          <w:tcPr>
            <w:tcW w:w="36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1,335</w:t>
            </w:r>
          </w:p>
        </w:tc>
        <w:tc>
          <w:tcPr>
            <w:tcW w:w="38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19,724</w:t>
            </w:r>
          </w:p>
        </w:tc>
      </w:tr>
      <w:tr>
        <w:trPr>
          <w:trHeight w:val="20"/>
        </w:trPr>
        <w:tc>
          <w:tcPr>
            <w:tcW w:w="1380" w:type="dxa"/>
            <w:vAlign w:val="bottom"/>
            <w:shd w:val="clear" w:color="auto" w:fill="CFF0FC"/>
          </w:tcPr>
          <w:p>
            <w:pPr>
              <w:spacing w:after="0" w:line="20" w:lineRule="exact"/>
              <w:rPr>
                <w:sz w:val="1"/>
                <w:szCs w:val="1"/>
                <w:color w:val="auto"/>
              </w:rPr>
            </w:pPr>
          </w:p>
        </w:tc>
        <w:tc>
          <w:tcPr>
            <w:tcW w:w="4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196"/>
        </w:trPr>
        <w:tc>
          <w:tcPr>
            <w:tcW w:w="56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225,147</w:t>
            </w:r>
          </w:p>
        </w:tc>
        <w:tc>
          <w:tcPr>
            <w:tcW w:w="1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135,646</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569,175</w:t>
            </w:r>
          </w:p>
        </w:tc>
        <w:tc>
          <w:tcPr>
            <w:tcW w:w="3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365,796</w:t>
            </w:r>
          </w:p>
        </w:tc>
      </w:tr>
      <w:tr>
        <w:trPr>
          <w:trHeight w:val="196"/>
        </w:trPr>
        <w:tc>
          <w:tcPr>
            <w:tcW w:w="5660" w:type="dxa"/>
            <w:vAlign w:val="bottom"/>
            <w:tcBorders>
              <w:bottom w:val="single" w:sz="8" w:color="CFF0FC"/>
            </w:tcBorders>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Catastrophe loss ratio</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-822325</wp:posOffset>
            </wp:positionV>
            <wp:extent cx="85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-822325</wp:posOffset>
            </wp:positionV>
            <wp:extent cx="857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-822325</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-548005</wp:posOffset>
            </wp:positionV>
            <wp:extent cx="857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-548005</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-548005</wp:posOffset>
            </wp:positionV>
            <wp:extent cx="85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-281940</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-281940</wp:posOffset>
            </wp:positionV>
            <wp:extent cx="857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-281940</wp:posOffset>
            </wp:positionV>
            <wp:extent cx="857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857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8572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857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7"/>
          <w:szCs w:val="17"/>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5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00" w:type="dxa"/>
            <w:vAlign w:val="bottom"/>
            <w:gridSpan w:val="4"/>
          </w:tcPr>
          <w:p>
            <w:pPr>
              <w:jc w:val="right"/>
              <w:ind w:right="83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57"/>
        </w:trPr>
        <w:tc>
          <w:tcPr>
            <w:tcW w:w="566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expenses, and other underwriting expenses, net of commission and other</w:t>
            </w:r>
          </w:p>
        </w:tc>
        <w:tc>
          <w:tcPr>
            <w:tcW w:w="22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175,940</w:t>
            </w:r>
          </w:p>
        </w:tc>
        <w:tc>
          <w:tcPr>
            <w:tcW w:w="14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109,198</w:t>
            </w:r>
          </w:p>
        </w:tc>
        <w:tc>
          <w:tcPr>
            <w:tcW w:w="3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437,614</w:t>
            </w:r>
          </w:p>
        </w:tc>
        <w:tc>
          <w:tcPr>
            <w:tcW w:w="3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288,785</w:t>
            </w:r>
          </w:p>
        </w:tc>
        <w:tc>
          <w:tcPr>
            <w:tcW w:w="0" w:type="dxa"/>
            <w:vAlign w:val="bottom"/>
          </w:tcPr>
          <w:p>
            <w:pPr>
              <w:spacing w:after="0"/>
              <w:rPr>
                <w:sz w:val="1"/>
                <w:szCs w:val="1"/>
                <w:color w:val="auto"/>
              </w:rPr>
            </w:pPr>
          </w:p>
        </w:tc>
      </w:tr>
      <w:tr>
        <w:trPr>
          <w:trHeight w:val="207"/>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w:t>
            </w:r>
          </w:p>
        </w:tc>
        <w:tc>
          <w:tcPr>
            <w:tcW w:w="22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36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Denominator: Net earned premiums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225,147</w:t>
            </w:r>
          </w:p>
        </w:tc>
        <w:tc>
          <w:tcPr>
            <w:tcW w:w="1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135,646</w:t>
            </w:r>
          </w:p>
        </w:tc>
        <w:tc>
          <w:tcPr>
            <w:tcW w:w="36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569,175</w:t>
            </w:r>
          </w:p>
        </w:tc>
        <w:tc>
          <w:tcPr>
            <w:tcW w:w="3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365,796</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Combined ratio</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78.1%</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80.5%</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76.9%</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Adjustments to numerator:</w:t>
            </w: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(728)</w:t>
            </w:r>
          </w:p>
        </w:tc>
        <w:tc>
          <w:tcPr>
            <w:tcW w:w="380" w:type="dxa"/>
            <w:vAlign w:val="bottom"/>
            <w:gridSpan w:val="2"/>
            <w:shd w:val="clear" w:color="auto" w:fill="CFF0FC"/>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(3,570)</w:t>
            </w:r>
          </w:p>
        </w:tc>
        <w:tc>
          <w:tcPr>
            <w:tcW w:w="380" w:type="dxa"/>
            <w:vAlign w:val="bottom"/>
            <w:gridSpan w:val="2"/>
            <w:shd w:val="clear" w:color="auto" w:fill="CFF0FC"/>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(5,379)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(4,117)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(15,471)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(11,905)</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(389)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(3,400)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3"/>
        </w:trPr>
        <w:tc>
          <w:tcPr>
            <w:tcW w:w="5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Expenses associated with catastrophe bond</w:t>
            </w:r>
          </w:p>
        </w:tc>
        <w:tc>
          <w:tcPr>
            <w:tcW w:w="220" w:type="dxa"/>
            <w:vAlign w:val="bottom"/>
          </w:tcPr>
          <w:p>
            <w:pPr>
              <w:spacing w:after="0"/>
              <w:rPr>
                <w:sz w:val="17"/>
                <w:szCs w:val="17"/>
                <w:color w:val="auto"/>
              </w:rPr>
            </w:pPr>
          </w:p>
        </w:tc>
        <w:tc>
          <w:tcPr>
            <w:tcW w:w="106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(2,661)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FF0FC"/>
            </w:tcBorders>
            <w:shd w:val="clear" w:color="auto" w:fill="CFF0FC"/>
          </w:tcPr>
          <w:p>
            <w:pPr>
              <w:spacing w:after="0" w:line="202" w:lineRule="exact"/>
              <w:rPr>
                <w:sz w:val="20"/>
                <w:szCs w:val="20"/>
                <w:color w:val="auto"/>
              </w:rPr>
            </w:pPr>
            <w:r>
              <w:rPr>
                <w:rFonts w:ascii="Times New Roman" w:cs="Times New Roman" w:eastAsia="Times New Roman" w:hAnsi="Times New Roman"/>
                <w:sz w:val="18"/>
                <w:szCs w:val="18"/>
                <w:color w:val="auto"/>
              </w:rPr>
              <w:t>Catastrophe losses</w:t>
            </w: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(1,900)</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(12,924)</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(1,335)</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(19,724)</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74.0%</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67.6%</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72.2%</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-1199515</wp:posOffset>
            </wp:positionV>
            <wp:extent cx="857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-1199515</wp:posOffset>
            </wp:positionV>
            <wp:extent cx="857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-1199515</wp:posOffset>
            </wp:positionV>
            <wp:extent cx="8572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-925195</wp:posOffset>
            </wp:positionV>
            <wp:extent cx="857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-925195</wp:posOffset>
            </wp:positionV>
            <wp:extent cx="857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-925195</wp:posOffset>
            </wp:positionV>
            <wp:extent cx="857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-145415</wp:posOffset>
            </wp:positionV>
            <wp:extent cx="857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-145415</wp:posOffset>
            </wp:positionV>
            <wp:extent cx="857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-145415</wp:posOffset>
            </wp:positionV>
            <wp:extent cx="857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17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83"/>
        </w:trPr>
        <w:tc>
          <w:tcPr>
            <w:tcW w:w="51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183"/>
        </w:trPr>
        <w:tc>
          <w:tcPr>
            <w:tcW w:w="51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4"/>
          </w:tcPr>
          <w:p>
            <w:pPr>
              <w:jc w:val="right"/>
              <w:ind w:right="99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89"/>
        </w:trPr>
        <w:tc>
          <w:tcPr>
            <w:tcW w:w="51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30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878,110</w:t>
            </w:r>
          </w:p>
        </w:tc>
        <w:tc>
          <w:tcPr>
            <w:tcW w:w="28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729,030</w:t>
            </w:r>
          </w:p>
        </w:tc>
      </w:tr>
      <w:tr>
        <w:trPr>
          <w:trHeight w:val="189"/>
        </w:trPr>
        <w:tc>
          <w:tcPr>
            <w:tcW w:w="5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Goodwill and intangible assets</w:t>
            </w:r>
          </w:p>
        </w:tc>
        <w:tc>
          <w:tcPr>
            <w:tcW w:w="29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(62,538)</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(13,242)</w:t>
            </w:r>
          </w:p>
        </w:tc>
      </w:tr>
      <w:tr>
        <w:trPr>
          <w:trHeight w:val="203"/>
        </w:trPr>
        <w:tc>
          <w:tcPr>
            <w:tcW w:w="51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Tangible stockholders’ equity</w:t>
            </w:r>
          </w:p>
        </w:tc>
        <w:tc>
          <w:tcPr>
            <w:tcW w:w="29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815,572</w:t>
            </w:r>
          </w:p>
        </w:tc>
        <w:tc>
          <w:tcPr>
            <w:tcW w:w="28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715,788</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2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-25400</wp:posOffset>
            </wp:positionV>
            <wp:extent cx="102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1028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75" w:lineRule="exact"/>
        <w:rPr>
          <w:sz w:val="20"/>
          <w:szCs w:val="20"/>
          <w:color w:val="auto"/>
        </w:rPr>
      </w:pPr>
    </w:p>
    <w:p>
      <w:pPr>
        <w:jc w:val="both"/>
        <w:ind w:right="260" w:firstLine="749"/>
        <w:spacing w:after="0" w:line="258"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4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Company’s U.S. insurance company subsidiaries, PSIC, PESIC and FIA, are restricted by the statutes as to the amount of dividends that they may pay without prior approval by state insurance commissioners.</w:t>
      </w:r>
    </w:p>
    <w:p>
      <w:pPr>
        <w:spacing w:after="0" w:line="122" w:lineRule="exact"/>
        <w:rPr>
          <w:sz w:val="20"/>
          <w:szCs w:val="20"/>
          <w:color w:val="auto"/>
        </w:rPr>
      </w:pPr>
    </w:p>
    <w:p>
      <w:pPr>
        <w:ind w:right="160" w:firstLine="749"/>
        <w:spacing w:after="0" w:line="247" w:lineRule="auto"/>
        <w:rPr>
          <w:sz w:val="20"/>
          <w:szCs w:val="20"/>
          <w:color w:val="auto"/>
        </w:rPr>
      </w:pPr>
      <w:r>
        <w:rPr>
          <w:rFonts w:ascii="Times New Roman" w:cs="Times New Roman" w:eastAsia="Times New Roman" w:hAnsi="Times New Roman"/>
          <w:sz w:val="18"/>
          <w:szCs w:val="18"/>
          <w:color w:val="auto"/>
        </w:rPr>
        <w:t>Under California and Oregon statutes which govern PSIC, dividends paid in a consecutive twelve month period cannot exceed the greater of (i) 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$99.6 million in 2025 without approval by the California and Oregon Insurance Commissioners.</w:t>
      </w:r>
    </w:p>
    <w:p>
      <w:pPr>
        <w:spacing w:after="0" w:line="153"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$4.2 million in 2025 without approval of the Arizona Insurance Commissioner.</w:t>
      </w:r>
    </w:p>
    <w:p>
      <w:pPr>
        <w:spacing w:after="0" w:line="137"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Company is subject to New Jersey law, such that all dividend payments require 30-day prior approval of the New Jersey Commissioner of Banking and Insurance (the “Commissioner”). The maximum dividend, which may be paid in any twelve-month period, is limited to the greater of 10% of statutory surplus as of December 31 of the preceding year or the net gain from operations of the preceding calendar year. Cash dividends may only be paid out of surplus derived from realized net profits. Based on these limitations, FIA has capacity to pay a dividend of $2.3 million in 2025, conditional upon the Commissioner’s approval.</w:t>
      </w:r>
    </w:p>
    <w:p>
      <w:pPr>
        <w:spacing w:after="0" w:line="137"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In addition, state insurance regulators may adopt statutory provisions and dividend limitations more restrictive than those currently in effect in the future.</w:t>
      </w:r>
    </w:p>
    <w:p>
      <w:pPr>
        <w:spacing w:after="0" w:line="129"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such dividend has not caused the insurer to fail to meet its relevant margins.</w:t>
      </w:r>
    </w:p>
    <w:p>
      <w:pPr>
        <w:spacing w:after="0" w:line="159"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Further, under the Companies Act (as defined below),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2025 is calculated to be approximately $4.2 million. However, this dividend amount is subject to annual enhanced solvency requirement calculations.</w:t>
      </w:r>
    </w:p>
    <w:p>
      <w:pPr>
        <w:spacing w:after="0" w:line="1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One of our insurance company subsidiaries, PSIC, is a member of the Federal Home Loan Bank of San Francisco (FHLB). Membership allows PSIC access to collateralized advances, which may be used to support and enhance liquidity management. The amount of advances that may be taken is dependent on statutory admitted assets.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borrowings on our lines of credit. We use our cash flows primarily to pay reinsurance premiums, operating expenses, losses and loss adjustment expenses, and income taxes.</w:t>
      </w:r>
    </w:p>
    <w:p>
      <w:pPr>
        <w:spacing w:after="0" w:line="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charges or due to changes in balance sheet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w:t>
      </w:r>
    </w:p>
    <w:p>
      <w:pPr>
        <w:spacing w:after="0" w:line="151"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3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Management believes that our current liquidity and cash receipts from written premiums, investment income, proceeds from investment sales and redemptions, and reinsurance recoveries, if necessary, are sufficient to cover cash outflows for each of the Company’s insurance subsidiaries in the foreseeable future.</w:t>
      </w:r>
    </w:p>
    <w:p>
      <w:pPr>
        <w:spacing w:after="0" w:line="14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2025 and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25"/>
        </w:trPr>
        <w:tc>
          <w:tcPr>
            <w:tcW w:w="6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19"/>
                <w:szCs w:val="19"/>
                <w:color w:val="auto"/>
              </w:rPr>
            </w:pPr>
          </w:p>
        </w:tc>
      </w:tr>
      <w:tr>
        <w:trPr>
          <w:trHeight w:val="183"/>
        </w:trPr>
        <w:tc>
          <w:tcPr>
            <w:tcW w:w="6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183"/>
        </w:trPr>
        <w:tc>
          <w:tcPr>
            <w:tcW w:w="6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4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960" w:type="dxa"/>
            <w:vAlign w:val="bottom"/>
          </w:tcPr>
          <w:p>
            <w:pPr>
              <w:spacing w:after="0"/>
              <w:rPr>
                <w:sz w:val="15"/>
                <w:szCs w:val="15"/>
                <w:color w:val="auto"/>
              </w:rPr>
            </w:pPr>
          </w:p>
        </w:tc>
      </w:tr>
      <w:tr>
        <w:trPr>
          <w:trHeight w:val="189"/>
        </w:trPr>
        <w:tc>
          <w:tcPr>
            <w:tcW w:w="6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Cash provided by (used in):</w:t>
            </w:r>
          </w:p>
        </w:tc>
        <w:tc>
          <w:tcPr>
            <w:tcW w:w="2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r>
      <w:tr>
        <w:trPr>
          <w:trHeight w:val="189"/>
        </w:trPr>
        <w:tc>
          <w:tcPr>
            <w:tcW w:w="6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activities</w:t>
            </w:r>
          </w:p>
        </w:tc>
        <w:tc>
          <w:tcPr>
            <w:tcW w:w="248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291,705</w:t>
            </w:r>
          </w:p>
        </w:tc>
        <w:tc>
          <w:tcPr>
            <w:tcW w:w="640" w:type="dxa"/>
            <w:vAlign w:val="bottom"/>
            <w:gridSpan w:val="2"/>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188,520</w:t>
            </w:r>
          </w:p>
        </w:tc>
      </w:tr>
      <w:tr>
        <w:trPr>
          <w:trHeight w:val="189"/>
        </w:trPr>
        <w:tc>
          <w:tcPr>
            <w:tcW w:w="60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Investing activities</w:t>
            </w:r>
          </w:p>
        </w:tc>
        <w:tc>
          <w:tcPr>
            <w:tcW w:w="2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(230,435)</w:t>
            </w: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(224,884)</w:t>
            </w:r>
          </w:p>
        </w:tc>
      </w:tr>
      <w:tr>
        <w:trPr>
          <w:trHeight w:val="189"/>
        </w:trPr>
        <w:tc>
          <w:tcPr>
            <w:tcW w:w="6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Financing activities</w:t>
            </w:r>
          </w:p>
        </w:tc>
        <w:tc>
          <w:tcPr>
            <w:tcW w:w="2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(30,049)</w:t>
            </w: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71,096</w:t>
            </w:r>
          </w:p>
        </w:tc>
      </w:tr>
      <w:tr>
        <w:trPr>
          <w:trHeight w:val="223"/>
        </w:trPr>
        <w:tc>
          <w:tcPr>
            <w:tcW w:w="60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2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31,221</w:t>
            </w:r>
          </w:p>
        </w:tc>
        <w:tc>
          <w:tcPr>
            <w:tcW w:w="1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34,732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-25400</wp:posOffset>
            </wp:positionV>
            <wp:extent cx="1028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1028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Our cash flow from operating activities was positive during the nine months ended September 30, 2025 and 2024 due to net income and a decrease in net operating assets in each period.</w:t>
      </w:r>
    </w:p>
    <w:p>
      <w:pPr>
        <w:spacing w:after="0" w:line="122" w:lineRule="exact"/>
        <w:rPr>
          <w:sz w:val="20"/>
          <w:szCs w:val="20"/>
          <w:color w:val="auto"/>
        </w:rPr>
      </w:pPr>
    </w:p>
    <w:p>
      <w:pPr>
        <w:jc w:val="both"/>
        <w:ind w:right="240" w:firstLine="749"/>
        <w:spacing w:after="0" w:line="258" w:lineRule="auto"/>
        <w:rPr>
          <w:sz w:val="20"/>
          <w:szCs w:val="20"/>
          <w:color w:val="auto"/>
        </w:rPr>
      </w:pPr>
      <w:r>
        <w:rPr>
          <w:rFonts w:ascii="Times New Roman" w:cs="Times New Roman" w:eastAsia="Times New Roman" w:hAnsi="Times New Roman"/>
          <w:sz w:val="18"/>
          <w:szCs w:val="18"/>
          <w:color w:val="auto"/>
        </w:rPr>
        <w:t>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flows.</w:t>
      </w:r>
    </w:p>
    <w:p>
      <w:pPr>
        <w:spacing w:after="0" w:line="142" w:lineRule="exact"/>
        <w:rPr>
          <w:sz w:val="20"/>
          <w:szCs w:val="20"/>
          <w:color w:val="auto"/>
        </w:rPr>
      </w:pPr>
    </w:p>
    <w:p>
      <w:pPr>
        <w:ind w:right="580" w:firstLine="74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2025 and 2024 related primarily to purchases of fixed maturity securities in excess of sales and maturities and acquisitions occurring in each period.</w:t>
      </w:r>
    </w:p>
    <w:p>
      <w:pPr>
        <w:spacing w:after="0" w:line="135" w:lineRule="exact"/>
        <w:rPr>
          <w:sz w:val="20"/>
          <w:szCs w:val="20"/>
          <w:color w:val="auto"/>
        </w:rPr>
      </w:pPr>
    </w:p>
    <w:p>
      <w:pPr>
        <w:ind w:right="180" w:firstLine="749"/>
        <w:spacing w:after="0" w:line="245"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2025 was related to the repurchase of $37.3 million of our common stock and $0.1 million in offering costs from the August 2024 Secondary Offering, partially offset by the receipt of $3.3 million in proceeds from stock option exercises, the receipt of $2.9 million in proceeds from policy holder contributions of surplus, and the receipt of $1.2 million in proceeds from our employee stock purchase plan. Cash provided by financing activities for the nine months ended September 30, 2024 was related to the receipt of $115.7 million in net proceeds from the August 2024 Secondary Offering, the receipt of $5.0 million in proceeds from stock option exercises, the receipt of $2.0 million in proceeds from policy holder contributions of surplus, and the receipt of $0.9 million in proceeds from our employee stock purchase plan, partially offset by $52.6 million in payments on our FHLB line of credit.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firstLine="749"/>
        <w:spacing w:after="0" w:line="217" w:lineRule="exact"/>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catastrophe losses. To the extent our future operating cash flows are insufficient to cover our net losses from catastrophic events, we had $1.3 billion in cash and investment securities available at September 30, 2025. We also have the ability to access additional capital through pursuing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borrowings, sales of our equity or debt securities or entrance into a reinsurance arrangement.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8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On July 31, 2025, the Company’s Board of Directors approved a share repurchase program authorizing the repurchase of up to $150 million of the Company’s outstanding common stock through July 31, 2027. We also have implemented a share repurchase plan and have used and may use our cash in the future to purchase outstanding shares of our common stock. Under our current share repurchase program, shares may be repurchased from time to time in the open market or negotiated transactions at prevailing market rates, or by other means in accordance with federal securities laws. We repurchased 308,417 shares for $37.3 million under this program during the nine months ended September 30, 2025 and $112.7 million remains available for future repurchases.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the ability to access additional capital through multiple credit agreements.</w:t>
      </w:r>
    </w:p>
    <w:p>
      <w:pPr>
        <w:spacing w:after="0" w:line="185" w:lineRule="exact"/>
        <w:rPr>
          <w:sz w:val="20"/>
          <w:szCs w:val="20"/>
          <w:color w:val="auto"/>
        </w:rPr>
      </w:pPr>
    </w:p>
    <w:p>
      <w:pPr>
        <w:ind w:right="80" w:firstLine="749"/>
        <w:spacing w:after="0" w:line="247"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Secured Overnight Financing Rate (“SOFR”)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$5.6 million of the borrowing capacity of the Credit Agreement is pledged as collateral and not able to be utilized.</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September 30, 2025, we had no borrowings outstanding through the Credit Agreement.</w:t>
      </w:r>
    </w:p>
    <w:p>
      <w:pPr>
        <w:spacing w:after="0" w:line="185"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September 30, 2025, we had no borrowings outstanding through the FHLB line of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18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At September 30, 2025 total stockholders’ equity was $878.1 million and tangible stockholders’ equity was $815.6 million, compared to total stockholders’ equity of $729.0 million and tangible stockholders’ equity of $715.8 million as of December 31, 2024. Stockholders’ equity increased due to net income earned for the period, activity related to stock-based compensation, and unrealized gains on fixed maturity securities.</w:t>
      </w:r>
    </w:p>
    <w:p>
      <w:pPr>
        <w:spacing w:after="0" w:line="109" w:lineRule="exact"/>
        <w:rPr>
          <w:sz w:val="20"/>
          <w:szCs w:val="20"/>
          <w:color w:val="auto"/>
        </w:rPr>
      </w:pPr>
    </w:p>
    <w:p>
      <w:pPr>
        <w:ind w:right="20" w:firstLine="749"/>
        <w:spacing w:after="0" w:line="239" w:lineRule="exact"/>
        <w:rPr>
          <w:sz w:val="20"/>
          <w:szCs w:val="20"/>
          <w:color w:val="auto"/>
        </w:rPr>
      </w:pPr>
      <w:r>
        <w:rPr>
          <w:rFonts w:ascii="Times New Roman" w:cs="Times New Roman" w:eastAsia="Times New Roman" w:hAnsi="Times New Roman"/>
          <w:sz w:val="18"/>
          <w:szCs w:val="18"/>
          <w:color w:val="auto"/>
        </w:rPr>
        <w:t>Tangible stockholders’ equity is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 See “Reconciliation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 reconciliation of stockholders’ equity in accordance with GAAP to tangible stockholders’ equity.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89" w:lineRule="exact"/>
        <w:rPr>
          <w:sz w:val="20"/>
          <w:szCs w:val="20"/>
          <w:color w:val="auto"/>
        </w:rPr>
      </w:pPr>
    </w:p>
    <w:p>
      <w:pPr>
        <w:ind w:right="100" w:firstLine="749"/>
        <w:spacing w:after="0" w:line="209" w:lineRule="exact"/>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Investment Committee reviews and recommends investment guidelines, which are subject to approval by our Board of Directors in accordance with applicable regulatory restrictions on asset type, quality and concentration. Our current investment guidelines allow us to invest in taxable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exempt fixed maturities, as well as publicly traded mutual funds and common stock of individual companies. Our cash and invested assets consist of cash and cash equivalents, fixed maturity securities, and equity securities. As of September 30, 2025, the majority of our investment portfolio, or $1.1 billion, was comprised of fixed maturity securities that are classified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carried at fair value with unrealized gains and losses on these securities, net of applicable taxes, reported as a separate component of accumulated other comprehensive income. Also included in our investment portfolio were $52.2 million of equity securities, $15.1 million of investments in limited partnerships, and $4.4 million of a livestock put option. In addition, we maintained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restricted cash and cash equivalent balance of $111.7 million at September 30, 2025. Our fixed maturity securities, including cash equivalents, had a weighted average effective duration of 4.01 and 4.04 years and</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 average rating of “A2/A” and “A1/A+” at September 30, 2025 and December 31, 2024, respectively. Our fixed income investment portfolio had a book yield of 4.84% as of September 30, 2025, compared to 4.59% as of December 31, 2024.</w:t>
      </w:r>
    </w:p>
    <w:p>
      <w:pPr>
        <w:spacing w:after="0" w:line="9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At September 30, 2025 and December 31, 2024 the amortized cost and fair value on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24,831</w:t>
            </w:r>
          </w:p>
        </w:tc>
        <w:tc>
          <w:tcPr>
            <w:tcW w:w="42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24,637</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19,789</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18,715</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19,292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17,203</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601,329</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602,883</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481,614</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477,929</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1,146,855</w:t>
            </w:r>
          </w:p>
        </w:tc>
        <w:tc>
          <w:tcPr>
            <w:tcW w:w="42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1,141,367</w:t>
            </w:r>
          </w:p>
        </w:tc>
        <w:tc>
          <w:tcPr>
            <w:tcW w:w="16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946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946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 or 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U.S. Governments</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33,449</w:t>
            </w:r>
          </w:p>
        </w:tc>
        <w:tc>
          <w:tcPr>
            <w:tcW w:w="420" w:type="dxa"/>
            <w:vAlign w:val="bottom"/>
            <w:gridSpan w:val="2"/>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32,806</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10,606</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9,778</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30,283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26,634</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492,395</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475,491</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189"/>
        </w:trPr>
        <w:tc>
          <w:tcPr>
            <w:tcW w:w="64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Mortgage/asset-backed securities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406,597</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394,337</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03"/>
        </w:trPr>
        <w:tc>
          <w:tcPr>
            <w:tcW w:w="6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available-for-sale investments</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973,330</w:t>
            </w:r>
          </w:p>
        </w:tc>
        <w:tc>
          <w:tcPr>
            <w:tcW w:w="42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939,046</w:t>
            </w:r>
          </w:p>
        </w:tc>
        <w:tc>
          <w:tcPr>
            <w:tcW w:w="16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-24765</wp:posOffset>
            </wp:positionV>
            <wp:extent cx="946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946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September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3"/>
        </w:trPr>
        <w:tc>
          <w:tcPr>
            <w:tcW w:w="7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Rating</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AAA</w:t>
            </w:r>
          </w:p>
        </w:tc>
        <w:tc>
          <w:tcPr>
            <w:tcW w:w="4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141,584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AA</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342,061</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302,722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BBB</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299,733</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BB</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47,634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9"/>
        </w:trPr>
        <w:tc>
          <w:tcPr>
            <w:tcW w:w="7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5,175</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89"/>
        </w:trPr>
        <w:tc>
          <w:tcPr>
            <w:tcW w:w="7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CCC &amp; Below</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2,458</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1,141,367</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-24765</wp:posOffset>
            </wp:positionV>
            <wp:extent cx="768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225"/>
        </w:trPr>
        <w:tc>
          <w:tcPr>
            <w:tcW w:w="3500" w:type="dxa"/>
            <w:vAlign w:val="bottom"/>
            <w:tcBorders>
              <w:bottom w:val="single" w:sz="8" w:color="auto"/>
            </w:tcBorders>
            <w:vMerge w:val="continue"/>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150"/>
              <w:spacing w:after="0" w:line="182" w:lineRule="exact"/>
              <w:rPr>
                <w:sz w:val="20"/>
                <w:szCs w:val="20"/>
                <w:color w:val="auto"/>
              </w:rPr>
            </w:pPr>
            <w:r>
              <w:rPr>
                <w:rFonts w:ascii="Times New Roman" w:cs="Times New Roman" w:eastAsia="Times New Roman" w:hAnsi="Times New Roman"/>
                <w:sz w:val="18"/>
                <w:szCs w:val="18"/>
                <w:b w:val="1"/>
                <w:bCs w:val="1"/>
                <w:color w:val="auto"/>
              </w:rPr>
              <w:t>($ in</w:t>
            </w:r>
          </w:p>
        </w:tc>
        <w:tc>
          <w:tcPr>
            <w:tcW w:w="6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78"/>
              </w:rPr>
              <w:t>thousands)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Rating</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AAA</w:t>
            </w:r>
          </w:p>
        </w:tc>
        <w:tc>
          <w:tcPr>
            <w:tcW w:w="4400" w:type="dxa"/>
            <w:vAlign w:val="bottom"/>
            <w:gridSpan w:val="3"/>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130,161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AA</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305,267</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254,890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BBB</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236,855</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BB</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10,614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89"/>
        </w:trPr>
        <w:tc>
          <w:tcPr>
            <w:tcW w:w="35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w:t>
            </w:r>
          </w:p>
        </w:tc>
        <w:tc>
          <w:tcPr>
            <w:tcW w:w="4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1,258</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CCC &amp; Below</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spacing w:after="0"/>
              <w:rPr>
                <w:sz w:val="19"/>
                <w:szCs w:val="19"/>
                <w:color w:val="auto"/>
              </w:rPr>
            </w:pPr>
          </w:p>
        </w:tc>
        <w:tc>
          <w:tcPr>
            <w:tcW w:w="4400" w:type="dxa"/>
            <w:vAlign w:val="bottom"/>
            <w:gridSpan w:val="3"/>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939,046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55"/>
        </w:trPr>
        <w:tc>
          <w:tcPr>
            <w:tcW w:w="3500" w:type="dxa"/>
            <w:vAlign w:val="bottom"/>
            <w:tcBorders>
              <w:top w:val="single" w:sz="8" w:color="CFF0FC"/>
            </w:tcBorders>
          </w:tcPr>
          <w:p>
            <w:pPr>
              <w:spacing w:after="0"/>
              <w:rPr>
                <w:sz w:val="24"/>
                <w:szCs w:val="24"/>
                <w:color w:val="auto"/>
              </w:rPr>
            </w:pPr>
          </w:p>
        </w:tc>
        <w:tc>
          <w:tcPr>
            <w:tcW w:w="4000" w:type="dxa"/>
            <w:vAlign w:val="bottom"/>
            <w:tcBorders>
              <w:top w:val="single" w:sz="8" w:color="CFF0FC"/>
            </w:tcBorders>
          </w:tcPr>
          <w:p>
            <w:pPr>
              <w:jc w:val="right"/>
              <w:ind w:right="169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350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-942340</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-925195</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5"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The amortized cost and fair value of our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investments in fixed maturity securities summarized by contractual maturity as of</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7"/>
                <w:szCs w:val="17"/>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25"/>
        </w:trPr>
        <w:tc>
          <w:tcPr>
            <w:tcW w:w="646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within one year</w:t>
            </w:r>
          </w:p>
        </w:tc>
        <w:tc>
          <w:tcPr>
            <w:tcW w:w="32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71,849</w:t>
            </w:r>
          </w:p>
        </w:tc>
        <w:tc>
          <w:tcPr>
            <w:tcW w:w="420" w:type="dxa"/>
            <w:vAlign w:val="bottom"/>
            <w:gridSpan w:val="2"/>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71,977</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260,401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260,035</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89"/>
        </w:trPr>
        <w:tc>
          <w:tcPr>
            <w:tcW w:w="64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226,631</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228,747</w:t>
            </w:r>
          </w:p>
        </w:tc>
        <w:tc>
          <w:tcPr>
            <w:tcW w:w="164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89"/>
        </w:trPr>
        <w:tc>
          <w:tcPr>
            <w:tcW w:w="6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106,360</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102,679</w:t>
            </w:r>
          </w:p>
        </w:tc>
        <w:tc>
          <w:tcPr>
            <w:tcW w:w="16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89"/>
        </w:trPr>
        <w:tc>
          <w:tcPr>
            <w:tcW w:w="64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Mortgage and asset-backed securities</w:t>
            </w:r>
          </w:p>
        </w:tc>
        <w:tc>
          <w:tcPr>
            <w:tcW w:w="1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481,614</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477,929</w:t>
            </w:r>
          </w:p>
        </w:tc>
        <w:tc>
          <w:tcPr>
            <w:tcW w:w="100" w:type="dxa"/>
            <w:vAlign w:val="bottom"/>
            <w:tcBorders>
              <w:bottom w:val="single" w:sz="8" w:color="CFF0FC"/>
            </w:tcBorders>
            <w:shd w:val="clear" w:color="auto" w:fill="CFF0FC"/>
          </w:tcPr>
          <w:p>
            <w:pPr>
              <w:spacing w:after="0"/>
              <w:rPr>
                <w:sz w:val="16"/>
                <w:szCs w:val="16"/>
                <w:color w:val="auto"/>
              </w:rPr>
            </w:pPr>
          </w:p>
        </w:tc>
        <w:tc>
          <w:tcPr>
            <w:tcW w:w="15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183"/>
        </w:trPr>
        <w:tc>
          <w:tcPr>
            <w:tcW w:w="6460" w:type="dxa"/>
            <w:vAlign w:val="bottom"/>
          </w:tcPr>
          <w:p>
            <w:pPr>
              <w:spacing w:after="0"/>
              <w:rPr>
                <w:sz w:val="15"/>
                <w:szCs w:val="15"/>
                <w:color w:val="auto"/>
              </w:rPr>
            </w:pPr>
          </w:p>
        </w:tc>
        <w:tc>
          <w:tcPr>
            <w:tcW w:w="320" w:type="dxa"/>
            <w:vAlign w:val="bottom"/>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1,146,855</w:t>
            </w:r>
          </w:p>
        </w:tc>
        <w:tc>
          <w:tcPr>
            <w:tcW w:w="420" w:type="dxa"/>
            <w:vAlign w:val="bottom"/>
            <w:gridSpan w:val="2"/>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1,141,367</w:t>
            </w:r>
          </w:p>
        </w:tc>
        <w:tc>
          <w:tcPr>
            <w:tcW w:w="16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-153670</wp:posOffset>
            </wp:positionV>
            <wp:extent cx="9461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360" w:firstLine="749"/>
        <w:spacing w:after="0" w:line="446" w:lineRule="auto"/>
        <w:rPr>
          <w:sz w:val="20"/>
          <w:szCs w:val="20"/>
          <w:color w:val="auto"/>
        </w:rPr>
      </w:pPr>
      <w:r>
        <w:rPr>
          <w:rFonts w:ascii="Times New Roman" w:cs="Times New Roman" w:eastAsia="Times New Roman" w:hAnsi="Times New Roman"/>
          <w:sz w:val="18"/>
          <w:szCs w:val="18"/>
          <w:color w:val="auto"/>
        </w:rPr>
        <w:t xml:space="preserve">Expected maturities may differ from contractual maturities because borrowers may have the right to call or prepay obligations. </w:t>
      </w:r>
      <w:r>
        <w:rPr>
          <w:rFonts w:ascii="Times New Roman" w:cs="Times New Roman" w:eastAsia="Times New Roman" w:hAnsi="Times New Roman"/>
          <w:sz w:val="18"/>
          <w:szCs w:val="18"/>
          <w:b w:val="1"/>
          <w:bCs w:val="1"/>
          <w:i w:val="1"/>
          <w:iCs w:val="1"/>
          <w:color w:val="auto"/>
        </w:rPr>
        <w:t>Reinsurance</w:t>
      </w: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 To the extent that our reinsurers are unable to meet the obligations they assume under our reinsurance agreements, we remain liable for the entire insured loss; see “Risk Factors—Risks Related to Our Business and Industry—We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54" w:lineRule="exact"/>
        <w:rPr>
          <w:sz w:val="20"/>
          <w:szCs w:val="20"/>
          <w:color w:val="auto"/>
        </w:rPr>
      </w:pPr>
    </w:p>
    <w:p>
      <w:pPr>
        <w:ind w:right="100" w:firstLine="749"/>
        <w:spacing w:after="0" w:line="243" w:lineRule="auto"/>
        <w:rPr>
          <w:sz w:val="20"/>
          <w:szCs w:val="20"/>
          <w:color w:val="auto"/>
        </w:rPr>
      </w:pPr>
      <w:r>
        <w:rPr>
          <w:rFonts w:ascii="Times New Roman" w:cs="Times New Roman" w:eastAsia="Times New Roman" w:hAnsi="Times New Roman"/>
          <w:sz w:val="18"/>
          <w:szCs w:val="18"/>
          <w:color w:val="auto"/>
        </w:rPr>
        <w:t>We use treaty reinsurance and, on a limited basis, facultative reinsurance coverage. Treaty coverage refers to a reinsurance contract that is applied to a group or class of business where all the risks written meet the criteria for that class. Our treaty reinsurance program primarily consists of catastrophe XOL coverage, in which the reinsurer(s) agree to assume all or a portion of the ceding company’s losses relating to a group of policies occurring in relation to specified events, subject to customary exclusions, in excess of a specified amount. Additionally, we buy program specific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XOL coverage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45"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50"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In addition to reinsurance from traditional reinsurers, we utilize collateralized protection via catastrophe bonds. We currently have $1.2 billion of multi-year indemnity-based reinsurance coverage for earthquake events, all issued through Torrey Pines Re Ltd, a Bermuda-domiciled special purpose insurer.</w:t>
      </w:r>
    </w:p>
    <w:p>
      <w:pPr>
        <w:spacing w:after="0" w:line="150"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Our catastrophe event retention is $20 million for earthquake events and $11 million for hurricane events and all other perils. Laulima maintains Hawaii hurricane reinsurance coverage through a standalone XOL treaty, which provides per-occurrence coverage up to $735 million with a retention of $1.5 million. Our reinsurance coverage exhausts at $3.53 billion for earthquake events and $100 million for continental U.S. hurricane events, providing coverage in excess of our 1 in 250-year peak zone PML and in excess of our A.M. Best requirement. In addition, we maintain reinsurance coverage equivalent to or better than the 1 in 250-year PML for our other lines.</w:t>
      </w:r>
    </w:p>
    <w:p>
      <w:pPr>
        <w:spacing w:after="0" w:line="15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the event that multiple catastrophe events occur in a period, many of our contracts include the right to reinstate reinsurance limits for potential future recoveries during the same contract year and preserve our limit for subsequent events. This feature for subsequent event coverage is known as a “reinstatement.”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89"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We identified the accounting estimates which are critical to the understanding of our financial position and results of operations. Critical accounting estimates are defined as those estimates that are both important to the portrayal of our financial condition and results of operations and require us to exercise significant judgment. We use significant judgment concerning future results and developments in applying these critical accounting estimates and in preparing our condensed consolidated financial statements. These judgments and estimates affect our reported amounts of assets, liabilities, revenues and expenses and the disclosure of our material contingent assets and liabilities. Actual results may differ materially from the estimates and assumptions used in preparing the condensed consolidated financial statements. We evaluate our estimates regularly using information that we believe to be relevant. Our critical accounting policies and estimates are described in our annual consolidated financial statements and the related notes in our 2024 Annual Report on Form 10-K.</w:t>
      </w:r>
    </w:p>
    <w:p>
      <w:pPr>
        <w:spacing w:after="0" w:line="159" w:lineRule="exact"/>
        <w:rPr>
          <w:sz w:val="20"/>
          <w:szCs w:val="20"/>
          <w:color w:val="auto"/>
        </w:rPr>
      </w:pPr>
    </w:p>
    <w:p>
      <w:pPr>
        <w:ind w:right="160" w:firstLine="749"/>
        <w:spacing w:after="0" w:line="296" w:lineRule="auto"/>
        <w:rPr>
          <w:sz w:val="20"/>
          <w:szCs w:val="20"/>
          <w:color w:val="auto"/>
        </w:rPr>
      </w:pPr>
      <w:r>
        <w:rPr>
          <w:rFonts w:ascii="Times New Roman" w:cs="Times New Roman" w:eastAsia="Times New Roman" w:hAnsi="Times New Roman"/>
          <w:sz w:val="17"/>
          <w:szCs w:val="17"/>
          <w:color w:val="auto"/>
        </w:rPr>
        <w:t>There have been no material changes in our critical accounting policies and estimates as compared to the critical accounting policies and estimates disclosed in Management’s Discussion and Analysis of Financial Condition and Operations included in our 2024 Annual Report on Form 10-K.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Market risk is a general term describing the potential economic loss associated with adverse changes in the fair value of financial instruments. Our condensed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 as well as limited exposure from a livestock put option designated as a cash flow hedge recorded in Other investments.</w:t>
      </w:r>
    </w:p>
    <w:p>
      <w:pPr>
        <w:spacing w:after="0" w:line="150" w:lineRule="exact"/>
        <w:rPr>
          <w:sz w:val="20"/>
          <w:szCs w:val="20"/>
          <w:color w:val="auto"/>
        </w:rPr>
      </w:pPr>
    </w:p>
    <w:p>
      <w:pPr>
        <w:ind w:right="480" w:firstLine="749"/>
        <w:spacing w:after="0" w:line="266"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In general, we manage the exposure to credit risk in our investment portfolio by investing in high quality securities and by diversifying our holdings.</w:t>
      </w:r>
    </w:p>
    <w:p>
      <w:pPr>
        <w:spacing w:after="0" w:line="13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68.8% rated “A−” or better. At September 30, 2025, 4.9%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w:t>
      </w:r>
    </w:p>
    <w:p>
      <w:pPr>
        <w:spacing w:after="0" w:line="109" w:lineRule="exact"/>
        <w:rPr>
          <w:sz w:val="20"/>
          <w:szCs w:val="20"/>
          <w:color w:val="auto"/>
        </w:rPr>
      </w:pPr>
    </w:p>
    <w:p>
      <w:pPr>
        <w:ind w:right="200" w:firstLine="749"/>
        <w:spacing w:after="0" w:line="224" w:lineRule="exact"/>
        <w:rPr>
          <w:sz w:val="20"/>
          <w:szCs w:val="20"/>
          <w:color w:val="auto"/>
        </w:rPr>
      </w:pPr>
      <w:r>
        <w:rPr>
          <w:rFonts w:ascii="Times New Roman" w:cs="Times New Roman" w:eastAsia="Times New Roman" w:hAnsi="Times New Roman"/>
          <w:sz w:val="18"/>
          <w:szCs w:val="18"/>
          <w:color w:val="auto"/>
        </w:rPr>
        <w:t>As of the end of the period covered by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Q, we carried out an evaluation, under the supervision and with the participation of our management, including our CEO and CFO, of the effectiveness of the design and operation of our disclosure controls and procedures defined under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Exchange Act. Based upon this evaluation, our CEO and CFO concluded that our disclosure controls and procedures were effective.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89" w:lineRule="exact"/>
        <w:rPr>
          <w:sz w:val="20"/>
          <w:szCs w:val="20"/>
          <w:color w:val="auto"/>
        </w:rPr>
      </w:pPr>
    </w:p>
    <w:p>
      <w:pPr>
        <w:jc w:val="both"/>
        <w:ind w:right="40" w:firstLine="749"/>
        <w:spacing w:after="0" w:line="258" w:lineRule="auto"/>
        <w:rPr>
          <w:sz w:val="20"/>
          <w:szCs w:val="20"/>
          <w:color w:val="auto"/>
        </w:rPr>
      </w:pPr>
      <w:r>
        <w:rPr>
          <w:rFonts w:ascii="Times New Roman" w:cs="Times New Roman" w:eastAsia="Times New Roman" w:hAnsi="Times New Roman"/>
          <w:sz w:val="18"/>
          <w:szCs w:val="18"/>
          <w:color w:val="auto"/>
        </w:rPr>
        <w:t>During the first half of 2025, we completed the acquisitions of FIA and AAP. In accordance with SEC guidance, we have elected to exclude the operations of the acquired entities from our assessment of internal control over financial reporting for the quarter. We are in the process of integrating these entities and expect to include them in the scope of our internal control assessment in future periods.</w:t>
      </w:r>
    </w:p>
    <w:p>
      <w:pPr>
        <w:spacing w:after="0" w:line="88" w:lineRule="exact"/>
        <w:rPr>
          <w:sz w:val="20"/>
          <w:szCs w:val="20"/>
          <w:color w:val="auto"/>
        </w:rPr>
      </w:pPr>
    </w:p>
    <w:p>
      <w:pPr>
        <w:jc w:val="both"/>
        <w:ind w:right="100" w:firstLine="749"/>
        <w:spacing w:after="0" w:line="232" w:lineRule="exact"/>
        <w:rPr>
          <w:sz w:val="20"/>
          <w:szCs w:val="20"/>
          <w:color w:val="auto"/>
        </w:rPr>
      </w:pPr>
      <w:r>
        <w:rPr>
          <w:rFonts w:ascii="Times New Roman" w:cs="Times New Roman" w:eastAsia="Times New Roman" w:hAnsi="Times New Roman"/>
          <w:sz w:val="18"/>
          <w:szCs w:val="18"/>
          <w:color w:val="auto"/>
        </w:rPr>
        <w:t>No other changes in our internal control over financial reporting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under the Exchange Act) occurred during the quarter ended September 30, 2025 that have materially affected, or are reasonably likely to materially affect, our internal control over financial reporting.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89"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We are party to legal proceedings which arise in the ordinary course of business. We believe that the outcome of such matters, individually and in the aggregate, will not have a material adverse effect on our condensed consolidated financial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106" w:lineRule="exact"/>
        <w:rPr>
          <w:sz w:val="20"/>
          <w:szCs w:val="20"/>
          <w:color w:val="auto"/>
        </w:rPr>
      </w:pPr>
    </w:p>
    <w:p>
      <w:pPr>
        <w:ind w:left="1500" w:right="220" w:hanging="743"/>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40"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500" w:right="560" w:hanging="743"/>
        <w:spacing w:after="0" w:line="266"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reserves are established based on estimates and may be inadequate to cover actual incurred losses which could have a material adverse impact on our results of operations and financial condition;</w:t>
      </w:r>
    </w:p>
    <w:p>
      <w:pPr>
        <w:spacing w:after="0" w:line="54" w:lineRule="exact"/>
        <w:rPr>
          <w:rFonts w:ascii="Times New Roman" w:cs="Times New Roman" w:eastAsia="Times New Roman" w:hAnsi="Times New Roman"/>
          <w:sz w:val="18"/>
          <w:szCs w:val="18"/>
          <w:color w:val="auto"/>
        </w:rPr>
      </w:pPr>
    </w:p>
    <w:p>
      <w:pPr>
        <w:ind w:left="1500" w:right="60" w:hanging="743"/>
        <w:spacing w:after="0" w:line="258"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61" w:lineRule="exact"/>
        <w:rPr>
          <w:rFonts w:ascii="Times New Roman" w:cs="Times New Roman" w:eastAsia="Times New Roman" w:hAnsi="Times New Roman"/>
          <w:sz w:val="18"/>
          <w:szCs w:val="18"/>
          <w:color w:val="auto"/>
        </w:rPr>
      </w:pPr>
    </w:p>
    <w:p>
      <w:pPr>
        <w:ind w:left="1500" w:right="260" w:hanging="743"/>
        <w:spacing w:after="0" w:line="282"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40" w:lineRule="exact"/>
        <w:rPr>
          <w:rFonts w:ascii="Times New Roman" w:cs="Times New Roman" w:eastAsia="Times New Roman" w:hAnsi="Times New Roman"/>
          <w:sz w:val="18"/>
          <w:szCs w:val="18"/>
          <w:color w:val="auto"/>
        </w:rPr>
      </w:pPr>
    </w:p>
    <w:p>
      <w:pPr>
        <w:ind w:left="1500" w:right="860" w:hanging="743"/>
        <w:spacing w:after="0" w:line="266" w:lineRule="auto"/>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we are exposed more significantly to California loss activity and regulatory environments;</w:t>
      </w:r>
    </w:p>
    <w:p>
      <w:pPr>
        <w:spacing w:after="0" w:line="5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and such relationships may not continue;</w:t>
      </w:r>
    </w:p>
    <w:p>
      <w:pPr>
        <w:spacing w:after="0" w:line="11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w:t>
      </w:r>
    </w:p>
    <w:p>
      <w:pPr>
        <w:spacing w:after="0" w:line="10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crop prices, as a result of weather conditions or other events, could adversely impact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Economic Environment:</w:t>
      </w:r>
    </w:p>
    <w:p>
      <w:pPr>
        <w:spacing w:after="0" w:line="106" w:lineRule="exact"/>
        <w:rPr>
          <w:sz w:val="20"/>
          <w:szCs w:val="20"/>
          <w:color w:val="auto"/>
        </w:rPr>
      </w:pPr>
    </w:p>
    <w:p>
      <w:pPr>
        <w:ind w:left="1500" w:right="120" w:hanging="743"/>
        <w:spacing w:after="0" w:line="266"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affect our growth and profitability;</w:t>
      </w:r>
    </w:p>
    <w:p>
      <w:pPr>
        <w:spacing w:after="0" w:line="67" w:lineRule="exact"/>
        <w:rPr>
          <w:rFonts w:ascii="Times New Roman" w:cs="Times New Roman" w:eastAsia="Times New Roman" w:hAnsi="Times New Roman"/>
          <w:sz w:val="18"/>
          <w:szCs w:val="18"/>
          <w:color w:val="auto"/>
        </w:rPr>
      </w:pPr>
    </w:p>
    <w:p>
      <w:pPr>
        <w:ind w:left="1500" w:right="340" w:hanging="743"/>
        <w:spacing w:after="0" w:line="266"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global trade policies, including the imposition of tariffs, along with broader economic uncertainty, could contribute to financial market volatility, shifts in interest rates, and disruptions to the sectors we insure;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Technology:</w:t>
      </w:r>
    </w:p>
    <w:p>
      <w:pPr>
        <w:spacing w:after="0" w:line="173" w:lineRule="exact"/>
        <w:rPr>
          <w:sz w:val="20"/>
          <w:szCs w:val="20"/>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 could adversely affect our business;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cyber-attacks could expose us to liability and damage our reputation and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173" w:lineRule="exact"/>
        <w:rPr>
          <w:sz w:val="20"/>
          <w:szCs w:val="20"/>
          <w:color w:val="auto"/>
        </w:rPr>
      </w:pPr>
    </w:p>
    <w:p>
      <w:pPr>
        <w:ind w:left="1500" w:hanging="743"/>
        <w:spacing w:after="0"/>
        <w:tabs>
          <w:tab w:leader="none" w:pos="1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w:t>
      </w: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right="20" w:hanging="743"/>
        <w:spacing w:after="0" w:line="266" w:lineRule="auto"/>
        <w:tabs>
          <w:tab w:leader="none" w:pos="1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35" w:lineRule="exact"/>
        <w:rPr>
          <w:rFonts w:ascii="Times New Roman" w:cs="Times New Roman" w:eastAsia="Times New Roman" w:hAnsi="Times New Roman"/>
          <w:sz w:val="18"/>
          <w:szCs w:val="18"/>
          <w:color w:val="auto"/>
        </w:rPr>
      </w:pPr>
    </w:p>
    <w:p>
      <w:pPr>
        <w:ind w:left="1500" w:right="160" w:hanging="743"/>
        <w:spacing w:after="0" w:line="266" w:lineRule="auto"/>
        <w:tabs>
          <w:tab w:leader="none" w:pos="1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187" w:lineRule="exact"/>
        <w:rPr>
          <w:sz w:val="20"/>
          <w:szCs w:val="20"/>
          <w:color w:val="auto"/>
        </w:rPr>
      </w:pPr>
    </w:p>
    <w:p>
      <w:pPr>
        <w:ind w:left="1500" w:right="420" w:hanging="743"/>
        <w:spacing w:after="0" w:line="266" w:lineRule="auto"/>
        <w:tabs>
          <w:tab w:leader="none" w:pos="1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and limit our ability to underwrite new insurance policies.</w:t>
      </w:r>
    </w:p>
    <w:p>
      <w:pPr>
        <w:spacing w:after="0" w:line="131"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droughts, windstorms, floods, wildfires,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These events could impact our business even where we do not have insured exposure, such as the 2025 California wildfires, as homes and businesses lost due to such events may cancel or not renew their policies with us.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62"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46"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Our reinsurance coverage currently exhausts at $3.53 billion for earthquake events and $100 million for continental U.S. hurricane events, with coverage in excess of our estimated peak zone 1 in 250 year PML event and in excess of our A.M. Best threshold. Laulima maintains Hawaii hurricane reinsurance coverage through a standalone XOL treaty, which provides per-occurrence coverage up to $735 million with a retention of $1.5 million. Our catastrophe event retention is currently $20 million for earthquake events and $11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spacing w:after="0" w:line="15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131"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program is designed to limit our risk retention, in the event of a major catastrophe, our reinsurers may not pay claims made by us on a timely basis, or they may not pay some or all these claims.</w:t>
      </w:r>
    </w:p>
    <w:p>
      <w:pPr>
        <w:spacing w:after="0" w:line="135" w:lineRule="exact"/>
        <w:rPr>
          <w:sz w:val="20"/>
          <w:szCs w:val="20"/>
          <w:color w:val="auto"/>
        </w:rPr>
      </w:pPr>
    </w:p>
    <w:p>
      <w:pPr>
        <w:ind w:right="160" w:firstLine="749"/>
        <w:spacing w:after="0" w:line="245" w:lineRule="auto"/>
        <w:rPr>
          <w:sz w:val="20"/>
          <w:szCs w:val="20"/>
          <w:color w:val="auto"/>
        </w:rPr>
      </w:pPr>
      <w:r>
        <w:rPr>
          <w:rFonts w:ascii="Times New Roman" w:cs="Times New Roman" w:eastAsia="Times New Roman" w:hAnsi="Times New Roman"/>
          <w:sz w:val="18"/>
          <w:szCs w:val="18"/>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September 30, 2025, we had $477.5 million of aggregate reinsurance recoverables.</w:t>
      </w:r>
    </w:p>
    <w:p>
      <w:pPr>
        <w:spacing w:after="0" w:line="15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loss reserves are established based on estimates which may be inadequate to cover actual incurred losses and could have a material adverse impact on our results of operations and financial condition.</w:t>
      </w:r>
    </w:p>
    <w:p>
      <w:pPr>
        <w:spacing w:after="0" w:line="117"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42"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137"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there may be significant reporting lags between the occurrence of an insured event and the time it is actually reported to us and additional lags between the time of reporting and final settlement of any claims. Consequently, estimates of loss associated with specified claims can increase as new information emerges, which could cause the reserves for the claim to become inadequate.</w:t>
      </w:r>
    </w:p>
    <w:p>
      <w:pPr>
        <w:spacing w:after="0" w:line="137"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3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42" w:lineRule="exact"/>
        <w:rPr>
          <w:sz w:val="20"/>
          <w:szCs w:val="20"/>
          <w:color w:val="auto"/>
        </w:rPr>
      </w:pPr>
    </w:p>
    <w:p>
      <w:pPr>
        <w:ind w:right="520" w:firstLine="749"/>
        <w:spacing w:after="0" w:line="266" w:lineRule="auto"/>
        <w:rPr>
          <w:sz w:val="20"/>
          <w:szCs w:val="20"/>
          <w:color w:val="auto"/>
        </w:rPr>
      </w:pPr>
      <w:r>
        <w:rPr>
          <w:rFonts w:ascii="Times New Roman" w:cs="Times New Roman" w:eastAsia="Times New Roman" w:hAnsi="Times New Roman"/>
          <w:sz w:val="18"/>
          <w:szCs w:val="18"/>
          <w:color w:val="auto"/>
        </w:rPr>
        <w:t>For further information on our loss reserving methodology, see “Management’s Discussion and Analysis-Critical Accounting Policies and Estimates- Reserve for Losses and Loss Adjustment Expenses” in our 2024 Annual Report on Form 10-K.</w:t>
      </w:r>
    </w:p>
    <w:p>
      <w:pPr>
        <w:spacing w:after="0" w:line="1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4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29"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We buy multiple types of reinsurance including treaty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18"/>
          <w:szCs w:val="18"/>
          <w:color w:val="auto"/>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spacing w:after="0" w:line="154"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utilize collateralized protection from the insurance-linked securities market through catastrophe bonds issued via Torrey Pines Re Ltd., a Bermuda-domiciled special purpose insurer. We closed a $525 million catastrophe bond in the second quarter of 2025, effective June 1, 2025 through June 1, 2028; a $420 million catastrophe bond in the second quarter of 2024, effective June 1, 2024 through June 1, 2027; a $200 million catastrophe bond in the second quarter of 2023, effective June 1, 2023 through June 1, 2026; and a $275 million 144A catastrophe bond in the second quarter of 2022, effective June 1, 2022 through June 1, 2025. These catastrophe bonds provide indemnity-based reinsurance coverage for earthquake events.</w:t>
      </w:r>
    </w:p>
    <w:p>
      <w:pPr>
        <w:spacing w:after="0" w:line="155" w:lineRule="exact"/>
        <w:rPr>
          <w:sz w:val="20"/>
          <w:szCs w:val="20"/>
          <w:color w:val="auto"/>
        </w:rPr>
      </w:pPr>
    </w:p>
    <w:p>
      <w:pPr>
        <w:ind w:right="680" w:firstLine="749"/>
        <w:spacing w:after="0" w:line="266" w:lineRule="auto"/>
        <w:rPr>
          <w:sz w:val="20"/>
          <w:szCs w:val="20"/>
          <w:color w:val="auto"/>
        </w:rPr>
      </w:pPr>
      <w:r>
        <w:rPr>
          <w:rFonts w:ascii="Times New Roman" w:cs="Times New Roman" w:eastAsia="Times New Roman" w:hAnsi="Times New Roman"/>
          <w:sz w:val="18"/>
          <w:szCs w:val="18"/>
          <w:color w:val="auto"/>
        </w:rPr>
        <w:t>We may seek similar catastrophe bond offerings in the future. However, there can be no assurance that we will be able to complete such offerings on acceptable terms, if at all.</w:t>
      </w:r>
    </w:p>
    <w:p>
      <w:pPr>
        <w:spacing w:after="0" w:line="135"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spacing w:after="0" w:line="150"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spacing w:after="0" w:line="137"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38" w:lineRule="exact"/>
        <w:rPr>
          <w:sz w:val="20"/>
          <w:szCs w:val="20"/>
          <w:color w:val="auto"/>
        </w:rPr>
      </w:pPr>
    </w:p>
    <w:p>
      <w:pPr>
        <w:jc w:val="both"/>
        <w:ind w:right="5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reliance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48"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methods rely on estimates, models, data, and scenarios that may not accurately predict actual outcomes. Consequently, we could incur losses both in the risks we underwrite and to the value of our investment portfolio due to the overall impact on financial markets from the occurrence of catastrophe events.</w:t>
      </w:r>
    </w:p>
    <w:p>
      <w:pPr>
        <w:spacing w:after="0" w:line="141"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firstLine="749"/>
        <w:spacing w:after="0" w:line="245" w:lineRule="auto"/>
        <w:rPr>
          <w:sz w:val="20"/>
          <w:szCs w:val="20"/>
          <w:color w:val="auto"/>
        </w:rPr>
      </w:pPr>
      <w:r>
        <w:rPr>
          <w:rFonts w:ascii="Times New Roman" w:cs="Times New Roman" w:eastAsia="Times New Roman" w:hAnsi="Times New Roman"/>
          <w:sz w:val="18"/>
          <w:szCs w:val="18"/>
          <w:color w:val="auto"/>
        </w:rPr>
        <w:t>We run many model simulations to evaluate the impact of these assumptions on a catastrophe’s loss potential. Furthermore, there are risks associated with catastrophe events, which are either poorly represented or not represented at all by catastrophe models. Climate change, evolving catastrophe patterns, and the emergence of secondary perils such as severe inland flooding, wildfires, and convective storms may further increase both the frequency and severity of catastrophe events. Limited historical data for certain perils, along with changes in climate and loss patterns, may reduce the reliability of catastrophe models and stress the assumptions on which we rely to price risk, manage exposures, and purchase reinsurance. Each modeling assumption or un-modeled risk introduces uncertainty into probable maximum loss estimates that management must consider. These uncertainties can include, but are not limited to, the following:</w:t>
      </w:r>
    </w:p>
    <w:p>
      <w:pPr>
        <w:spacing w:after="0" w:line="154" w:lineRule="exact"/>
        <w:rPr>
          <w:sz w:val="20"/>
          <w:szCs w:val="20"/>
          <w:color w:val="auto"/>
        </w:rPr>
      </w:pPr>
    </w:p>
    <w:p>
      <w:pPr>
        <w:ind w:left="1500" w:right="460" w:hanging="743"/>
        <w:spacing w:after="0" w:line="266" w:lineRule="auto"/>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or severity of events;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inflation on the magnitude of modeled losses;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184" w:lineRule="exact"/>
        <w:rPr>
          <w:rFonts w:ascii="Times New Roman" w:cs="Times New Roman" w:eastAsia="Times New Roman" w:hAnsi="Times New Roman"/>
          <w:sz w:val="18"/>
          <w:szCs w:val="18"/>
          <w:color w:val="auto"/>
        </w:rPr>
      </w:pPr>
    </w:p>
    <w:p>
      <w:pPr>
        <w:ind w:left="1500" w:right="80" w:hanging="743"/>
        <w:spacing w:after="0" w:line="266" w:lineRule="auto"/>
        <w:tabs>
          <w:tab w:leader="none" w:pos="1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13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As a result, our reliance on assumptions, data, and models to evaluate our entire risk portfolio and specifically to estimate a probable maximum loss is subject to a high degree of uncertainty that could result in actual losses that are materially different from our probable maximum loss estimates could adversely impact our financial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18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September 30, 2025, A.M. Best has assigned a financial strength rating of “A” (Excellent) (Outlook Stable) to our insurance company subsidiaries, Palomar Specialty Insurance Company (“PSIC”) and Palomar Excess and Surplus Insurance Company (“PESIC”). First Indemnity of America Insurance Co. (“FIA”) carries an “A-” (Stable) rating from A.M. Best.</w:t>
      </w:r>
    </w:p>
    <w:p>
      <w:pPr>
        <w:spacing w:after="0" w:line="155"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18"/>
          <w:szCs w:val="18"/>
          <w:color w:val="auto"/>
        </w:rPr>
        <w:t>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55" w:lineRule="exact"/>
        <w:rPr>
          <w:sz w:val="20"/>
          <w:szCs w:val="20"/>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hanging="743"/>
        <w:spacing w:after="0"/>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18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35" w:lineRule="exact"/>
        <w:rPr>
          <w:sz w:val="20"/>
          <w:szCs w:val="20"/>
          <w:color w:val="auto"/>
        </w:rPr>
      </w:pPr>
    </w:p>
    <w:p>
      <w:pPr>
        <w:ind w:left="1500" w:hanging="743"/>
        <w:spacing w:after="0"/>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171"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customers could be negatively and adversely impacted by pandemics, disease outbreaks and other public health crises.</w:t>
      </w:r>
    </w:p>
    <w:p>
      <w:pPr>
        <w:spacing w:after="0" w:line="175" w:lineRule="exact"/>
        <w:rPr>
          <w:sz w:val="20"/>
          <w:szCs w:val="20"/>
          <w:color w:val="auto"/>
        </w:rPr>
      </w:pPr>
    </w:p>
    <w:p>
      <w:pPr>
        <w:ind w:right="140" w:firstLine="749"/>
        <w:spacing w:after="0" w:line="245" w:lineRule="auto"/>
        <w:rPr>
          <w:sz w:val="20"/>
          <w:szCs w:val="20"/>
          <w:color w:val="auto"/>
        </w:rPr>
      </w:pPr>
      <w:r>
        <w:rPr>
          <w:rFonts w:ascii="Times New Roman" w:cs="Times New Roman" w:eastAsia="Times New Roman" w:hAnsi="Times New Roman"/>
          <w:sz w:val="18"/>
          <w:szCs w:val="18"/>
          <w:color w:val="auto"/>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154"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we are exposed more significantly to California loss activity and regulatory environments.</w:t>
      </w:r>
    </w:p>
    <w:p>
      <w:pPr>
        <w:spacing w:after="0" w:line="175"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which generated 43% of our gross written premiums for the year ended December 31, 2024 and 31% for the nine months ended September 30, 2025.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This may include catastrophes even where we do not insure against the loss, such as the 2025 California wildfires, as homes and businesses lost or damaged due to catastrophe may otherwise cancel our policies following such event. Additionally, unfavorable business, economic or regulatory conditions in California may result in a significant reduction of our premiums or increase our loss exposure. Changes to insurance-related laws or regulations in California could also have a negative impact on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189"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In particular, our future success is substantially dependent on the continued service of our Founder, Chief Executive Officer and Chairman, Mac Armstrong, our Chief Financial Officer, Christopher Uchida and our President, Jon Christianson.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w:t>
      </w:r>
    </w:p>
    <w:p>
      <w:pPr>
        <w:spacing w:after="0" w:line="175" w:lineRule="exact"/>
        <w:rPr>
          <w:sz w:val="20"/>
          <w:szCs w:val="20"/>
          <w:color w:val="auto"/>
        </w:rPr>
      </w:pPr>
    </w:p>
    <w:p>
      <w:pPr>
        <w:ind w:right="40" w:firstLine="749"/>
        <w:spacing w:after="0" w:line="247"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spacing w:after="0" w:line="1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 ended December 31, 2024, our largest program administrator distributed $403.4 million or 26.2% of our gross written premiums.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program administrators which distributed greater than 10% of our gross written premiums for the year ended December 31, 2024.</w:t>
      </w:r>
    </w:p>
    <w:p>
      <w:pPr>
        <w:spacing w:after="0" w:line="15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2025, our largest program administrator distributed $310.4 million or 20.2% of our gross written premiums and our second largest program administrator distributed $197.2 million or 12.8% of our gross written premiums. There were no other program administrators which distributed greater than 10% of our gross written premiums for the nine months ended September 30, 2025.</w:t>
      </w:r>
    </w:p>
    <w:p>
      <w:pPr>
        <w:spacing w:after="0" w:line="142"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spacing w:after="0" w:line="114" w:lineRule="exact"/>
        <w:rPr>
          <w:sz w:val="20"/>
          <w:szCs w:val="20"/>
          <w:color w:val="auto"/>
        </w:rPr>
      </w:pPr>
    </w:p>
    <w:p>
      <w:pPr>
        <w:ind w:right="66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established guidelines, our results of operations could be adversely affected.</w:t>
      </w:r>
    </w:p>
    <w:p>
      <w:pPr>
        <w:spacing w:after="0" w:line="15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3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0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58" w:lineRule="exact"/>
        <w:rPr>
          <w:sz w:val="20"/>
          <w:szCs w:val="20"/>
          <w:color w:val="auto"/>
        </w:rPr>
      </w:pPr>
    </w:p>
    <w:p>
      <w:pPr>
        <w:ind w:right="20" w:firstLine="749"/>
        <w:spacing w:after="0" w:line="211" w:lineRule="exact"/>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needed basis. If we are unable to collect premiums from our brokers in the future, our underwriting profits may decline, and our financial condition and results of operations could be materially and adversely affected.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189"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41"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50" w:lineRule="exact"/>
        <w:rPr>
          <w:sz w:val="20"/>
          <w:szCs w:val="20"/>
          <w:color w:val="auto"/>
        </w:rPr>
      </w:pPr>
    </w:p>
    <w:p>
      <w:pPr>
        <w:ind w:right="460" w:firstLine="749"/>
        <w:spacing w:after="0" w:line="250"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spacing w:after="0" w:line="15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64" w:lineRule="exact"/>
        <w:rPr>
          <w:sz w:val="20"/>
          <w:szCs w:val="20"/>
          <w:color w:val="auto"/>
        </w:rPr>
      </w:pPr>
    </w:p>
    <w:p>
      <w:pPr>
        <w:ind w:right="100" w:firstLine="749"/>
        <w:spacing w:after="0" w:line="222" w:lineRule="exact"/>
        <w:rPr>
          <w:sz w:val="20"/>
          <w:szCs w:val="20"/>
          <w:color w:val="auto"/>
        </w:rPr>
      </w:pPr>
      <w:r>
        <w:rPr>
          <w:rFonts w:ascii="Times New Roman" w:cs="Times New Roman" w:eastAsia="Times New Roman" w:hAnsi="Times New Roman"/>
          <w:sz w:val="18"/>
          <w:szCs w:val="18"/>
          <w:color w:val="auto"/>
        </w:rPr>
        <w:t>Most of our insurance policies are written for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143"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31" w:lineRule="exact"/>
        <w:rPr>
          <w:sz w:val="20"/>
          <w:szCs w:val="20"/>
          <w:color w:val="auto"/>
        </w:rPr>
      </w:pPr>
    </w:p>
    <w:p>
      <w:pPr>
        <w:jc w:val="both"/>
        <w:ind w:right="40" w:firstLine="749"/>
        <w:spacing w:after="0" w:line="247" w:lineRule="auto"/>
        <w:rPr>
          <w:sz w:val="20"/>
          <w:szCs w:val="20"/>
          <w:color w:val="auto"/>
        </w:rPr>
      </w:pPr>
      <w:r>
        <w:rPr>
          <w:rFonts w:ascii="Times New Roman" w:cs="Times New Roman" w:eastAsia="Times New Roman" w:hAnsi="Times New Roman"/>
          <w:sz w:val="18"/>
          <w:szCs w:val="18"/>
          <w:color w:val="auto"/>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our ability to develop or select and implement appropriate procedures and systems to support our claims functions and other factors.</w:t>
      </w:r>
    </w:p>
    <w:p>
      <w:pPr>
        <w:spacing w:after="0" w:line="2" w:lineRule="exact"/>
        <w:rPr>
          <w:sz w:val="20"/>
          <w:szCs w:val="20"/>
          <w:color w:val="auto"/>
        </w:rPr>
      </w:pPr>
    </w:p>
    <w:p>
      <w:pPr>
        <w:ind w:right="520"/>
        <w:spacing w:after="0" w:line="243" w:lineRule="auto"/>
        <w:rPr>
          <w:sz w:val="20"/>
          <w:szCs w:val="20"/>
          <w:color w:val="auto"/>
        </w:rPr>
      </w:pPr>
      <w:r>
        <w:rPr>
          <w:rFonts w:ascii="Times New Roman" w:cs="Times New Roman" w:eastAsia="Times New Roman" w:hAnsi="Times New Roman"/>
          <w:sz w:val="18"/>
          <w:szCs w:val="18"/>
          <w:color w:val="auto"/>
        </w:rPr>
        <w:t>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55"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189"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189"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18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175"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only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189" w:lineRule="exact"/>
        <w:rPr>
          <w:sz w:val="20"/>
          <w:szCs w:val="20"/>
          <w:color w:val="auto"/>
        </w:rPr>
      </w:pPr>
    </w:p>
    <w:p>
      <w:pPr>
        <w:ind w:right="260" w:firstLine="749"/>
        <w:spacing w:after="0" w:line="246"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spacing w:after="0" w:line="13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evaluation of potential acquisitions, the integration of acquired businesses, and the introduction of new products, lines of business, and markets.</w:t>
      </w:r>
    </w:p>
    <w:p>
      <w:pPr>
        <w:spacing w:after="0" w:line="105"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18"/>
          <w:szCs w:val="18"/>
          <w:color w:val="auto"/>
        </w:rPr>
        <w:t>As part of our business strategy, we may make acquisitions, including acquisitions in lines of business that are natural adjacencies. For example, we recently completed the acquisition of FIA in January 2025 and the acquisition of substantially all of the assets acquired and assumed certain liabilities of AAP in April 2025. The success of our acquisition strategy is dependent upon our ability to identify appropriate acquisition targets, negotiate transactions on favorable terms, complete transactions, have adequate access to financing and the ability to finance acquisitions on acceptable terms, and successfully integrate them into our existing businesses. We may not realize the anticipated benefits of acquisitions we have completed or may complete in the future, and we may not be able to incorporate any acquired lines of business with our existing operations, or integrate personnel from the acquired businesses, in which case our business, financial condition and results of operations could be harmed.</w:t>
      </w:r>
    </w:p>
    <w:p>
      <w:pPr>
        <w:spacing w:after="0" w:line="154"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18"/>
          <w:szCs w:val="18"/>
          <w:color w:val="auto"/>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that have been, or will be,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18"/>
          <w:szCs w:val="18"/>
          <w:color w:val="auto"/>
        </w:rPr>
        <w:t>In addition, many of the businesses that we acquire and develop will likely have smaller scales of operations prior to the implementation of our growth strategy. If our growth continues, it may place a significant strain on our management team and on our operational and financial systems, procedures, and controls. If we are not able to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spacing w:after="0" w:line="154" w:lineRule="exact"/>
        <w:rPr>
          <w:sz w:val="20"/>
          <w:szCs w:val="20"/>
          <w:color w:val="auto"/>
        </w:rPr>
      </w:pPr>
    </w:p>
    <w:p>
      <w:pPr>
        <w:ind w:right="100" w:firstLine="749"/>
        <w:spacing w:after="0" w:line="246" w:lineRule="auto"/>
        <w:rPr>
          <w:sz w:val="20"/>
          <w:szCs w:val="20"/>
          <w:color w:val="auto"/>
        </w:rPr>
      </w:pPr>
      <w:r>
        <w:rPr>
          <w:rFonts w:ascii="Times New Roman" w:cs="Times New Roman" w:eastAsia="Times New Roman" w:hAnsi="Times New Roman"/>
          <w:sz w:val="18"/>
          <w:szCs w:val="18"/>
          <w:color w:val="auto"/>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spacing w:after="0" w:line="154"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Failure to manage these risks arising from acquisitions or development of new businesses could materially and adversely affect our business, results of operations, and financial condition.</w:t>
      </w:r>
    </w:p>
    <w:p>
      <w:pPr>
        <w:spacing w:after="0" w:line="9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term prospects.</w:t>
      </w:r>
    </w:p>
    <w:p>
      <w:pPr>
        <w:spacing w:after="0" w:line="212"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spacing w:after="0" w:line="13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 addition, the insurance and reinsurance business historically has been a cyclical industry characterized by periods of intense price competition due to excess underwriting capacity (soft market cycle) as well as periods when shortages of capacity increase premium levels (hard market cycle). We expect our business and results of operations to be continuously impacted by these market cycles.</w:t>
      </w:r>
    </w:p>
    <w:p>
      <w:pPr>
        <w:spacing w:after="0" w:line="142" w:lineRule="exact"/>
        <w:rPr>
          <w:sz w:val="20"/>
          <w:szCs w:val="20"/>
          <w:color w:val="auto"/>
        </w:rPr>
      </w:pPr>
    </w:p>
    <w:p>
      <w:pPr>
        <w:ind w:right="380" w:firstLine="749"/>
        <w:spacing w:after="0" w:line="221" w:lineRule="exact"/>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 tangible equity may result in fluctuations in gross written premiums, reinsurance expenses, loss expenses, and other underwriting expenses from period to period as we concentrate on underwriting contracts that we believe will generate better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rather than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Accordingly,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of operations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prospects.</w:t>
      </w:r>
    </w:p>
    <w:p>
      <w:pPr>
        <w:spacing w:after="0" w:line="11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3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certain lenders which provides a revolving credit facility of up to $100.0 million. Borrowings under the Credit Agreement may impact our business and financial condition by:</w:t>
      </w:r>
    </w:p>
    <w:p>
      <w:pPr>
        <w:spacing w:after="0" w:line="135" w:lineRule="exact"/>
        <w:rPr>
          <w:sz w:val="20"/>
          <w:szCs w:val="20"/>
          <w:color w:val="auto"/>
        </w:rPr>
      </w:pPr>
    </w:p>
    <w:p>
      <w:pPr>
        <w:ind w:left="1500" w:right="160" w:hanging="743"/>
        <w:spacing w:after="0" w:line="266" w:lineRule="auto"/>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pacing w:after="0" w:line="185" w:lineRule="exact"/>
        <w:rPr>
          <w:sz w:val="20"/>
          <w:szCs w:val="20"/>
          <w:color w:val="auto"/>
        </w:rPr>
      </w:pPr>
    </w:p>
    <w:p>
      <w:pPr>
        <w:ind w:right="40" w:firstLine="749"/>
        <w:spacing w:after="0" w:line="243" w:lineRule="auto"/>
        <w:rPr>
          <w:sz w:val="20"/>
          <w:szCs w:val="20"/>
          <w:color w:val="auto"/>
        </w:rPr>
      </w:pPr>
      <w:r>
        <w:rPr>
          <w:rFonts w:ascii="Times New Roman" w:cs="Times New Roman" w:eastAsia="Times New Roman" w:hAnsi="Times New Roman"/>
          <w:sz w:val="18"/>
          <w:szCs w:val="18"/>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 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crop prices, as a result of weather conditions or other events, could adversely impact our results of operations.</w:t>
      </w:r>
    </w:p>
    <w:p>
      <w:pPr>
        <w:spacing w:after="0" w:line="18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Weather conditions, including too much moisture (flooding or excessive rain), not enough moisture (droughts), and the level of crop prices in the commodities market heavily impact our crop insurance products. These factors are inherently unpredictable and could result in significant volatility in our operating results from one year to the next. Our results could also be negatively impacted by pests and plant disease. A large decline in the commodity prices of one or more of the major crops that we insure could have a material adverse effect on our results of operations or financial condition.</w:t>
      </w:r>
    </w:p>
    <w:p>
      <w:pPr>
        <w:spacing w:after="0" w:line="13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Instability in the surety market, resulting from construction defaults, contractual disputes, or evolving regulatory requirements, could negatively impact the performance of our surety products;</w:t>
      </w:r>
    </w:p>
    <w:p>
      <w:pPr>
        <w:spacing w:after="0" w:line="105"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Fluctuations in construction industry performance, defaults on bonded projects, contractual disagreements and regulatory changes are inherent risks in the surety insurance industry. These events may lead to significant challenges in underwriting, claims management, and regulatory compliance. Depending on our ability to effectively manage the impact of these risks, we could face increased loss reserves, higher underwriting losses, and rising operational costs, all of which could materially affect our financial performance and overall profitability.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17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41"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15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underwrite a significant portion of our insurance in California. An economic downturn which particularly impacts California could have an adverse effect on our financial condition and results of operations.</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trade policies, including the imposition of tariffs, along with broader economic uncertainty, could contribute to financial market volatility, shifts in interest rates, and disruptions to the sectors we insure.</w:t>
      </w:r>
    </w:p>
    <w:p>
      <w:pPr>
        <w:spacing w:after="0" w:line="105"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Ongoing global economic uncertainty, including the effects of inflation, interest rate volatility, and changes in international trade policies such as the imposition of tariffs, could have wide-ranging impacts on the markets in which we operate. These conditions may lead to shifts in consumer behavior, changes in exposure levels across personal and commercial lines, and increased costs associated with claims, operations, and policy administration. In addition, market volatility may negatively impact the performance of our investment portfolio and influence policyholder behavior. Together, these developments could adversely affect our financial results, capital position, and ability to execute our long-term business strategy.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Investment Committee. Our investments are subject to general economic conditions and market risks as well as risks inherent to particular securities.</w:t>
      </w:r>
    </w:p>
    <w:p>
      <w:pPr>
        <w:spacing w:after="0" w:line="129" w:lineRule="exact"/>
        <w:rPr>
          <w:sz w:val="20"/>
          <w:szCs w:val="20"/>
          <w:color w:val="auto"/>
        </w:rPr>
      </w:pPr>
    </w:p>
    <w:p>
      <w:pPr>
        <w:ind w:right="80" w:firstLine="749"/>
        <w:spacing w:after="0" w:line="217" w:lineRule="exact"/>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 carry prepayment risk or, in a rising interest rate environment, may not prepay as quickly as expected.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40" w:firstLine="749"/>
        <w:spacing w:after="0" w:line="250"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spacing w:after="0" w:line="150" w:lineRule="exact"/>
        <w:rPr>
          <w:sz w:val="20"/>
          <w:szCs w:val="20"/>
          <w:color w:val="auto"/>
        </w:rPr>
      </w:pPr>
    </w:p>
    <w:p>
      <w:pPr>
        <w:ind w:right="60" w:firstLine="749"/>
        <w:spacing w:after="0" w:line="250" w:lineRule="auto"/>
        <w:rPr>
          <w:sz w:val="20"/>
          <w:szCs w:val="20"/>
          <w:color w:val="auto"/>
        </w:rPr>
      </w:pPr>
      <w:r>
        <w:rPr>
          <w:rFonts w:ascii="Times New Roman" w:cs="Times New Roman" w:eastAsia="Times New Roman" w:hAnsi="Times New Roman"/>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37" w:lineRule="exact"/>
        <w:rPr>
          <w:sz w:val="20"/>
          <w:szCs w:val="20"/>
          <w:color w:val="auto"/>
        </w:rPr>
      </w:pPr>
    </w:p>
    <w:p>
      <w:pPr>
        <w:ind w:right="200" w:firstLine="749"/>
        <w:spacing w:after="0" w:line="312" w:lineRule="auto"/>
        <w:rPr>
          <w:sz w:val="20"/>
          <w:szCs w:val="20"/>
          <w:color w:val="auto"/>
        </w:rPr>
      </w:pPr>
      <w:r>
        <w:rPr>
          <w:rFonts w:ascii="Times New Roman" w:cs="Times New Roman" w:eastAsia="Times New Roman" w:hAnsi="Times New Roman"/>
          <w:sz w:val="17"/>
          <w:szCs w:val="17"/>
          <w:color w:val="auto"/>
        </w:rPr>
        <w:t>We also invest in marketable equity securities. These securities are carried on the balance sheet at fair market value and are subject to potential losses and declines in market value based on the performance of equity markets. Our equity securities totaled $52.2 million as of September 30, 2025.</w:t>
      </w:r>
    </w:p>
    <w:p>
      <w:pPr>
        <w:spacing w:after="0" w:line="86" w:lineRule="exact"/>
        <w:rPr>
          <w:sz w:val="20"/>
          <w:szCs w:val="20"/>
          <w:color w:val="auto"/>
        </w:rPr>
      </w:pPr>
    </w:p>
    <w:p>
      <w:pPr>
        <w:ind w:right="80" w:firstLine="749"/>
        <w:spacing w:after="0" w:line="250" w:lineRule="auto"/>
        <w:rPr>
          <w:sz w:val="20"/>
          <w:szCs w:val="20"/>
          <w:color w:val="auto"/>
        </w:rPr>
      </w:pPr>
      <w:r>
        <w:rPr>
          <w:rFonts w:ascii="Times New Roman" w:cs="Times New Roman" w:eastAsia="Times New Roman" w:hAnsi="Times New Roman"/>
          <w:sz w:val="18"/>
          <w:szCs w:val="18"/>
          <w:color w:val="auto"/>
        </w:rPr>
        <w:t>In addition, our investment portfolio includes livestock put option contracts designated as cash flow hedges, which are recorded in Other investments at fair value. These derivatives are used to manage exposure to variability in certain forecasted underwriting-related cash flows. The fair value of these derivatives was approximately $4.4 million as of September 30, 2025, and the related activity was immaterial to the Company’s consolidated financial statements.</w:t>
      </w:r>
    </w:p>
    <w:p>
      <w:pPr>
        <w:spacing w:after="0" w:line="150"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and the respective state insurance departments regulating each of our insurance company subsidiaries.</w:t>
      </w:r>
    </w:p>
    <w:p>
      <w:pPr>
        <w:spacing w:after="0" w:line="13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42"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50"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We may, in certain circumstances, invest a small percentage of our investment portfolio in private companies or limited partnerships which we believe provide strategic opportunities.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89"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15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our information technology and telecommunications systems could adversely affect our business.</w:t>
      </w:r>
    </w:p>
    <w:p>
      <w:pPr>
        <w:spacing w:after="0" w:line="175" w:lineRule="exact"/>
        <w:rPr>
          <w:sz w:val="20"/>
          <w:szCs w:val="20"/>
          <w:color w:val="auto"/>
        </w:rPr>
      </w:pPr>
    </w:p>
    <w:p>
      <w:pPr>
        <w:ind w:firstLine="749"/>
        <w:spacing w:after="0" w:line="210" w:lineRule="exact"/>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us to liability and damage our reputation and business.</w:t>
      </w:r>
    </w:p>
    <w:p>
      <w:pPr>
        <w:spacing w:after="0" w:line="175" w:lineRule="exact"/>
        <w:rPr>
          <w:sz w:val="20"/>
          <w:szCs w:val="20"/>
          <w:color w:val="auto"/>
        </w:rPr>
      </w:pPr>
    </w:p>
    <w:p>
      <w:pPr>
        <w:ind w:right="340" w:firstLine="749"/>
        <w:spacing w:after="0" w:line="218" w:lineRule="exact"/>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or other disruptions.</w:t>
      </w:r>
    </w:p>
    <w:p>
      <w:pPr>
        <w:spacing w:after="0" w:line="118" w:lineRule="exact"/>
        <w:rPr>
          <w:sz w:val="20"/>
          <w:szCs w:val="20"/>
          <w:color w:val="auto"/>
        </w:rPr>
      </w:pPr>
    </w:p>
    <w:p>
      <w:pPr>
        <w:ind w:right="260" w:firstLine="749"/>
        <w:spacing w:after="0" w:line="238"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45"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47" w:lineRule="exact"/>
        <w:rPr>
          <w:sz w:val="20"/>
          <w:szCs w:val="20"/>
          <w:color w:val="auto"/>
        </w:rPr>
      </w:pPr>
    </w:p>
    <w:p>
      <w:pPr>
        <w:ind w:right="160" w:firstLine="749"/>
        <w:spacing w:after="0" w:line="206" w:lineRule="exact"/>
        <w:rPr>
          <w:sz w:val="20"/>
          <w:szCs w:val="20"/>
          <w:color w:val="auto"/>
        </w:rPr>
      </w:pPr>
      <w:r>
        <w:rPr>
          <w:rFonts w:ascii="Times New Roman" w:cs="Times New Roman" w:eastAsia="Times New Roman" w:hAnsi="Times New Roman"/>
          <w:sz w:val="18"/>
          <w:szCs w:val="18"/>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 or inappropriate access, or other developments will not compromise or breach the technology or other security measures protecting the networks and systems used in connection with our business.</w:t>
      </w:r>
    </w:p>
    <w:p>
      <w:pPr>
        <w:spacing w:after="0" w:line="118"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employ third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party licensed software for use in our business, and the inability to maintain these licenses, problems with the software we license, or increases to the cost of software licenses could adversely affect our business.</w:t>
      </w:r>
    </w:p>
    <w:p>
      <w:pPr>
        <w:spacing w:after="0" w:line="104" w:lineRule="exact"/>
        <w:rPr>
          <w:sz w:val="20"/>
          <w:szCs w:val="20"/>
          <w:color w:val="auto"/>
        </w:rPr>
      </w:pPr>
    </w:p>
    <w:p>
      <w:pPr>
        <w:ind w:firstLine="749"/>
        <w:spacing w:after="0" w:line="213" w:lineRule="exact"/>
        <w:rPr>
          <w:sz w:val="20"/>
          <w:szCs w:val="20"/>
          <w:color w:val="auto"/>
        </w:rPr>
      </w:pPr>
      <w:r>
        <w:rPr>
          <w:rFonts w:ascii="Times New Roman" w:cs="Times New Roman" w:eastAsia="Times New Roman" w:hAnsi="Times New Roman"/>
          <w:sz w:val="18"/>
          <w:szCs w:val="18"/>
          <w:color w:val="auto"/>
        </w:rPr>
        <w:t>Multiple areas of our business rely on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obtained under licenses from other companies. We anticipate that we will continue to rely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in the future. Unforeseen issues may arise in third-party software platforms which may have an adverse impact on our operations. Integration of new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software cannot be eliminated, and these risks could negatively affect our business.</w:t>
      </w:r>
    </w:p>
    <w:p>
      <w:pPr>
        <w:spacing w:after="0" w:line="122" w:lineRule="exact"/>
        <w:rPr>
          <w:sz w:val="20"/>
          <w:szCs w:val="20"/>
          <w:color w:val="auto"/>
        </w:rPr>
      </w:pPr>
    </w:p>
    <w:p>
      <w:pPr>
        <w:ind w:right="180" w:firstLine="749"/>
        <w:spacing w:after="0" w:line="203" w:lineRule="exact"/>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control weakness or failure in cloud-based software could adversely affect our business.</w:t>
      </w:r>
    </w:p>
    <w:p>
      <w:pPr>
        <w:spacing w:after="0" w:line="175"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18"/>
          <w:szCs w:val="18"/>
          <w:color w:val="auto"/>
        </w:rPr>
        <w:t>We use cloud-based third-party software to host applications and for key financial and operational systems and we expect to expand their use in the future. We will increasingly rely on third-party software providers to maintain appropriate controls and safeguards to protect the integrity of our data and any information we transmit, including personal, personally identifiable, sensitive, confidential or proprietary information. While we conduct due diligence on these cloud providers with respect to their security and business controls, we may not have the visibility to effectively monitor the implementation and efficacy of these controls. If these controls do not operate effectively, we may not be able to rely on their software and cyber attackers may be able to exploit vulnerabilities, resulting in operational disruption, data loss, defects or a cybersecurity event. Migrating our software to the cloud increases the risk of operational disruption should internet service be interrupted. While we have implemented business contingency and other plans to facilitate continuous internet access, sustained or concurrent service denials or similar failures could limit our ability</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to write and process new and renewal business, provide customer service, pay claims in a timely manner, maintain our accounting function, or otherwise operate our business. Any such event or failure could have a material adverse effect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growth and evolution of artificial intelligence (AI) may impact our business and operations</w:t>
      </w:r>
    </w:p>
    <w:p>
      <w:pPr>
        <w:spacing w:after="0" w:line="175"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18"/>
          <w:szCs w:val="18"/>
          <w:color w:val="auto"/>
        </w:rPr>
        <w:t>We or our third-party vendors, clients or counterparties may develop or incorporate AI technology in certain business processes, services or products. Our research and development of such technology remains ongoing, and AI algorithms and training methodologies may be flawed. Leveraging AI capabilities to potentially improve our internal operations also presents further risks, costs, and challenges. While we aim to develop and use AI responsibly and attempt to identify and mitigate ethical and legal issues presented by its use, we may be unsuccessful in identifying or resolving issues before they arise.</w:t>
      </w:r>
    </w:p>
    <w:p>
      <w:pPr>
        <w:spacing w:after="0" w:line="137"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18"/>
          <w:szCs w:val="18"/>
          <w:color w:val="auto"/>
        </w:rPr>
        <w:t>Our third-party software vendors and service providers are increasingly incorporating AI into their processes and this may expose us to additional risks should they not be able to incorporate the technology effectively. The evolution and increased reliance on AI may exacerbate our information technology and cybersecurity risks. Furthermore, regulations around AI continue to evolve and we may be subject to increased regulation around AI in the future. AI-related issues, deficiencies and/or failures could adversely impact our operations, damage our reputation, and give rise to legal and/or regulatory action.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185"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14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insurance company subsidiaries, PSIC, PESIC and FIA, are subject to extensive rules and regulations enforced by the insurance regulator of the state in which they are commercially domiciled. To a lesser degree, they are also subject to regulations in the other states in which they operate. Our Bermuda domiciled reinsurance subsidiary, Palomar Specialty Reinsurance Company Bermuda Ltd. (“PSRE”), is subject to regulation in Bermuda.</w:t>
      </w:r>
    </w:p>
    <w:p>
      <w:pPr>
        <w:spacing w:after="0" w:line="129"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18"/>
          <w:szCs w:val="18"/>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139"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18"/>
          <w:szCs w:val="18"/>
          <w:color w:val="auto"/>
        </w:rPr>
        <w:t>Our U.S. insurance subsidiaries are part of an “insurance holding company system” within the meaning of applicable state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respective state regulator, at least 30 days prior to engaging in the transaction, and the regulator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we may be subject to significant fines and penalties and our working relationship with the state insurance regulators may be impaired.</w:t>
      </w:r>
    </w:p>
    <w:p>
      <w:pPr>
        <w:spacing w:after="0" w:line="154"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19" w:lineRule="exact"/>
        <w:rPr>
          <w:sz w:val="20"/>
          <w:szCs w:val="20"/>
          <w:color w:val="auto"/>
        </w:rPr>
      </w:pPr>
    </w:p>
    <w:p>
      <w:pPr>
        <w:ind w:right="140" w:firstLine="749"/>
        <w:spacing w:after="0" w:line="220" w:lineRule="exact"/>
        <w:rPr>
          <w:sz w:val="20"/>
          <w:szCs w:val="20"/>
          <w:color w:val="auto"/>
        </w:rPr>
      </w:pPr>
      <w:r>
        <w:rPr>
          <w:rFonts w:ascii="Times New Roman" w:cs="Times New Roman" w:eastAsia="Times New Roman" w:hAnsi="Times New Roman"/>
          <w:sz w:val="18"/>
          <w:szCs w:val="18"/>
          <w:color w:val="auto"/>
        </w:rPr>
        <w:t>Our U.S. insurance subsidiaries are subject to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capital requirements, based upon the “risk-based capital model” adopted by the NAIC, and other minimum capital and surplus restrictions imposed under the laws of the state in which they are domiciled. These requirements establish the minimum amount of risk-based capital necessary for a company to support its overall business operations. It identifies property and casualty insurers that may be inadequately capitalized by looking at certain inherent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129" w:lineRule="exact"/>
        <w:rPr>
          <w:sz w:val="20"/>
          <w:szCs w:val="20"/>
          <w:color w:val="auto"/>
        </w:rPr>
      </w:pPr>
    </w:p>
    <w:p>
      <w:pPr>
        <w:ind w:right="300" w:firstLine="749"/>
        <w:spacing w:after="0" w:line="250" w:lineRule="auto"/>
        <w:rPr>
          <w:sz w:val="20"/>
          <w:szCs w:val="20"/>
          <w:color w:val="auto"/>
        </w:rPr>
      </w:pPr>
      <w:r>
        <w:rPr>
          <w:rFonts w:ascii="Times New Roman" w:cs="Times New Roman" w:eastAsia="Times New Roman" w:hAnsi="Times New Roman"/>
          <w:sz w:val="18"/>
          <w:szCs w:val="18"/>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w:t>
      </w:r>
    </w:p>
    <w:p>
      <w:pPr>
        <w:spacing w:after="0" w:line="150"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18"/>
          <w:szCs w:val="18"/>
          <w:color w:val="auto"/>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spacing w:after="0" w:line="137"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FIA is subject to regulation from the New Jersey Department of Banking and Insurance, which requires that FIA comply with New Jersey Statutes and Insurance Code. Failure to meet these regulatory requirements could result in substantial fines or penalties and may negatively affect FIA’s relationship with the New Jersey Department of Banking and Insurance.</w:t>
      </w:r>
    </w:p>
    <w:p>
      <w:pPr>
        <w:spacing w:after="0" w:line="13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31"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60" w:lineRule="exact"/>
        <w:rPr>
          <w:sz w:val="20"/>
          <w:szCs w:val="20"/>
          <w:color w:val="auto"/>
        </w:rPr>
      </w:pPr>
    </w:p>
    <w:p>
      <w:pPr>
        <w:jc w:val="both"/>
        <w:ind w:right="120" w:firstLine="749"/>
        <w:spacing w:after="0" w:line="250"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46"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Crop insurance premiums subject us to numerous regulations and non-compliance with the regulations or changes in the regulations may adversely impact our business</w:t>
      </w:r>
    </w:p>
    <w:p>
      <w:pPr>
        <w:spacing w:after="0" w:line="131"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18"/>
          <w:szCs w:val="18"/>
          <w:color w:val="auto"/>
        </w:rPr>
        <w:t>Palomar Crop Insurance Services, Inc. (“PCIS”) participates in the federal crop insurance program and is impacted by any regulatory and legislative changes affecting that program. For example, the reinsurance levels that the federal government provides to authorized carriers could be reduced by future legislation. Additionally, the United States Department of Agriculture’s Risk Management Agency (“RMA”) sets the policy terms and conditions, rates and forms and is also responsible for setting compliance standards for our Crop insurance policies. We report all details of policies to the RMA and are party to a Standard Reinsurance Agreement (“SRA”) which sets out the relationship between private insurance companies and the Federal Crop Insurance Corporation. Noncompliance with any of the aforementioned regulations or legislative changes to the federal crop insurance program may impact PCIS’ ability to write crop insurance premiums in the future.</w:t>
      </w:r>
    </w:p>
    <w:p>
      <w:pPr>
        <w:spacing w:after="0" w:line="353"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cybersecurity, which may have a material adverse impact on our business.</w:t>
      </w:r>
    </w:p>
    <w:p>
      <w:pPr>
        <w:spacing w:after="0" w:line="131" w:lineRule="exact"/>
        <w:rPr>
          <w:sz w:val="20"/>
          <w:szCs w:val="20"/>
          <w:color w:val="auto"/>
        </w:rPr>
      </w:pPr>
    </w:p>
    <w:p>
      <w:pPr>
        <w:ind w:right="20" w:firstLine="749"/>
        <w:spacing w:after="0" w:line="210" w:lineRule="exact"/>
        <w:rPr>
          <w:sz w:val="20"/>
          <w:szCs w:val="20"/>
          <w:color w:val="auto"/>
        </w:rPr>
      </w:pPr>
      <w:r>
        <w:rPr>
          <w:rFonts w:ascii="Times New Roman" w:cs="Times New Roman" w:eastAsia="Times New Roman" w:hAnsi="Times New Roman"/>
          <w:sz w:val="17"/>
          <w:szCs w:val="17"/>
          <w:color w:val="auto"/>
        </w:rPr>
        <w:t>Our business could be adversely affected by changes in state laws, including those relating to asset and reserve valuation requirements, surplus requirements, limitations on investments and dividends, enterprise risk and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increased scrutiny in many jurisdictions. As a result, the BMA has implemented and imposed additional requirements on the companies it regulates, which requirements could adversely impact the operations of PSRE.</w:t>
      </w:r>
    </w:p>
    <w:p>
      <w:pPr>
        <w:spacing w:after="0" w:line="13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Any 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29"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In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spacing w:after="0" w:line="137" w:lineRule="exact"/>
        <w:rPr>
          <w:sz w:val="20"/>
          <w:szCs w:val="20"/>
          <w:color w:val="auto"/>
        </w:rPr>
      </w:pPr>
    </w:p>
    <w:p>
      <w:pPr>
        <w:jc w:val="both"/>
        <w:ind w:right="160" w:firstLine="749"/>
        <w:spacing w:after="0" w:line="258"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129"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18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that we are required to pay, our business, financial condition and results of operations would suffer.</w:t>
      </w:r>
    </w:p>
    <w:p>
      <w:pPr>
        <w:spacing w:after="0" w:line="189"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5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50 states. As PSIC grows, its share of any assessments in each state in which it underwrites business on an admitted basis may increase.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4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05" w:lineRule="exact"/>
        <w:rPr>
          <w:sz w:val="20"/>
          <w:szCs w:val="20"/>
          <w:color w:val="auto"/>
        </w:rPr>
      </w:pPr>
    </w:p>
    <w:p>
      <w:pPr>
        <w:ind w:right="240" w:firstLine="749"/>
        <w:spacing w:after="0" w:line="211" w:lineRule="exact"/>
        <w:rPr>
          <w:sz w:val="20"/>
          <w:szCs w:val="20"/>
          <w:color w:val="auto"/>
        </w:rPr>
      </w:pPr>
      <w:r>
        <w:rPr>
          <w:rFonts w:ascii="Times New Roman" w:cs="Times New Roman" w:eastAsia="Times New Roman" w:hAnsi="Times New Roman"/>
          <w:sz w:val="17"/>
          <w:szCs w:val="17"/>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PSRE and FIA. Insurance laws in jurisdictions such as various U.S. states and Bermuda restrict the ability of our subsidiaries to declare stockholder dividends. State insurance regulators require insurance companies to maintain specified levels of statutory capital and surplus. The maximum dividend distribution absent the approval 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disapproval of the insurance regulatory authority in Oregon, California, Arizona, and New Jersey is limited by Oregon law at ORS</w:t>
      </w:r>
    </w:p>
    <w:p>
      <w:pPr>
        <w:spacing w:after="0" w:line="1" w:lineRule="exact"/>
        <w:rPr>
          <w:sz w:val="20"/>
          <w:szCs w:val="20"/>
          <w:color w:val="auto"/>
        </w:rPr>
      </w:pPr>
    </w:p>
    <w:p>
      <w:pPr>
        <w:ind w:right="320"/>
        <w:spacing w:after="0" w:line="243" w:lineRule="auto"/>
        <w:rPr>
          <w:sz w:val="20"/>
          <w:szCs w:val="20"/>
          <w:color w:val="auto"/>
        </w:rPr>
      </w:pPr>
      <w:r>
        <w:rPr>
          <w:rFonts w:ascii="Times New Roman" w:cs="Times New Roman" w:eastAsia="Times New Roman" w:hAnsi="Times New Roman"/>
          <w:sz w:val="18"/>
          <w:szCs w:val="18"/>
          <w:color w:val="auto"/>
        </w:rPr>
        <w:t>732.576, California law at Cal. Ins. Code 1215.5(g), Arizona Revised Statute 20-481, and New Jersey statute N.J.S.A 17:27A-4. Under Oregon statute, dividend payments from PSIC are further limited to that part of available policyholder surplus that is derived from net profits on our business.</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PESIC, and FIA may in the future adopt statutory provisions more restrictive than those currently in effect.</w:t>
      </w:r>
    </w:p>
    <w:p>
      <w:pPr>
        <w:spacing w:after="0" w:line="129" w:lineRule="exact"/>
        <w:rPr>
          <w:sz w:val="20"/>
          <w:szCs w:val="20"/>
          <w:color w:val="auto"/>
        </w:rPr>
      </w:pPr>
    </w:p>
    <w:p>
      <w:pPr>
        <w:ind w:right="20" w:firstLine="749"/>
        <w:spacing w:after="0" w:line="250"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37" w:lineRule="exact"/>
        <w:rPr>
          <w:sz w:val="20"/>
          <w:szCs w:val="20"/>
          <w:color w:val="auto"/>
        </w:rPr>
      </w:pPr>
    </w:p>
    <w:p>
      <w:pPr>
        <w:jc w:val="both"/>
        <w:ind w:right="180" w:firstLine="749"/>
        <w:spacing w:after="0" w:line="250"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175" w:lineRule="exact"/>
        <w:rPr>
          <w:sz w:val="20"/>
          <w:szCs w:val="20"/>
          <w:color w:val="auto"/>
        </w:rPr>
      </w:pPr>
    </w:p>
    <w:p>
      <w:pPr>
        <w:ind w:right="100" w:firstLine="749"/>
        <w:spacing w:after="0" w:line="247"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4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49"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18"/>
          <w:szCs w:val="18"/>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50"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31" w:lineRule="exact"/>
        <w:rPr>
          <w:sz w:val="20"/>
          <w:szCs w:val="20"/>
          <w:color w:val="auto"/>
        </w:rPr>
      </w:pPr>
    </w:p>
    <w:p>
      <w:pPr>
        <w:ind w:firstLine="749"/>
        <w:spacing w:after="0" w:line="211" w:lineRule="exact"/>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147" w:lineRule="exact"/>
        <w:rPr>
          <w:sz w:val="20"/>
          <w:szCs w:val="20"/>
          <w:color w:val="auto"/>
        </w:rPr>
      </w:pPr>
    </w:p>
    <w:p>
      <w:pPr>
        <w:ind w:right="80" w:firstLine="749"/>
        <w:spacing w:after="0" w:line="217" w:lineRule="exact"/>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divert the attention of our management and key personnel from our business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189"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35" w:lineRule="exact"/>
        <w:rPr>
          <w:sz w:val="20"/>
          <w:szCs w:val="20"/>
          <w:color w:val="auto"/>
        </w:rPr>
      </w:pPr>
    </w:p>
    <w:p>
      <w:pPr>
        <w:ind w:right="180" w:firstLine="749"/>
        <w:spacing w:after="0" w:line="247"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many of our subsidiaries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3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105" w:lineRule="exact"/>
        <w:rPr>
          <w:sz w:val="20"/>
          <w:szCs w:val="20"/>
          <w:color w:val="auto"/>
        </w:rPr>
      </w:pPr>
    </w:p>
    <w:p>
      <w:pPr>
        <w:ind w:right="20" w:firstLine="749"/>
        <w:spacing w:after="0" w:line="210" w:lineRule="exact"/>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spacing w:after="0" w:line="118" w:lineRule="exact"/>
        <w:rPr>
          <w:sz w:val="20"/>
          <w:szCs w:val="20"/>
          <w:color w:val="auto"/>
        </w:rPr>
      </w:pPr>
    </w:p>
    <w:p>
      <w:pPr>
        <w:ind w:right="460" w:firstLine="749"/>
        <w:spacing w:after="0" w:line="231" w:lineRule="exact"/>
        <w:rPr>
          <w:sz w:val="20"/>
          <w:szCs w:val="20"/>
          <w:color w:val="auto"/>
        </w:rPr>
      </w:pPr>
      <w:r>
        <w:rPr>
          <w:rFonts w:ascii="Times New Roman" w:cs="Times New Roman" w:eastAsia="Times New Roman" w:hAnsi="Times New Roman"/>
          <w:sz w:val="18"/>
          <w:szCs w:val="18"/>
          <w:color w:val="auto"/>
        </w:rPr>
        <w:t>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w:t>
      </w:r>
    </w:p>
    <w:p>
      <w:pPr>
        <w:spacing w:after="0" w:line="119" w:lineRule="exact"/>
        <w:rPr>
          <w:sz w:val="20"/>
          <w:szCs w:val="20"/>
          <w:color w:val="auto"/>
        </w:rPr>
      </w:pPr>
    </w:p>
    <w:p>
      <w:pPr>
        <w:ind w:right="120" w:firstLine="749"/>
        <w:spacing w:after="0" w:line="246"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54" w:lineRule="exact"/>
        <w:rPr>
          <w:sz w:val="20"/>
          <w:szCs w:val="20"/>
          <w:color w:val="auto"/>
        </w:rPr>
      </w:pPr>
    </w:p>
    <w:p>
      <w:pPr>
        <w:ind w:left="1500" w:right="160" w:hanging="743"/>
        <w:spacing w:after="0" w:line="266" w:lineRule="auto"/>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171" w:lineRule="exact"/>
        <w:rPr>
          <w:rFonts w:ascii="Times New Roman" w:cs="Times New Roman" w:eastAsia="Times New Roman" w:hAnsi="Times New Roman"/>
          <w:sz w:val="18"/>
          <w:szCs w:val="18"/>
          <w:color w:val="auto"/>
        </w:rPr>
      </w:pPr>
    </w:p>
    <w:p>
      <w:pPr>
        <w:ind w:left="1500" w:right="440" w:hanging="743"/>
        <w:spacing w:after="0" w:line="282" w:lineRule="auto"/>
        <w:tabs>
          <w:tab w:leader="none" w:pos="1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10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37" w:lineRule="exact"/>
        <w:rPr>
          <w:sz w:val="20"/>
          <w:szCs w:val="20"/>
          <w:color w:val="auto"/>
        </w:rPr>
      </w:pPr>
    </w:p>
    <w:p>
      <w:pPr>
        <w:jc w:val="both"/>
        <w:ind w:right="160" w:firstLine="749"/>
        <w:spacing w:after="0" w:line="258"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authorities, such as the SEC or Nasdaq. Any such action could harm our reputation and the confidence of our investors and customers and could negatively affect our business and cause the price of our shares of common stock to decline.</w:t>
      </w:r>
    </w:p>
    <w:p>
      <w:pPr>
        <w:spacing w:after="0" w:line="95" w:lineRule="exact"/>
        <w:rPr>
          <w:sz w:val="20"/>
          <w:szCs w:val="20"/>
          <w:color w:val="auto"/>
        </w:rPr>
      </w:pPr>
    </w:p>
    <w:p>
      <w:pPr>
        <w:ind w:right="14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44" w:lineRule="exact"/>
        <w:rPr>
          <w:sz w:val="20"/>
          <w:szCs w:val="20"/>
          <w:color w:val="auto"/>
        </w:rPr>
      </w:pPr>
    </w:p>
    <w:p>
      <w:pPr>
        <w:ind w:right="140" w:firstLine="749"/>
        <w:spacing w:after="0" w:line="214" w:lineRule="exact"/>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may also divert management’s attention from other matters that are important to the operation of our business. We may not</w:t>
      </w:r>
    </w:p>
    <w:p>
      <w:pPr>
        <w:spacing w:after="0"/>
        <w:rPr>
          <w:sz w:val="20"/>
          <w:szCs w:val="20"/>
          <w:color w:val="auto"/>
        </w:rPr>
      </w:pPr>
      <w:r>
        <w:rPr>
          <w:rFonts w:ascii="Times New Roman" w:cs="Times New Roman" w:eastAsia="Times New Roman" w:hAnsi="Times New Roman"/>
          <w:sz w:val="18"/>
          <w:szCs w:val="18"/>
          <w:color w:val="auto"/>
        </w:rPr>
        <w:t>be able to conclude on an ongoing basis that we have effective internal control over financial reporting in accordance with Section 404(b) of</w:t>
      </w:r>
    </w:p>
    <w:p>
      <w:pPr>
        <w:spacing w:after="0" w:line="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If we conclude that our internal control over financial reporting is not effective, the cost and scope of remediation actions and their effect</w:t>
      </w:r>
    </w:p>
    <w:p>
      <w:pPr>
        <w:spacing w:after="0" w:line="234" w:lineRule="auto"/>
        <w:rPr>
          <w:sz w:val="20"/>
          <w:szCs w:val="20"/>
          <w:color w:val="auto"/>
        </w:rPr>
      </w:pPr>
      <w:r>
        <w:rPr>
          <w:rFonts w:ascii="Times New Roman" w:cs="Times New Roman" w:eastAsia="Times New Roman" w:hAnsi="Times New Roman"/>
          <w:sz w:val="18"/>
          <w:szCs w:val="18"/>
          <w:color w:val="auto"/>
        </w:rPr>
        <w:t>on our operations may be significant. Moreover, any material weaknesses or other deficiencies in our internal control over financial reporting may impede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file timely and accurate reports with the SEC. Any of the above could cause investors to lose confidence in our reported financial information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our common stock listing on Nasdaq to be suspended or terminated, which could have a negative effect on the trading price of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189" w:lineRule="exact"/>
        <w:rPr>
          <w:sz w:val="20"/>
          <w:szCs w:val="20"/>
          <w:color w:val="auto"/>
        </w:rPr>
      </w:pPr>
    </w:p>
    <w:p>
      <w:pPr>
        <w:ind w:right="60" w:firstLine="749"/>
        <w:spacing w:after="0" w:line="210" w:lineRule="exact"/>
        <w:rPr>
          <w:sz w:val="20"/>
          <w:szCs w:val="20"/>
          <w:color w:val="auto"/>
        </w:rPr>
      </w:pPr>
      <w:r>
        <w:rPr>
          <w:rFonts w:ascii="Times New Roman" w:cs="Times New Roman" w:eastAsia="Times New Roman" w:hAnsi="Times New Roman"/>
          <w:sz w:val="18"/>
          <w:szCs w:val="18"/>
          <w:color w:val="auto"/>
        </w:rPr>
        <w:t>Under applicable state insurance laws and regulations which govern our subsidiaries’ operations,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competitive results that may arise from the consummation of the acquisition of control. State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state insurance laws and regulations, absent a disclaimer of control filing and its acceptance by the respective state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141" w:lineRule="exact"/>
        <w:rPr>
          <w:sz w:val="20"/>
          <w:szCs w:val="20"/>
          <w:color w:val="auto"/>
        </w:rPr>
      </w:pPr>
    </w:p>
    <w:p>
      <w:pPr>
        <w:ind w:right="3620" w:firstLine="3649"/>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Risks Related to Ownership of Our Common Stock </w:t>
      </w:r>
      <w:r>
        <w:rPr>
          <w:rFonts w:ascii="Times New Roman" w:cs="Times New Roman" w:eastAsia="Times New Roman" w:hAnsi="Times New Roman"/>
          <w:sz w:val="18"/>
          <w:szCs w:val="18"/>
          <w:b w:val="1"/>
          <w:bCs w:val="1"/>
          <w:i w:val="1"/>
          <w:iCs w:val="1"/>
          <w:color w:val="auto"/>
        </w:rPr>
        <w:t>Future transactions where we raise capital may negatively affect our stock price.</w:t>
      </w: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w:t>
      </w:r>
    </w:p>
    <w:p>
      <w:pPr>
        <w:spacing w:after="0" w:line="14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31"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59" w:lineRule="exact"/>
        <w:rPr>
          <w:sz w:val="20"/>
          <w:szCs w:val="20"/>
          <w:color w:val="auto"/>
        </w:rPr>
      </w:pPr>
    </w:p>
    <w:p>
      <w:pPr>
        <w:ind w:left="1500" w:hanging="743"/>
        <w:spacing w:after="0"/>
        <w:tabs>
          <w:tab w:leader="none" w:pos="1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analysis and investors;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 exchange rate fluctuations; and</w:t>
      </w:r>
    </w:p>
    <w:p>
      <w:pPr>
        <w:spacing w:after="0" w:line="171" w:lineRule="exact"/>
        <w:rPr>
          <w:rFonts w:ascii="Times New Roman" w:cs="Times New Roman" w:eastAsia="Times New Roman" w:hAnsi="Times New Roman"/>
          <w:sz w:val="18"/>
          <w:szCs w:val="18"/>
          <w:color w:val="auto"/>
        </w:rPr>
      </w:pPr>
    </w:p>
    <w:p>
      <w:pPr>
        <w:ind w:left="1500" w:right="200" w:hanging="743"/>
        <w:spacing w:after="0" w:line="282" w:lineRule="auto"/>
        <w:tabs>
          <w:tab w:leader="none" w:pos="1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cyber-attacks or responses to these events.</w:t>
      </w:r>
    </w:p>
    <w:p>
      <w:pPr>
        <w:spacing w:after="0" w:line="108" w:lineRule="exact"/>
        <w:rPr>
          <w:sz w:val="20"/>
          <w:szCs w:val="20"/>
          <w:color w:val="auto"/>
        </w:rPr>
      </w:pPr>
    </w:p>
    <w:p>
      <w:pPr>
        <w:ind w:firstLine="749"/>
        <w:spacing w:after="0" w:line="250"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5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takeover provisions in our organizational documents could delay a change in management and limit our share price.</w:t>
      </w:r>
    </w:p>
    <w:p>
      <w:pPr>
        <w:spacing w:after="0" w:line="225" w:lineRule="exact"/>
        <w:rPr>
          <w:sz w:val="20"/>
          <w:szCs w:val="20"/>
          <w:color w:val="auto"/>
        </w:rPr>
      </w:pPr>
    </w:p>
    <w:p>
      <w:pPr>
        <w:ind w:right="380" w:firstLine="749"/>
        <w:spacing w:after="0" w:line="250"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09" w:lineRule="exact"/>
        <w:rPr>
          <w:sz w:val="20"/>
          <w:szCs w:val="20"/>
          <w:color w:val="auto"/>
        </w:rPr>
      </w:pPr>
    </w:p>
    <w:p>
      <w:pPr>
        <w:ind w:right="280" w:firstLine="749"/>
        <w:spacing w:after="0" w:line="253" w:lineRule="exact"/>
        <w:rPr>
          <w:sz w:val="20"/>
          <w:szCs w:val="20"/>
          <w:color w:val="auto"/>
        </w:rPr>
      </w:pPr>
      <w:r>
        <w:rPr>
          <w:rFonts w:ascii="Times New Roman" w:cs="Times New Roman" w:eastAsia="Times New Roman" w:hAnsi="Times New Roman"/>
          <w:sz w:val="18"/>
          <w:szCs w:val="18"/>
          <w:color w:val="auto"/>
        </w:rPr>
        <w:t>Our charter documents contain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that will hinder takeover attempts and could reduce the market value of our common stock or prevent sale at a premium. Our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w:t>
      </w:r>
    </w:p>
    <w:p>
      <w:pPr>
        <w:spacing w:after="0" w:line="129" w:lineRule="exact"/>
        <w:rPr>
          <w:sz w:val="20"/>
          <w:szCs w:val="20"/>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84"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through 2027, that our Board of Directors are classified into three classes with staggered, three year terms and that directors may only be removed for cause;</w:t>
      </w:r>
    </w:p>
    <w:p>
      <w:pPr>
        <w:spacing w:after="0" w:line="81" w:lineRule="exact"/>
        <w:rPr>
          <w:rFonts w:ascii="Times New Roman" w:cs="Times New Roman" w:eastAsia="Times New Roman" w:hAnsi="Times New Roman"/>
          <w:sz w:val="18"/>
          <w:szCs w:val="18"/>
          <w:color w:val="auto"/>
        </w:rPr>
      </w:pPr>
    </w:p>
    <w:p>
      <w:pPr>
        <w:ind w:left="1500" w:hanging="743"/>
        <w:spacing w:after="0" w:line="207" w:lineRule="exact"/>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majority voting to amend provisions in our certificate of incorporation and bylaws;</w:t>
      </w:r>
    </w:p>
    <w:p>
      <w:pPr>
        <w:spacing w:after="0" w:line="184" w:lineRule="exact"/>
        <w:rPr>
          <w:rFonts w:ascii="Times New Roman" w:cs="Times New Roman" w:eastAsia="Times New Roman" w:hAnsi="Times New Roman"/>
          <w:sz w:val="18"/>
          <w:szCs w:val="18"/>
          <w:color w:val="auto"/>
        </w:rPr>
      </w:pPr>
    </w:p>
    <w:p>
      <w:pPr>
        <w:jc w:val="both"/>
        <w:ind w:left="1500" w:right="200" w:hanging="743"/>
        <w:spacing w:after="0" w:line="232" w:lineRule="exact"/>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blank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143"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84"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184" w:lineRule="exact"/>
        <w:rPr>
          <w:rFonts w:ascii="Times New Roman" w:cs="Times New Roman" w:eastAsia="Times New Roman" w:hAnsi="Times New Roman"/>
          <w:sz w:val="18"/>
          <w:szCs w:val="18"/>
          <w:color w:val="auto"/>
        </w:rPr>
      </w:pPr>
    </w:p>
    <w:p>
      <w:pPr>
        <w:ind w:left="1500" w:right="180" w:hanging="743"/>
        <w:spacing w:after="0" w:line="266"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17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08" w:lineRule="exact"/>
        <w:rPr>
          <w:sz w:val="20"/>
          <w:szCs w:val="20"/>
          <w:color w:val="auto"/>
        </w:rPr>
      </w:pPr>
    </w:p>
    <w:p>
      <w:pPr>
        <w:ind w:right="120" w:firstLine="749"/>
        <w:spacing w:after="0" w:line="296"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08"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28"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108" w:lineRule="exact"/>
        <w:rPr>
          <w:sz w:val="20"/>
          <w:szCs w:val="20"/>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84"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184"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135"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17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185"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5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31"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Our purchases of our equity securities in the third quarter of fiscal year 2025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03"/>
        </w:trPr>
        <w:tc>
          <w:tcPr>
            <w:tcW w:w="3920" w:type="dxa"/>
            <w:vAlign w:val="bottom"/>
          </w:tcPr>
          <w:p>
            <w:pPr>
              <w:spacing w:after="0"/>
              <w:rPr>
                <w:sz w:val="17"/>
                <w:szCs w:val="17"/>
                <w:color w:val="auto"/>
              </w:rPr>
            </w:pPr>
          </w:p>
        </w:tc>
        <w:tc>
          <w:tcPr>
            <w:tcW w:w="13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ind w:right="2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Value of Shares</w:t>
            </w:r>
          </w:p>
        </w:tc>
      </w:tr>
      <w:tr>
        <w:trPr>
          <w:trHeight w:val="203"/>
        </w:trPr>
        <w:tc>
          <w:tcPr>
            <w:tcW w:w="3920" w:type="dxa"/>
            <w:vAlign w:val="bottom"/>
          </w:tcPr>
          <w:p>
            <w:pPr>
              <w:spacing w:after="0"/>
              <w:rPr>
                <w:sz w:val="17"/>
                <w:szCs w:val="17"/>
                <w:color w:val="auto"/>
              </w:rPr>
            </w:pPr>
          </w:p>
        </w:tc>
        <w:tc>
          <w:tcPr>
            <w:tcW w:w="136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7"/>
                <w:szCs w:val="17"/>
                <w:color w:val="auto"/>
              </w:rPr>
            </w:pPr>
          </w:p>
        </w:tc>
        <w:tc>
          <w:tcPr>
            <w:tcW w:w="176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ind w:right="29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184"/>
        </w:trPr>
        <w:tc>
          <w:tcPr>
            <w:tcW w:w="3920" w:type="dxa"/>
            <w:vAlign w:val="bottom"/>
          </w:tcPr>
          <w:p>
            <w:pPr>
              <w:spacing w:after="0"/>
              <w:rPr>
                <w:sz w:val="16"/>
                <w:szCs w:val="16"/>
                <w:color w:val="auto"/>
              </w:rPr>
            </w:pPr>
          </w:p>
        </w:tc>
        <w:tc>
          <w:tcPr>
            <w:tcW w:w="136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20" w:type="dxa"/>
            <w:vAlign w:val="bottom"/>
          </w:tcPr>
          <w:p>
            <w:pPr>
              <w:spacing w:after="0"/>
              <w:rPr>
                <w:sz w:val="16"/>
                <w:szCs w:val="16"/>
                <w:color w:val="auto"/>
              </w:rPr>
            </w:pPr>
          </w:p>
        </w:tc>
        <w:tc>
          <w:tcPr>
            <w:tcW w:w="17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jc w:val="center"/>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30"/>
        </w:trPr>
        <w:tc>
          <w:tcPr>
            <w:tcW w:w="3920" w:type="dxa"/>
            <w:vAlign w:val="bottom"/>
          </w:tcPr>
          <w:p>
            <w:pPr>
              <w:spacing w:after="0"/>
              <w:rPr>
                <w:sz w:val="19"/>
                <w:szCs w:val="19"/>
                <w:color w:val="auto"/>
              </w:rPr>
            </w:pPr>
          </w:p>
        </w:tc>
        <w:tc>
          <w:tcPr>
            <w:tcW w:w="1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30"/>
              <w:spacing w:after="0" w:line="229" w:lineRule="exact"/>
              <w:rPr>
                <w:sz w:val="20"/>
                <w:szCs w:val="20"/>
                <w:color w:val="auto"/>
              </w:rPr>
            </w:pPr>
            <w:r>
              <w:rPr>
                <w:rFonts w:ascii="Times New Roman" w:cs="Times New Roman" w:eastAsia="Times New Roman" w:hAnsi="Times New Roman"/>
                <w:sz w:val="18"/>
                <w:szCs w:val="18"/>
                <w:b w:val="1"/>
                <w:bCs w:val="1"/>
                <w:color w:val="auto"/>
                <w:w w:val="94"/>
              </w:rPr>
              <w:t>Per Share</w:t>
            </w:r>
            <w:r>
              <w:rPr>
                <w:rFonts w:ascii="Times New Roman" w:cs="Times New Roman" w:eastAsia="Times New Roman" w:hAnsi="Times New Roman"/>
                <w:sz w:val="24"/>
                <w:szCs w:val="24"/>
                <w:b w:val="1"/>
                <w:bCs w:val="1"/>
                <w:color w:val="auto"/>
                <w:w w:val="94"/>
                <w:vertAlign w:val="superscript"/>
              </w:rPr>
              <w:t>(1)</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290"/>
              <w:spacing w:after="0" w:line="229" w:lineRule="exact"/>
              <w:rPr>
                <w:sz w:val="20"/>
                <w:szCs w:val="20"/>
                <w:color w:val="auto"/>
              </w:rPr>
            </w:pPr>
            <w:r>
              <w:rPr>
                <w:rFonts w:ascii="Times New Roman" w:cs="Times New Roman" w:eastAsia="Times New Roman" w:hAnsi="Times New Roman"/>
                <w:sz w:val="18"/>
                <w:szCs w:val="18"/>
                <w:b w:val="1"/>
                <w:bCs w:val="1"/>
                <w:color w:val="auto"/>
                <w:w w:val="97"/>
              </w:rPr>
              <w:t>Plans or Programs</w:t>
            </w:r>
            <w:r>
              <w:rPr>
                <w:rFonts w:ascii="Times New Roman" w:cs="Times New Roman" w:eastAsia="Times New Roman" w:hAnsi="Times New Roman"/>
                <w:sz w:val="24"/>
                <w:szCs w:val="24"/>
                <w:b w:val="1"/>
                <w:bCs w:val="1"/>
                <w:color w:val="auto"/>
                <w:w w:val="97"/>
                <w:vertAlign w:val="superscript"/>
              </w:rPr>
              <w:t>(2)</w:t>
            </w:r>
          </w:p>
        </w:tc>
      </w:tr>
      <w:tr>
        <w:trPr>
          <w:trHeight w:val="183"/>
        </w:trPr>
        <w:tc>
          <w:tcPr>
            <w:tcW w:w="3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tcPr>
          <w:p>
            <w:pPr>
              <w:jc w:val="center"/>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 in thousands)</w:t>
            </w:r>
          </w:p>
        </w:tc>
      </w:tr>
      <w:tr>
        <w:trPr>
          <w:trHeight w:val="189"/>
        </w:trPr>
        <w:tc>
          <w:tcPr>
            <w:tcW w:w="3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August 1, 2025 to August 31, 2025</w:t>
            </w:r>
          </w:p>
        </w:tc>
        <w:tc>
          <w:tcPr>
            <w:tcW w:w="13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264,195</w:t>
            </w:r>
          </w:p>
        </w:tc>
        <w:tc>
          <w:tcPr>
            <w:tcW w:w="28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121.13</w:t>
            </w:r>
          </w:p>
        </w:tc>
        <w:tc>
          <w:tcPr>
            <w:tcW w:w="1880" w:type="dxa"/>
            <w:vAlign w:val="bottom"/>
            <w:gridSpan w:val="2"/>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264,195</w:t>
            </w:r>
          </w:p>
        </w:tc>
        <w:tc>
          <w:tcPr>
            <w:tcW w:w="400" w:type="dxa"/>
            <w:vAlign w:val="bottom"/>
            <w:gridSpan w:val="2"/>
            <w:shd w:val="clear" w:color="auto" w:fill="CFF0FC"/>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117,993</w:t>
            </w:r>
          </w:p>
        </w:tc>
      </w:tr>
      <w:tr>
        <w:trPr>
          <w:trHeight w:val="189"/>
        </w:trPr>
        <w:tc>
          <w:tcPr>
            <w:tcW w:w="3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September 1, 2025 to September 30, 2025</w:t>
            </w:r>
          </w:p>
        </w:tc>
        <w:tc>
          <w:tcPr>
            <w:tcW w:w="13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44,222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119.15</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44,222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112,723</w:t>
            </w:r>
          </w:p>
        </w:tc>
      </w:tr>
      <w:tr>
        <w:trPr>
          <w:trHeight w:val="223"/>
        </w:trPr>
        <w:tc>
          <w:tcPr>
            <w:tcW w:w="392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308,417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308,417</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-24765</wp:posOffset>
            </wp:positionV>
            <wp:extent cx="1111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-8255</wp:posOffset>
            </wp:positionV>
            <wp:extent cx="11112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1111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11112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64" w:lineRule="exact"/>
        <w:rPr>
          <w:sz w:val="20"/>
          <w:szCs w:val="20"/>
          <w:color w:val="auto"/>
        </w:rPr>
      </w:pPr>
    </w:p>
    <w:p>
      <w:pPr>
        <w:ind w:left="760" w:hanging="752"/>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excludes cash paid for commissions.</w:t>
      </w:r>
    </w:p>
    <w:p>
      <w:pPr>
        <w:spacing w:after="0" w:line="144" w:lineRule="exact"/>
        <w:rPr>
          <w:rFonts w:ascii="Times New Roman" w:cs="Times New Roman" w:eastAsia="Times New Roman" w:hAnsi="Times New Roman"/>
          <w:sz w:val="18"/>
          <w:szCs w:val="18"/>
          <w:color w:val="auto"/>
        </w:rPr>
      </w:pPr>
    </w:p>
    <w:p>
      <w:pPr>
        <w:ind w:left="760" w:right="340" w:hanging="752"/>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31, 2025 the Company’s Board of Directors approved the adoption of a share repurchase plan that authorizes the repurchase of up to $150 million of outstanding shares of common stock through the period ending on July 31, 2027.</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12" w:lineRule="exact"/>
        <w:rPr>
          <w:sz w:val="20"/>
          <w:szCs w:val="20"/>
          <w:color w:val="auto"/>
        </w:rPr>
      </w:pPr>
    </w:p>
    <w:p>
      <w:pPr>
        <w:ind w:right="60" w:firstLine="749"/>
        <w:spacing w:after="0" w:line="259" w:lineRule="auto"/>
        <w:rPr>
          <w:sz w:val="20"/>
          <w:szCs w:val="20"/>
          <w:color w:val="auto"/>
        </w:rPr>
      </w:pPr>
      <w:r>
        <w:rPr>
          <w:rFonts w:ascii="Times New Roman" w:cs="Times New Roman" w:eastAsia="Times New Roman" w:hAnsi="Times New Roman"/>
          <w:sz w:val="18"/>
          <w:szCs w:val="18"/>
          <w:color w:val="auto"/>
        </w:rPr>
        <w:t xml:space="preserve">During the quarter ended September 30, 2025, none of our other directors or officers (as defined in Rule </w:t>
      </w:r>
      <w:r>
        <w:rPr>
          <w:rFonts w:ascii="Times New Roman" w:cs="Times New Roman" w:eastAsia="Times New Roman" w:hAnsi="Times New Roman"/>
          <w:sz w:val="18"/>
          <w:szCs w:val="18"/>
          <w:i w:val="1"/>
          <w:iCs w:val="1"/>
          <w:color w:val="auto"/>
        </w:rPr>
        <w:t>16a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(f) of the Securities Exchange Act of </w:t>
      </w:r>
      <w:r>
        <w:rPr>
          <w:rFonts w:ascii="Times New Roman" w:cs="Times New Roman" w:eastAsia="Times New Roman" w:hAnsi="Times New Roman"/>
          <w:sz w:val="18"/>
          <w:szCs w:val="18"/>
          <w:i w:val="1"/>
          <w:iCs w:val="1"/>
          <w:color w:val="auto"/>
        </w:rPr>
        <w:t>1934</w:t>
      </w:r>
      <w:r>
        <w:rPr>
          <w:rFonts w:ascii="Times New Roman" w:cs="Times New Roman" w:eastAsia="Times New Roman" w:hAnsi="Times New Roman"/>
          <w:sz w:val="18"/>
          <w:szCs w:val="18"/>
          <w:color w:val="auto"/>
        </w:rPr>
        <w:t xml:space="preserve">) adopted, terminated or modified a Rule </w:t>
      </w:r>
      <w:r>
        <w:rPr>
          <w:rFonts w:ascii="Times New Roman" w:cs="Times New Roman" w:eastAsia="Times New Roman" w:hAnsi="Times New Roman"/>
          <w:sz w:val="18"/>
          <w:szCs w:val="18"/>
          <w:i w:val="1"/>
          <w:iCs w:val="1"/>
          <w:color w:val="auto"/>
        </w:rPr>
        <w:t>10b5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trading arrangement or non-Rule </w:t>
      </w:r>
      <w:r>
        <w:rPr>
          <w:rFonts w:ascii="Times New Roman" w:cs="Times New Roman" w:eastAsia="Times New Roman" w:hAnsi="Times New Roman"/>
          <w:sz w:val="18"/>
          <w:szCs w:val="18"/>
          <w:i w:val="1"/>
          <w:iCs w:val="1"/>
          <w:color w:val="auto"/>
        </w:rPr>
        <w:t>10b5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 xml:space="preserve"> trading arrangement (as such terms are defined in Item </w:t>
      </w:r>
      <w:r>
        <w:rPr>
          <w:rFonts w:ascii="Times New Roman" w:cs="Times New Roman" w:eastAsia="Times New Roman" w:hAnsi="Times New Roman"/>
          <w:sz w:val="18"/>
          <w:szCs w:val="18"/>
          <w:i w:val="1"/>
          <w:iCs w:val="1"/>
          <w:color w:val="auto"/>
        </w:rPr>
        <w:t xml:space="preserve">408 </w:t>
      </w:r>
      <w:r>
        <w:rPr>
          <w:rFonts w:ascii="Times New Roman" w:cs="Times New Roman" w:eastAsia="Times New Roman" w:hAnsi="Times New Roman"/>
          <w:sz w:val="18"/>
          <w:szCs w:val="18"/>
          <w:color w:val="auto"/>
        </w:rPr>
        <w:t>of Regulation S-K).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80" w:type="dxa"/>
            <w:vAlign w:val="bottom"/>
          </w:tcPr>
          <w:p>
            <w:pPr>
              <w:spacing w:after="0"/>
              <w:rPr>
                <w:sz w:val="24"/>
                <w:szCs w:val="24"/>
                <w:color w:val="auto"/>
              </w:rPr>
            </w:pPr>
          </w:p>
        </w:tc>
        <w:tc>
          <w:tcPr>
            <w:tcW w:w="7500" w:type="dxa"/>
            <w:vAlign w:val="bottom"/>
            <w:gridSpan w:val="7"/>
            <w:vMerge w:val="restart"/>
          </w:tcPr>
          <w:p>
            <w:pPr>
              <w:ind w:left="2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25"/>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380" w:type="dxa"/>
            <w:vAlign w:val="bottom"/>
          </w:tcPr>
          <w:p>
            <w:pPr>
              <w:spacing w:after="0"/>
              <w:rPr>
                <w:sz w:val="19"/>
                <w:szCs w:val="19"/>
                <w:color w:val="auto"/>
              </w:rPr>
            </w:pPr>
          </w:p>
        </w:tc>
        <w:tc>
          <w:tcPr>
            <w:tcW w:w="75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3"/>
                <w:szCs w:val="13"/>
                <w:color w:val="auto"/>
              </w:rPr>
            </w:pPr>
          </w:p>
        </w:tc>
        <w:tc>
          <w:tcPr>
            <w:tcW w:w="9880" w:type="dxa"/>
            <w:vAlign w:val="bottom"/>
            <w:tcBorders>
              <w:top w:val="single" w:sz="8" w:color="auto"/>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Equity Award Retirement Policy</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line="20" w:lineRule="exact"/>
              <w:rPr>
                <w:sz w:val="1"/>
                <w:szCs w:val="1"/>
                <w:color w:val="auto"/>
              </w:rPr>
            </w:pPr>
          </w:p>
        </w:tc>
        <w:tc>
          <w:tcPr>
            <w:tcW w:w="2380" w:type="dxa"/>
            <w:vAlign w:val="bottom"/>
            <w:tcBorders>
              <w:right w:val="single" w:sz="8" w:color="0000EE"/>
            </w:tcBorders>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56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Equity Purchase Agreement, dated October 27, 2025, by and among Palomar Insurance Holdings, Inc., The Gray Casualty &amp; Surety</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Company (the “Target”) and BCP Surety Group Sole Member, LLC (incorporated by reference to Exhibit 2.1 to the Company’s Current</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8"/>
          </w:tcPr>
          <w:p>
            <w:pPr>
              <w:spacing w:after="0" w:line="169"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Report on Form 8-K, filed with the SEC on October 27, 2025).</w:t>
              </w:r>
            </w:hyperlink>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4"/>
                <w:szCs w:val="14"/>
                <w:color w:val="auto"/>
              </w:rPr>
            </w:pPr>
          </w:p>
        </w:tc>
        <w:tc>
          <w:tcPr>
            <w:tcW w:w="452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Section</w:t>
            </w:r>
          </w:p>
        </w:tc>
        <w:tc>
          <w:tcPr>
            <w:tcW w:w="20" w:type="dxa"/>
            <w:vAlign w:val="bottom"/>
            <w:tcBorders>
              <w:top w:val="single" w:sz="8" w:color="0000EE"/>
            </w:tcBorders>
          </w:tcPr>
          <w:p>
            <w:pPr>
              <w:spacing w:after="0"/>
              <w:rPr>
                <w:sz w:val="14"/>
                <w:szCs w:val="14"/>
                <w:color w:val="auto"/>
              </w:rPr>
            </w:pPr>
          </w:p>
        </w:tc>
        <w:tc>
          <w:tcPr>
            <w:tcW w:w="534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4"/>
                <w:szCs w:val="14"/>
                <w:color w:val="auto"/>
              </w:rPr>
            </w:pPr>
          </w:p>
        </w:tc>
        <w:tc>
          <w:tcPr>
            <w:tcW w:w="7360" w:type="dxa"/>
            <w:vAlign w:val="bottom"/>
            <w:tcBorders>
              <w:top w:val="single" w:sz="8" w:color="0000EE"/>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 Sarbanes-Oxley Act of 2002</w:t>
            </w:r>
          </w:p>
        </w:tc>
        <w:tc>
          <w:tcPr>
            <w:tcW w:w="25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4"/>
                <w:szCs w:val="14"/>
                <w:color w:val="auto"/>
              </w:rPr>
            </w:pPr>
          </w:p>
        </w:tc>
        <w:tc>
          <w:tcPr>
            <w:tcW w:w="7300" w:type="dxa"/>
            <w:vAlign w:val="bottom"/>
            <w:tcBorders>
              <w:top w:val="single" w:sz="8" w:color="0000EE"/>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Certifications pursuant to Section 906 of the Sarbanes-Oxley Act of 2002</w:t>
            </w:r>
          </w:p>
        </w:tc>
        <w:tc>
          <w:tcPr>
            <w:tcW w:w="25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36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101.INS</w:t>
            </w:r>
          </w:p>
        </w:tc>
        <w:tc>
          <w:tcPr>
            <w:tcW w:w="5280" w:type="dxa"/>
            <w:vAlign w:val="bottom"/>
            <w:tcBorders>
              <w:top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8"/>
                <w:szCs w:val="18"/>
                <w:color w:val="auto"/>
                <w:w w:val="98"/>
              </w:rPr>
              <w:t>Inline XBRL Instance Document - the instance document does not appear</w:t>
            </w:r>
          </w:p>
        </w:tc>
        <w:tc>
          <w:tcPr>
            <w:tcW w:w="4600" w:type="dxa"/>
            <w:vAlign w:val="bottom"/>
            <w:gridSpan w:val="4"/>
          </w:tcPr>
          <w:p>
            <w:pPr>
              <w:ind w:left="80"/>
              <w:spacing w:after="0" w:line="164" w:lineRule="exact"/>
              <w:rPr>
                <w:sz w:val="20"/>
                <w:szCs w:val="20"/>
                <w:color w:val="auto"/>
              </w:rPr>
            </w:pPr>
            <w:r>
              <w:rPr>
                <w:rFonts w:ascii="Times New Roman" w:cs="Times New Roman" w:eastAsia="Times New Roman" w:hAnsi="Times New Roman"/>
                <w:sz w:val="18"/>
                <w:szCs w:val="18"/>
                <w:color w:val="auto"/>
              </w:rPr>
              <w:t>in the Interactive Data File as its XBRL tags are embedded</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5000" w:firstLine="8"/>
        <w:spacing w:after="0" w:line="489" w:lineRule="auto"/>
        <w:tabs>
          <w:tab w:leader="none" w:pos="135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 + Management contract or compensatory plan or arrangement.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Palomar Holdings, Inc.</w:t>
      </w:r>
    </w:p>
    <w:p>
      <w:pPr>
        <w:spacing w:after="0" w:line="175" w:lineRule="exact"/>
        <w:rPr>
          <w:sz w:val="20"/>
          <w:szCs w:val="20"/>
          <w:color w:val="auto"/>
        </w:rPr>
      </w:pPr>
    </w:p>
    <w:p>
      <w:pPr>
        <w:ind w:left="5640" w:right="3720" w:hanging="5972"/>
        <w:spacing w:after="0" w:line="238" w:lineRule="auto"/>
        <w:tabs>
          <w:tab w:leader="none" w:pos="56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 /s/ Mac Armstrong Mac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-120015</wp:posOffset>
            </wp:positionV>
            <wp:extent cx="335153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line="220" w:lineRule="auto"/>
        <w:rPr>
          <w:sz w:val="20"/>
          <w:szCs w:val="20"/>
          <w:color w:val="auto"/>
        </w:rPr>
      </w:pPr>
      <w:r>
        <w:rPr>
          <w:rFonts w:ascii="Times New Roman" w:cs="Times New Roman" w:eastAsia="Times New Roman" w:hAnsi="Times New Roman"/>
          <w:sz w:val="18"/>
          <w:szCs w:val="18"/>
          <w:color w:val="auto"/>
        </w:rPr>
        <w:t>Chairman of the Board and Chief Executive Officer</w:t>
      </w: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5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By: /s/ T. Christopher Uchida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80"/>
        <w:spacing w:after="0" w:line="237" w:lineRule="auto"/>
        <w:rPr>
          <w:sz w:val="20"/>
          <w:szCs w:val="20"/>
          <w:color w:val="auto"/>
        </w:rPr>
      </w:pPr>
      <w:r>
        <w:rPr>
          <w:rFonts w:ascii="Times New Roman" w:cs="Times New Roman" w:eastAsia="Times New Roman" w:hAnsi="Times New Roman"/>
          <w:sz w:val="18"/>
          <w:szCs w:val="18"/>
          <w:color w:val="auto"/>
        </w:rPr>
        <w:t>T. Christopher Uchida</w:t>
      </w:r>
    </w:p>
    <w:p>
      <w:pPr>
        <w:ind w:left="596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AWARD RETIREMENT POLICY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Adoption Date: July 30, 2025</w:t>
      </w:r>
    </w:p>
    <w:p>
      <w:pPr>
        <w:jc w:val="center"/>
        <w:spacing w:after="0"/>
        <w:rPr>
          <w:sz w:val="20"/>
          <w:szCs w:val="20"/>
          <w:color w:val="auto"/>
        </w:rPr>
      </w:pPr>
      <w:r>
        <w:rPr>
          <w:rFonts w:ascii="Arial" w:cs="Arial" w:eastAsia="Arial" w:hAnsi="Arial"/>
          <w:sz w:val="20"/>
          <w:szCs w:val="20"/>
          <w:b w:val="1"/>
          <w:bCs w:val="1"/>
          <w:color w:val="auto"/>
        </w:rPr>
        <w:t>Effective Date: January 1, 2026</w:t>
      </w:r>
    </w:p>
    <w:p>
      <w:pPr>
        <w:spacing w:after="0" w:line="187" w:lineRule="exact"/>
        <w:rPr>
          <w:sz w:val="20"/>
          <w:szCs w:val="20"/>
          <w:color w:val="auto"/>
        </w:rPr>
      </w:pPr>
    </w:p>
    <w:p>
      <w:pPr>
        <w:jc w:val="both"/>
        <w:ind w:firstLine="374"/>
        <w:spacing w:after="0" w:line="250" w:lineRule="auto"/>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Purpose</w:t>
      </w:r>
      <w:r>
        <w:rPr>
          <w:rFonts w:ascii="Arial" w:cs="Arial" w:eastAsia="Arial" w:hAnsi="Arial"/>
          <w:sz w:val="18"/>
          <w:szCs w:val="18"/>
          <w:color w:val="auto"/>
        </w:rPr>
        <w:t>. The Compensation Committee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of the Board of Directors of Palomar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determined that it is appropriate to adopt this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to provide Covered Employees with continued vesting eligibility upon a termination of employment with the Company by reason of a Qualified Retirement with respect to Covered Awards granted under the Company’s 2019 Equity Incentive Plan (as may be amended from time to time, including any successor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subject to the terms and conditions set forth below. This Policy shall be effective as of the effective date first set forth above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Covered Employees</w:t>
      </w:r>
      <w:r>
        <w:rPr>
          <w:rFonts w:ascii="Arial" w:cs="Arial" w:eastAsia="Arial" w:hAnsi="Arial"/>
          <w:sz w:val="18"/>
          <w:szCs w:val="18"/>
          <w:color w:val="auto"/>
        </w:rPr>
        <w:t>. This Policy shall apply to all employees of the Company (each such employee, a “</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b w:val="1"/>
          <w:bCs w:val="1"/>
          <w:color w:val="auto"/>
        </w:rPr>
        <w:t>Covered Awards</w:t>
      </w:r>
      <w:r>
        <w:rPr>
          <w:rFonts w:ascii="Arial" w:cs="Arial" w:eastAsia="Arial" w:hAnsi="Arial"/>
          <w:sz w:val="18"/>
          <w:szCs w:val="18"/>
          <w:color w:val="auto"/>
        </w:rPr>
        <w:t>. This Policy shall apply to awards of:</w:t>
      </w:r>
    </w:p>
    <w:p>
      <w:pPr>
        <w:spacing w:after="0" w:line="252" w:lineRule="exact"/>
        <w:rPr>
          <w:sz w:val="20"/>
          <w:szCs w:val="20"/>
          <w:color w:val="auto"/>
        </w:rPr>
      </w:pPr>
    </w:p>
    <w:p>
      <w:pPr>
        <w:ind w:left="1200" w:hanging="383"/>
        <w:spacing w:after="0"/>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Nonstatutory Stock Options (“</w:t>
      </w:r>
      <w:r>
        <w:rPr>
          <w:rFonts w:ascii="Arial" w:cs="Arial" w:eastAsia="Arial" w:hAnsi="Arial"/>
          <w:sz w:val="18"/>
          <w:szCs w:val="18"/>
          <w:b w:val="1"/>
          <w:bCs w:val="1"/>
          <w:i w:val="1"/>
          <w:iCs w:val="1"/>
          <w:color w:val="auto"/>
        </w:rPr>
        <w:t>NQSO</w:t>
      </w:r>
      <w:r>
        <w:rPr>
          <w:rFonts w:ascii="Arial" w:cs="Arial" w:eastAsia="Arial" w:hAnsi="Arial"/>
          <w:sz w:val="18"/>
          <w:szCs w:val="18"/>
          <w:color w:val="auto"/>
        </w:rPr>
        <w:t>”),</w:t>
      </w:r>
    </w:p>
    <w:p>
      <w:pPr>
        <w:spacing w:after="0" w:line="12" w:lineRule="exact"/>
        <w:rPr>
          <w:rFonts w:ascii="Times New Roman" w:cs="Times New Roman" w:eastAsia="Times New Roman" w:hAnsi="Times New Roman"/>
          <w:sz w:val="18"/>
          <w:szCs w:val="18"/>
          <w:color w:val="auto"/>
        </w:rPr>
      </w:pPr>
    </w:p>
    <w:p>
      <w:pPr>
        <w:ind w:left="1200" w:hanging="383"/>
        <w:spacing w:after="0" w:line="233" w:lineRule="auto"/>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Time-based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and</w:t>
      </w:r>
    </w:p>
    <w:p>
      <w:pPr>
        <w:ind w:left="1200" w:hanging="383"/>
        <w:spacing w:after="0"/>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Stock Units (“</w:t>
      </w:r>
      <w:r>
        <w:rPr>
          <w:rFonts w:ascii="Arial" w:cs="Arial" w:eastAsia="Arial" w:hAnsi="Arial"/>
          <w:sz w:val="18"/>
          <w:szCs w:val="18"/>
          <w:b w:val="1"/>
          <w:bCs w:val="1"/>
          <w:i w:val="1"/>
          <w:iCs w:val="1"/>
          <w:color w:val="auto"/>
        </w:rPr>
        <w:t>PSUs</w:t>
      </w:r>
      <w:r>
        <w:rPr>
          <w:rFonts w:ascii="Arial" w:cs="Arial" w:eastAsia="Arial" w:hAnsi="Arial"/>
          <w:sz w:val="18"/>
          <w:szCs w:val="18"/>
          <w:color w:val="auto"/>
        </w:rPr>
        <w:t>”)</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auto"/>
        </w:rPr>
        <w:t xml:space="preserve">that are granted to Covered Employees under the Plan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the Effective Date, pursuant to the Company’s annual equity grant cycle. This Policy shall also apply to annual bonuses of Covered Employees (“</w:t>
      </w:r>
      <w:r>
        <w:rPr>
          <w:rFonts w:ascii="Arial" w:cs="Arial" w:eastAsia="Arial" w:hAnsi="Arial"/>
          <w:sz w:val="18"/>
          <w:szCs w:val="18"/>
          <w:b w:val="1"/>
          <w:bCs w:val="1"/>
          <w:i w:val="1"/>
          <w:iCs w:val="1"/>
          <w:color w:val="auto"/>
        </w:rPr>
        <w:t>Annual Bonuses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Policy shall apply to supplemental equity grants with respect to certain product lines as determined by the Committee but shall not apply to any equity grants made outside of the Company’s annual equity grant cycle, including but not limited to, acquisition grants, retention grants, promotion grants or new hire grants except as specifically determined by the Committee.</w:t>
      </w:r>
    </w:p>
    <w:p>
      <w:pPr>
        <w:spacing w:after="0" w:line="202"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4.</w:t>
      </w:r>
      <w:r>
        <w:rPr>
          <w:rFonts w:ascii="Arial" w:cs="Arial" w:eastAsia="Arial" w:hAnsi="Arial"/>
          <w:sz w:val="18"/>
          <w:szCs w:val="18"/>
          <w:b w:val="1"/>
          <w:bCs w:val="1"/>
          <w:color w:val="auto"/>
        </w:rPr>
        <w:t>Qualified Retirement</w:t>
      </w:r>
      <w:r>
        <w:rPr>
          <w:rFonts w:ascii="Arial" w:cs="Arial" w:eastAsia="Arial" w:hAnsi="Arial"/>
          <w:sz w:val="18"/>
          <w:szCs w:val="18"/>
          <w:color w:val="auto"/>
        </w:rPr>
        <w:t>. For purposes of this Policy, “</w:t>
      </w:r>
      <w:r>
        <w:rPr>
          <w:rFonts w:ascii="Arial" w:cs="Arial" w:eastAsia="Arial" w:hAnsi="Arial"/>
          <w:sz w:val="18"/>
          <w:szCs w:val="18"/>
          <w:b w:val="1"/>
          <w:bCs w:val="1"/>
          <w:i w:val="1"/>
          <w:iCs w:val="1"/>
          <w:color w:val="auto"/>
        </w:rPr>
        <w:t>Qualified Retirement</w:t>
      </w:r>
      <w:r>
        <w:rPr>
          <w:rFonts w:ascii="Arial" w:cs="Arial" w:eastAsia="Arial" w:hAnsi="Arial"/>
          <w:sz w:val="18"/>
          <w:szCs w:val="18"/>
          <w:color w:val="auto"/>
        </w:rPr>
        <w:t>” shall mean a Covered Employee’s resignation of employment with the Company on or after attainment of age fifty-eight (58) with a minimum of five (5) years of service with the Company (including with an acquired entity and regardless of whether such service is continuous, with a Covered Employee’s period of service calculated using a 365-day period to determine each year of service), provided that:</w:t>
      </w:r>
    </w:p>
    <w:p>
      <w:pPr>
        <w:spacing w:after="0" w:line="201" w:lineRule="exact"/>
        <w:rPr>
          <w:sz w:val="20"/>
          <w:szCs w:val="20"/>
          <w:color w:val="auto"/>
        </w:rPr>
      </w:pPr>
    </w:p>
    <w:p>
      <w:pPr>
        <w:jc w:val="both"/>
        <w:ind w:left="760" w:firstLine="56"/>
        <w:spacing w:after="0" w:line="247" w:lineRule="auto"/>
        <w:tabs>
          <w:tab w:leader="none" w:pos="10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the Retirement Date (as defined below), the Covered Employee’s age plus years of service with the Company equals or exceeds 65; (b) the Covered Employee provides the Company with the required amount of Advance Notice regarding his or her resignation of employment, and (c) on and prior to the Covered Employee’s Retirement Date, no facts or circumstances shall exist that could give rise to the Covered Employee’s termination of employment for Cause (as defined in the Plan) regardless of whether the Company pursues termination for Cause.</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the avoidance of doubt, this Policy shall not apply in the event of a Covered Employee’s termination of employment for any reason that does not constitute a Qualified Retirement.</w:t>
      </w:r>
    </w:p>
    <w:p>
      <w:pPr>
        <w:spacing w:after="0" w:line="194" w:lineRule="exact"/>
        <w:rPr>
          <w:sz w:val="20"/>
          <w:szCs w:val="20"/>
          <w:color w:val="auto"/>
        </w:rPr>
      </w:pPr>
    </w:p>
    <w:p>
      <w:pPr>
        <w:jc w:val="both"/>
        <w:ind w:firstLine="374"/>
        <w:spacing w:after="0" w:line="250" w:lineRule="auto"/>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color w:val="auto"/>
        </w:rPr>
        <w:t>Advance Notice Requirement</w:t>
      </w:r>
      <w:r>
        <w:rPr>
          <w:rFonts w:ascii="Arial" w:cs="Arial" w:eastAsia="Arial" w:hAnsi="Arial"/>
          <w:sz w:val="18"/>
          <w:szCs w:val="18"/>
          <w:color w:val="auto"/>
        </w:rPr>
        <w:t>. In order to be eligible for benefits under this Policy, except as otherwise determined or affirmatively waived by the Committee, a Covered Employee must deliver to the Company’s Chief People Officer (or such other individual designated by the Committee), no less than six (6) months prior to the date of a Qualified Retirement, advance written notice (the “</w:t>
      </w:r>
      <w:r>
        <w:rPr>
          <w:rFonts w:ascii="Arial" w:cs="Arial" w:eastAsia="Arial" w:hAnsi="Arial"/>
          <w:sz w:val="18"/>
          <w:szCs w:val="18"/>
          <w:b w:val="1"/>
          <w:bCs w:val="1"/>
          <w:i w:val="1"/>
          <w:iCs w:val="1"/>
          <w:color w:val="auto"/>
        </w:rPr>
        <w:t>Qualified Retirement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of such Covered Employee’s voluntary termination of employment giving rise to a Qualified Retirement and a requested retirement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(the “</w:t>
      </w:r>
      <w:r>
        <w:rPr>
          <w:rFonts w:ascii="Arial" w:cs="Arial" w:eastAsia="Arial" w:hAnsi="Arial"/>
          <w:sz w:val="18"/>
          <w:szCs w:val="18"/>
          <w:b w:val="1"/>
          <w:bCs w:val="1"/>
          <w:i w:val="1"/>
          <w:iCs w:val="1"/>
          <w:color w:val="auto"/>
        </w:rPr>
        <w:t>Proposed Retirement Date”</w:t>
      </w:r>
      <w:r>
        <w:rPr>
          <w:rFonts w:ascii="Arial" w:cs="Arial" w:eastAsia="Arial" w:hAnsi="Arial"/>
          <w:sz w:val="18"/>
          <w:szCs w:val="18"/>
          <w:color w:val="auto"/>
        </w:rPr>
        <w:t>); provided that the benefits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8" w:name="page69"/>
    <w:bookmarkEnd w:id="68"/>
    <w:p>
      <w:pPr>
        <w:jc w:val="both"/>
        <w:spacing w:after="0" w:line="265" w:lineRule="auto"/>
        <w:rPr>
          <w:sz w:val="20"/>
          <w:szCs w:val="20"/>
          <w:color w:val="auto"/>
        </w:rPr>
      </w:pPr>
      <w:r>
        <w:rPr>
          <w:rFonts w:ascii="Arial" w:cs="Arial" w:eastAsia="Arial" w:hAnsi="Arial"/>
          <w:sz w:val="18"/>
          <w:szCs w:val="18"/>
          <w:color w:val="auto"/>
        </w:rPr>
        <w:t>under this Policy shall only apply to Covered Awards that were granted prior to the date on which the Covered Employee delivers the Covered Employee’s Qualified Retirement Notice. The Committee (or its designee) may, in its sole discretion, designate the employee’s retirement date (the “</w:t>
      </w:r>
      <w:r>
        <w:rPr>
          <w:rFonts w:ascii="Arial" w:cs="Arial" w:eastAsia="Arial" w:hAnsi="Arial"/>
          <w:sz w:val="18"/>
          <w:szCs w:val="18"/>
          <w:b w:val="1"/>
          <w:bCs w:val="1"/>
          <w:i w:val="1"/>
          <w:iCs w:val="1"/>
          <w:color w:val="auto"/>
        </w:rPr>
        <w:t>Retirement Date</w:t>
      </w:r>
      <w:r>
        <w:rPr>
          <w:rFonts w:ascii="Arial" w:cs="Arial" w:eastAsia="Arial" w:hAnsi="Arial"/>
          <w:sz w:val="18"/>
          <w:szCs w:val="18"/>
          <w:color w:val="auto"/>
        </w:rPr>
        <w:t>”), which may be earlier or later than the Covered Employee’s Proposed Termination Date.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Qualified Retirement Benefits</w:t>
      </w:r>
      <w:r>
        <w:rPr>
          <w:rFonts w:ascii="Arial" w:cs="Arial" w:eastAsia="Arial" w:hAnsi="Arial"/>
          <w:sz w:val="18"/>
          <w:szCs w:val="18"/>
          <w:color w:val="auto"/>
        </w:rPr>
        <w:t>.</w:t>
      </w:r>
    </w:p>
    <w:p>
      <w:pPr>
        <w:spacing w:after="0" w:line="252" w:lineRule="exact"/>
        <w:rPr>
          <w:sz w:val="20"/>
          <w:szCs w:val="20"/>
          <w:color w:val="auto"/>
        </w:rPr>
      </w:pPr>
    </w:p>
    <w:p>
      <w:pPr>
        <w:jc w:val="both"/>
        <w:ind w:firstLine="1131"/>
        <w:spacing w:after="0" w:line="252" w:lineRule="auto"/>
        <w:tabs>
          <w:tab w:leader="none" w:pos="15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a Covered Employee timely delivering to the Company and not revoking a general waiver and release of claims in favor of the Company, its affiliates and related parties, in a form provided by the Company, in the event a Covered Employee incurs a Qualified Retirement in accordance with the terms of this Policy, then with respect to any Covered Award held by the Covered Employee as of the date of the Qualified Retirement, the following treatment shall apply:</w:t>
      </w:r>
    </w:p>
    <w:p>
      <w:pPr>
        <w:spacing w:after="0" w:line="184" w:lineRule="exact"/>
        <w:rPr>
          <w:sz w:val="20"/>
          <w:szCs w:val="20"/>
          <w:color w:val="auto"/>
        </w:rPr>
      </w:pPr>
    </w:p>
    <w:p>
      <w:pPr>
        <w:jc w:val="both"/>
        <w:ind w:firstLine="1874"/>
        <w:spacing w:after="0" w:line="253" w:lineRule="auto"/>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NQSO -</w:t>
      </w:r>
      <w:r>
        <w:rPr>
          <w:rFonts w:ascii="Arial" w:cs="Arial" w:eastAsia="Arial" w:hAnsi="Arial"/>
          <w:sz w:val="18"/>
          <w:szCs w:val="18"/>
          <w:color w:val="auto"/>
        </w:rPr>
        <w:t xml:space="preserve"> with respect to a Covered Award that is an unvested NQSO, such Covered Award shall, following the Covered Employee’s Retirement Date, continue to vest and become exercisable in accordance with its original vesting schedule and shall remain exercisable for the entirety of the original term applicable to such NQSO;</w:t>
      </w:r>
    </w:p>
    <w:p>
      <w:pPr>
        <w:spacing w:after="0" w:line="196" w:lineRule="exact"/>
        <w:rPr>
          <w:sz w:val="20"/>
          <w:szCs w:val="20"/>
          <w:color w:val="auto"/>
        </w:rPr>
      </w:pPr>
    </w:p>
    <w:p>
      <w:pPr>
        <w:jc w:val="both"/>
        <w:ind w:firstLine="1872"/>
        <w:spacing w:after="0" w:line="271" w:lineRule="auto"/>
        <w:rPr>
          <w:sz w:val="20"/>
          <w:szCs w:val="20"/>
          <w:color w:val="auto"/>
        </w:rPr>
      </w:pPr>
      <w:r>
        <w:rPr>
          <w:rFonts w:ascii="Arial" w:cs="Arial" w:eastAsia="Arial" w:hAnsi="Arial"/>
          <w:sz w:val="18"/>
          <w:szCs w:val="18"/>
          <w:color w:val="auto"/>
        </w:rPr>
        <w:t>(ii)</w:t>
      </w:r>
      <w:r>
        <w:rPr>
          <w:rFonts w:ascii="Arial" w:cs="Arial" w:eastAsia="Arial" w:hAnsi="Arial"/>
          <w:sz w:val="18"/>
          <w:szCs w:val="18"/>
          <w:b w:val="1"/>
          <w:bCs w:val="1"/>
          <w:color w:val="auto"/>
        </w:rPr>
        <w:t>RSU -</w:t>
      </w:r>
      <w:r>
        <w:rPr>
          <w:rFonts w:ascii="Arial" w:cs="Arial" w:eastAsia="Arial" w:hAnsi="Arial"/>
          <w:sz w:val="18"/>
          <w:szCs w:val="18"/>
          <w:color w:val="auto"/>
        </w:rPr>
        <w:t xml:space="preserve"> with respect to a Covered Award that is an unvested RSU, such Covered Award shall, following the Covered Employee’s Retirement Date, continue to vest in accordance with its original vesting schedule;</w:t>
      </w:r>
    </w:p>
    <w:p>
      <w:pPr>
        <w:spacing w:after="0" w:line="140" w:lineRule="exact"/>
        <w:rPr>
          <w:sz w:val="20"/>
          <w:szCs w:val="20"/>
          <w:color w:val="auto"/>
        </w:rPr>
      </w:pPr>
    </w:p>
    <w:p>
      <w:pPr>
        <w:jc w:val="both"/>
        <w:ind w:firstLine="1872"/>
        <w:spacing w:after="0" w:line="246" w:lineRule="auto"/>
        <w:rPr>
          <w:sz w:val="20"/>
          <w:szCs w:val="20"/>
          <w:color w:val="auto"/>
        </w:rPr>
      </w:pPr>
      <w:r>
        <w:rPr>
          <w:rFonts w:ascii="Arial" w:cs="Arial" w:eastAsia="Arial" w:hAnsi="Arial"/>
          <w:sz w:val="18"/>
          <w:szCs w:val="18"/>
          <w:color w:val="auto"/>
        </w:rPr>
        <w:t>(iii)</w:t>
      </w:r>
      <w:r>
        <w:rPr>
          <w:rFonts w:ascii="Arial" w:cs="Arial" w:eastAsia="Arial" w:hAnsi="Arial"/>
          <w:sz w:val="18"/>
          <w:szCs w:val="18"/>
          <w:b w:val="1"/>
          <w:bCs w:val="1"/>
          <w:color w:val="auto"/>
        </w:rPr>
        <w:t>PSU -</w:t>
      </w:r>
      <w:r>
        <w:rPr>
          <w:rFonts w:ascii="Arial" w:cs="Arial" w:eastAsia="Arial" w:hAnsi="Arial"/>
          <w:sz w:val="18"/>
          <w:szCs w:val="18"/>
          <w:color w:val="auto"/>
        </w:rPr>
        <w:t xml:space="preserve"> with respect to a Covered Award that is an unvested PSU, the service condition for each award shall be satisfied on a pro-rata basis on the Covered Employee’s Retirement Date based on the number of full months of continuous service completed between the award’s grant date and the Covered Employee’s Retirement Date. To the extent the service condition is not satisfied under this section (iii) for any portion of a PSU, such portion of the PSU shall be forfeited on the Covered Employee’s Retirement Date. To the extent a PSU (or any portion thereof) is not forfeited on an Covered Employee’s Retirement Date as a result of this section (iii), such PSU (or portion thereof) shall, following the Covered Employee’s Retirement Date, remain outstanding and be eligible to become earned based on the satisfaction of the applicable performance conditions. Payments under such award shall be made at the time specified in the award agreement; and</w:t>
      </w:r>
    </w:p>
    <w:p>
      <w:pPr>
        <w:spacing w:after="0" w:line="206" w:lineRule="exact"/>
        <w:rPr>
          <w:sz w:val="20"/>
          <w:szCs w:val="20"/>
          <w:color w:val="auto"/>
        </w:rPr>
      </w:pPr>
    </w:p>
    <w:p>
      <w:pPr>
        <w:jc w:val="both"/>
        <w:ind w:firstLine="1872"/>
        <w:spacing w:after="0" w:line="252" w:lineRule="auto"/>
        <w:rPr>
          <w:sz w:val="20"/>
          <w:szCs w:val="20"/>
          <w:color w:val="auto"/>
        </w:rPr>
      </w:pPr>
      <w:r>
        <w:rPr>
          <w:rFonts w:ascii="Arial" w:cs="Arial" w:eastAsia="Arial" w:hAnsi="Arial"/>
          <w:sz w:val="18"/>
          <w:szCs w:val="18"/>
          <w:color w:val="auto"/>
        </w:rPr>
        <w:t>(iv)</w:t>
      </w:r>
      <w:r>
        <w:rPr>
          <w:rFonts w:ascii="Arial" w:cs="Arial" w:eastAsia="Arial" w:hAnsi="Arial"/>
          <w:sz w:val="18"/>
          <w:szCs w:val="18"/>
          <w:b w:val="1"/>
          <w:bCs w:val="1"/>
          <w:color w:val="auto"/>
        </w:rPr>
        <w:t>Annual Bonus –</w:t>
      </w:r>
      <w:r>
        <w:rPr>
          <w:rFonts w:ascii="Arial" w:cs="Arial" w:eastAsia="Arial" w:hAnsi="Arial"/>
          <w:sz w:val="18"/>
          <w:szCs w:val="18"/>
          <w:color w:val="auto"/>
        </w:rPr>
        <w:t xml:space="preserve"> with respect to any unpaid annual bonus amounts applicable to the year in which the Covered Employee’s Qualified Retirement occurs, the Covered Employee shall be entitled to a prorated bonus based on the number of days the Covered Employee was employed during such year and further subject to the Company’s performance. Such prorated bonus amount shall be paid at the same time as annual bonuses are paid to eligible annual bonus plan participants.</w:t>
      </w:r>
    </w:p>
    <w:p>
      <w:pPr>
        <w:spacing w:after="0" w:line="170" w:lineRule="exact"/>
        <w:rPr>
          <w:sz w:val="20"/>
          <w:szCs w:val="20"/>
          <w:color w:val="auto"/>
        </w:rPr>
      </w:pPr>
    </w:p>
    <w:p>
      <w:pPr>
        <w:jc w:val="both"/>
        <w:ind w:firstLine="1131"/>
        <w:spacing w:after="0" w:line="255" w:lineRule="auto"/>
        <w:tabs>
          <w:tab w:leader="none" w:pos="15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benefits set forth under this Section 6 are further subject to the Covered Employee complying with all of his or her obligations (including with respect to non-competition, non-solicitation, non-disparagement and other restrictive covenants, as applicable) that apply under any agreement to which the Covered Employee and the Company (or any of its affiliates) are both parties or under any other policy, program or arrangement of the Company that applies to the Covered Employee (the “</w:t>
      </w:r>
      <w:r>
        <w:rPr>
          <w:rFonts w:ascii="Arial" w:cs="Arial" w:eastAsia="Arial" w:hAnsi="Arial"/>
          <w:sz w:val="18"/>
          <w:szCs w:val="18"/>
          <w:b w:val="1"/>
          <w:bCs w:val="1"/>
          <w:i w:val="1"/>
          <w:iCs w:val="1"/>
          <w:color w:val="auto"/>
        </w:rPr>
        <w:t>Covenant Obligations</w:t>
      </w:r>
      <w:r>
        <w:rPr>
          <w:rFonts w:ascii="Arial" w:cs="Arial" w:eastAsia="Arial" w:hAnsi="Arial"/>
          <w:sz w:val="18"/>
          <w:szCs w:val="18"/>
          <w:color w:val="auto"/>
        </w:rPr>
        <w:t>”).</w:t>
      </w:r>
    </w:p>
    <w:p>
      <w:pPr>
        <w:spacing w:after="0" w:line="14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8"/>
          <w:szCs w:val="18"/>
          <w:color w:val="auto"/>
        </w:rPr>
        <w:t>In the event (1) a Covered Employee fails to comply with his or her Covenant Obligations, or (2) following a Covered Employee’s termination of employment giving rise to a Qualified Retirement, the Company learns of any acts or omissions committed by such Covered Employee during his or her period of service with the Company that would have constituted Cause (as defined under the Plan), then all benefits under this Policy shall immediately cease with respect to the Covered Employee and the Covered Employee shall no longer be eligible for any current or future benefits under the Policy.</w:t>
      </w:r>
    </w:p>
    <w:p>
      <w:pPr>
        <w:spacing w:after="0" w:line="187" w:lineRule="exact"/>
        <w:rPr>
          <w:sz w:val="20"/>
          <w:szCs w:val="20"/>
          <w:color w:val="auto"/>
        </w:rPr>
      </w:pPr>
    </w:p>
    <w:p>
      <w:pPr>
        <w:ind w:firstLine="1131"/>
        <w:spacing w:after="0" w:line="271" w:lineRule="auto"/>
        <w:tabs>
          <w:tab w:leader="none" w:pos="15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Following a Qualified Retirement, a Covered Employee shall be required to notify the Company’s payroll department of any changes to the Covered Employee’s address (or any subsequent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address) until all outstanding Covered Awards of the Covered Employee have become exercised, settled or otherwise terminated.</w:t>
      </w:r>
    </w:p>
    <w:p>
      <w:pPr>
        <w:spacing w:after="0" w:line="225" w:lineRule="exact"/>
        <w:rPr>
          <w:sz w:val="20"/>
          <w:szCs w:val="20"/>
          <w:color w:val="auto"/>
        </w:rPr>
      </w:pPr>
    </w:p>
    <w:p>
      <w:pPr>
        <w:jc w:val="both"/>
        <w:ind w:firstLine="374"/>
        <w:spacing w:after="0" w:line="247" w:lineRule="auto"/>
        <w:rPr>
          <w:sz w:val="20"/>
          <w:szCs w:val="20"/>
          <w:color w:val="auto"/>
        </w:rPr>
      </w:pPr>
      <w:r>
        <w:rPr>
          <w:rFonts w:ascii="Arial" w:cs="Arial" w:eastAsia="Arial" w:hAnsi="Arial"/>
          <w:sz w:val="18"/>
          <w:szCs w:val="18"/>
          <w:color w:val="auto"/>
        </w:rPr>
        <w:t>7.</w:t>
      </w:r>
      <w:r>
        <w:rPr>
          <w:rFonts w:ascii="Arial" w:cs="Arial" w:eastAsia="Arial" w:hAnsi="Arial"/>
          <w:sz w:val="18"/>
          <w:szCs w:val="18"/>
          <w:b w:val="1"/>
          <w:bCs w:val="1"/>
          <w:color w:val="auto"/>
        </w:rPr>
        <w:t>Administration, Amendment and Termination</w:t>
      </w:r>
      <w:r>
        <w:rPr>
          <w:rFonts w:ascii="Arial" w:cs="Arial" w:eastAsia="Arial" w:hAnsi="Arial"/>
          <w:sz w:val="18"/>
          <w:szCs w:val="18"/>
          <w:color w:val="auto"/>
        </w:rPr>
        <w:t>. This Policy shall be administered by the Committee. All decisions, determinations and interpretations by the Committee regarding this Policy shall be final and binding. The Committee shall have complete and exclusive power and authority to, at any time and for any reason, amend, modify or terminate this Policy. No amendment, modification, or termination of this Policy will, without the consent of a Covered Employee, materially impair the rights of, or obligations to, such Covered Employee with respect to a Covered Award granted prior to such amendment, suspension or termination.</w:t>
      </w:r>
    </w:p>
    <w:p>
      <w:pPr>
        <w:spacing w:after="0" w:line="204" w:lineRule="exact"/>
        <w:rPr>
          <w:sz w:val="20"/>
          <w:szCs w:val="20"/>
          <w:color w:val="auto"/>
        </w:rPr>
      </w:pPr>
    </w:p>
    <w:p>
      <w:pPr>
        <w:jc w:val="both"/>
        <w:ind w:right="20" w:firstLine="374"/>
        <w:spacing w:after="0" w:line="271" w:lineRule="auto"/>
        <w:rPr>
          <w:sz w:val="20"/>
          <w:szCs w:val="20"/>
          <w:color w:val="auto"/>
        </w:rPr>
      </w:pPr>
      <w:r>
        <w:rPr>
          <w:rFonts w:ascii="Arial" w:cs="Arial" w:eastAsia="Arial" w:hAnsi="Arial"/>
          <w:sz w:val="18"/>
          <w:szCs w:val="18"/>
          <w:color w:val="auto"/>
        </w:rPr>
        <w:t>8.</w:t>
      </w:r>
      <w:r>
        <w:rPr>
          <w:rFonts w:ascii="Arial" w:cs="Arial" w:eastAsia="Arial" w:hAnsi="Arial"/>
          <w:sz w:val="18"/>
          <w:szCs w:val="18"/>
          <w:b w:val="1"/>
          <w:bCs w:val="1"/>
          <w:color w:val="auto"/>
        </w:rPr>
        <w:t>No Change to Existing Terms and Conditions</w:t>
      </w:r>
      <w:r>
        <w:rPr>
          <w:rFonts w:ascii="Arial" w:cs="Arial" w:eastAsia="Arial" w:hAnsi="Arial"/>
          <w:sz w:val="18"/>
          <w:szCs w:val="18"/>
          <w:color w:val="auto"/>
        </w:rPr>
        <w:t>. Except as otherwise expressly provided in this Policy, the terms and conditions that otherwise apply to any Covered Award shall continue to apply.</w:t>
      </w:r>
    </w:p>
    <w:p>
      <w:pPr>
        <w:spacing w:after="0" w:line="181" w:lineRule="exact"/>
        <w:rPr>
          <w:sz w:val="20"/>
          <w:szCs w:val="20"/>
          <w:color w:val="auto"/>
        </w:rPr>
      </w:pPr>
    </w:p>
    <w:p>
      <w:pPr>
        <w:jc w:val="both"/>
        <w:ind w:firstLine="374"/>
        <w:spacing w:after="0" w:line="243" w:lineRule="auto"/>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b w:val="1"/>
          <w:bCs w:val="1"/>
          <w:color w:val="auto"/>
        </w:rPr>
        <w:t>Section 409A</w:t>
      </w:r>
      <w:r>
        <w:rPr>
          <w:rFonts w:ascii="Arial" w:cs="Arial" w:eastAsia="Arial" w:hAnsi="Arial"/>
          <w:sz w:val="18"/>
          <w:szCs w:val="18"/>
          <w:color w:val="auto"/>
        </w:rPr>
        <w:t>. This Policy, and its implementation, is intended to meet the requirements for compliance with, or exemption from, Sectio 409A of the Internal Revenue Code of 1986, as amended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and shall be interpreted and construed consistent with that intent. To the extent required in order to avoid accelerated taxation and/or accelerated payment under Section 409A, references to termination of employment, separation from service and similar or correlative terms in this Policy shall mean a “separation from service” (as defined at Section 1.409A-1(h) of the Treasury Regulations) from the Company. Each installment of the payments and benefits provided for as a result of this Policy shall be treated as a separate “payment” for purposes of Treasury Regulation Section 1.409A-2(b)(2)(i). The Company makes no representation that any or all of the payments described in this Policy shall be exempt from or comply with Section 409A. Covered Employees shall be solely responsible for the payment of any taxes and penalties incurred under Section 409A. To the extent that a Covered Employee is a “specified employee” (within the meaning of Section 409A), then, to the extent required to avoid imposition of penalties under Section 409A, payments arising as a result of this Policy shall not be delivered before the earlier of (i) the day that is six months plus one day after the date of such Covered Employee’s separation from service (as determined under Section 409A), or (ii) the tenth (10th) day after the date of such Covered Employee’s death.</w:t>
      </w:r>
    </w:p>
    <w:p>
      <w:pPr>
        <w:spacing w:after="0" w:line="19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8"/>
          <w:szCs w:val="18"/>
          <w:color w:val="auto"/>
        </w:rPr>
        <w:t>10.</w:t>
      </w:r>
      <w:r>
        <w:rPr>
          <w:rFonts w:ascii="Arial" w:cs="Arial" w:eastAsia="Arial" w:hAnsi="Arial"/>
          <w:sz w:val="18"/>
          <w:szCs w:val="18"/>
          <w:b w:val="1"/>
          <w:bCs w:val="1"/>
          <w:color w:val="auto"/>
        </w:rPr>
        <w:t>No Right to Continued Service</w:t>
      </w:r>
      <w:r>
        <w:rPr>
          <w:rFonts w:ascii="Arial" w:cs="Arial" w:eastAsia="Arial" w:hAnsi="Arial"/>
          <w:sz w:val="18"/>
          <w:szCs w:val="18"/>
          <w:color w:val="auto"/>
        </w:rPr>
        <w:t>. Nothing in this Policy shall interfere with or limit in any way any right of the Company or any of its affiliates to terminate any employee’s employment or other service relationship at any time and for any reason (or no reason), nor confer upon any Covered Employee any right to continued service for any period of time or to continue such Covered Employee’s present (or any other) rate of compensation.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xecutive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171"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51"/>
        </w:trPr>
        <w:tc>
          <w:tcPr>
            <w:tcW w:w="5780" w:type="dxa"/>
            <w:vAlign w:val="bottom"/>
          </w:tcPr>
          <w:p>
            <w:pPr>
              <w:spacing w:after="0"/>
              <w:rPr>
                <w:sz w:val="13"/>
                <w:szCs w:val="13"/>
                <w:color w:val="auto"/>
              </w:rPr>
            </w:pPr>
          </w:p>
        </w:tc>
        <w:tc>
          <w:tcPr>
            <w:tcW w:w="54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Mac Armstrong</w:t>
            </w:r>
          </w:p>
        </w:tc>
      </w:tr>
      <w:tr>
        <w:trPr>
          <w:trHeight w:val="234"/>
        </w:trPr>
        <w:tc>
          <w:tcPr>
            <w:tcW w:w="5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1600"/>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ertification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ursuant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302 </w:t>
      </w:r>
      <w:r>
        <w:rPr>
          <w:rFonts w:ascii="Times New Roman" w:cs="Times New Roman" w:eastAsia="Times New Roman" w:hAnsi="Times New Roman"/>
          <w:sz w:val="12"/>
          <w:szCs w:val="12"/>
          <w:b w:val="1"/>
          <w:bCs w:val="1"/>
          <w:color w:val="auto"/>
        </w:rPr>
        <w:t>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arbanes</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xley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ct of</w:t>
      </w:r>
      <w:r>
        <w:rPr>
          <w:rFonts w:ascii="Times New Roman" w:cs="Times New Roman" w:eastAsia="Times New Roman" w:hAnsi="Times New Roman"/>
          <w:sz w:val="18"/>
          <w:szCs w:val="18"/>
          <w:b w:val="1"/>
          <w:bCs w:val="1"/>
          <w:color w:val="auto"/>
        </w:rPr>
        <w:t xml:space="preserve">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171"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Palomar Holdings, Inc.;</w:t>
      </w:r>
    </w:p>
    <w:p>
      <w:pPr>
        <w:spacing w:after="0" w:line="184"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2" w:lineRule="exact"/>
        <w:rPr>
          <w:rFonts w:ascii="Times New Roman" w:cs="Times New Roman" w:eastAsia="Times New Roman" w:hAnsi="Times New Roman"/>
          <w:sz w:val="18"/>
          <w:szCs w:val="18"/>
          <w:color w:val="auto"/>
        </w:rPr>
      </w:pPr>
    </w:p>
    <w:p>
      <w:pPr>
        <w:ind w:left="1020" w:right="320" w:hanging="503"/>
        <w:spacing w:after="0" w:line="250"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520" w:right="16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2025</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51"/>
        </w:trPr>
        <w:tc>
          <w:tcPr>
            <w:tcW w:w="5780" w:type="dxa"/>
            <w:vAlign w:val="bottom"/>
          </w:tcPr>
          <w:p>
            <w:pPr>
              <w:spacing w:after="0"/>
              <w:rPr>
                <w:sz w:val="13"/>
                <w:szCs w:val="13"/>
                <w:color w:val="auto"/>
              </w:rPr>
            </w:pPr>
          </w:p>
        </w:tc>
        <w:tc>
          <w:tcPr>
            <w:tcW w:w="546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T. Christopher Uchida</w:t>
            </w:r>
          </w:p>
        </w:tc>
      </w:tr>
      <w:tr>
        <w:trPr>
          <w:trHeight w:val="234"/>
        </w:trPr>
        <w:tc>
          <w:tcPr>
            <w:tcW w:w="578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00"/>
        </w:trPr>
        <w:tc>
          <w:tcPr>
            <w:tcW w:w="578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right="40"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Palomar Holdings, Inc. (the “Company”) for the quarter ended September 30, 2025, as filed with the Securities and Exchange Commission on the date hereof (the “Report”), we, Mac Armstrong, as Chief Executive Officer of the Company, and T. Christopher Uchida, Chief Financial Officer, hereby certify pursuant to Title 18, Chapter 63, Section 1350 of the United States Code, as adopted by Section 906 of the Sarbanes-Oxley Act of 2002, that to the best of our knowledge:</w:t>
      </w:r>
    </w:p>
    <w:p>
      <w:pPr>
        <w:spacing w:after="0" w:line="1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the Report fully complies with the requirements of Section 13(a) or 15(d), as applicable, of the Securities Exchange Act of 1934, as amended;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2025</w:t>
            </w:r>
          </w:p>
        </w:tc>
        <w:tc>
          <w:tcPr>
            <w:tcW w:w="24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Mac Armstrong</w:t>
            </w:r>
          </w:p>
        </w:tc>
      </w:tr>
      <w:tr>
        <w:trPr>
          <w:trHeight w:val="157"/>
        </w:trPr>
        <w:tc>
          <w:tcPr>
            <w:tcW w:w="3440" w:type="dxa"/>
            <w:vAlign w:val="bottom"/>
          </w:tcPr>
          <w:p>
            <w:pPr>
              <w:spacing w:after="0"/>
              <w:rPr>
                <w:sz w:val="13"/>
                <w:szCs w:val="13"/>
                <w:color w:val="auto"/>
              </w:rPr>
            </w:pPr>
          </w:p>
        </w:tc>
        <w:tc>
          <w:tcPr>
            <w:tcW w:w="2420" w:type="dxa"/>
            <w:vAlign w:val="bottom"/>
          </w:tcPr>
          <w:p>
            <w:pPr>
              <w:ind w:left="1640"/>
              <w:spacing w:after="0" w:line="157" w:lineRule="exact"/>
              <w:rPr>
                <w:sz w:val="20"/>
                <w:szCs w:val="20"/>
                <w:color w:val="auto"/>
              </w:rPr>
            </w:pPr>
            <w:r>
              <w:rPr>
                <w:rFonts w:ascii="Times New Roman" w:cs="Times New Roman" w:eastAsia="Times New Roman" w:hAnsi="Times New Roman"/>
                <w:sz w:val="18"/>
                <w:szCs w:val="18"/>
                <w:color w:val="auto"/>
              </w:rPr>
              <w:t>Name:</w:t>
            </w:r>
          </w:p>
        </w:tc>
        <w:tc>
          <w:tcPr>
            <w:tcW w:w="536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8"/>
                <w:szCs w:val="18"/>
                <w:color w:val="auto"/>
              </w:rPr>
              <w:t>Mac Armstrong</w:t>
            </w:r>
          </w:p>
        </w:tc>
        <w:tc>
          <w:tcPr>
            <w:tcW w:w="20" w:type="dxa"/>
            <w:vAlign w:val="bottom"/>
          </w:tcPr>
          <w:p>
            <w:pPr>
              <w:spacing w:after="0"/>
              <w:rPr>
                <w:sz w:val="13"/>
                <w:szCs w:val="13"/>
                <w:color w:val="auto"/>
              </w:rPr>
            </w:pPr>
          </w:p>
        </w:tc>
      </w:tr>
      <w:tr>
        <w:trPr>
          <w:trHeight w:val="189"/>
        </w:trPr>
        <w:tc>
          <w:tcPr>
            <w:tcW w:w="3440" w:type="dxa"/>
            <w:vAlign w:val="bottom"/>
          </w:tcPr>
          <w:p>
            <w:pPr>
              <w:spacing w:after="0"/>
              <w:rPr>
                <w:sz w:val="16"/>
                <w:szCs w:val="16"/>
                <w:color w:val="auto"/>
              </w:rPr>
            </w:pPr>
          </w:p>
        </w:tc>
        <w:tc>
          <w:tcPr>
            <w:tcW w:w="2420" w:type="dxa"/>
            <w:vAlign w:val="bottom"/>
          </w:tcPr>
          <w:p>
            <w:pPr>
              <w:ind w:left="164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5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Chairman of the Board and Chief Executive Officer</w:t>
            </w:r>
          </w:p>
        </w:tc>
      </w:tr>
      <w:tr>
        <w:trPr>
          <w:trHeight w:val="234"/>
        </w:trPr>
        <w:tc>
          <w:tcPr>
            <w:tcW w:w="3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8"/>
        </w:trPr>
        <w:tc>
          <w:tcPr>
            <w:tcW w:w="34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380" w:type="dxa"/>
            <w:vAlign w:val="bottom"/>
            <w:gridSpan w:val="2"/>
          </w:tcPr>
          <w:p>
            <w:pPr>
              <w:spacing w:after="0"/>
              <w:rPr>
                <w:sz w:val="12"/>
                <w:szCs w:val="12"/>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7, 2025</w:t>
            </w:r>
          </w:p>
        </w:tc>
        <w:tc>
          <w:tcPr>
            <w:tcW w:w="242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51"/>
        </w:trPr>
        <w:tc>
          <w:tcPr>
            <w:tcW w:w="3440" w:type="dxa"/>
            <w:vAlign w:val="bottom"/>
          </w:tcPr>
          <w:p>
            <w:pPr>
              <w:spacing w:after="0"/>
              <w:rPr>
                <w:sz w:val="13"/>
                <w:szCs w:val="13"/>
                <w:color w:val="auto"/>
              </w:rPr>
            </w:pPr>
          </w:p>
        </w:tc>
        <w:tc>
          <w:tcPr>
            <w:tcW w:w="2420" w:type="dxa"/>
            <w:vAlign w:val="bottom"/>
          </w:tcPr>
          <w:p>
            <w:pPr>
              <w:ind w:left="1640"/>
              <w:spacing w:after="0" w:line="150" w:lineRule="exact"/>
              <w:rPr>
                <w:sz w:val="20"/>
                <w:szCs w:val="20"/>
                <w:color w:val="auto"/>
              </w:rPr>
            </w:pPr>
            <w:r>
              <w:rPr>
                <w:rFonts w:ascii="Times New Roman" w:cs="Times New Roman" w:eastAsia="Times New Roman" w:hAnsi="Times New Roman"/>
                <w:sz w:val="17"/>
                <w:szCs w:val="17"/>
                <w:color w:val="auto"/>
              </w:rPr>
              <w:t>Name:</w:t>
            </w:r>
          </w:p>
        </w:tc>
        <w:tc>
          <w:tcPr>
            <w:tcW w:w="536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T. Christopher Uchida</w:t>
            </w:r>
          </w:p>
        </w:tc>
        <w:tc>
          <w:tcPr>
            <w:tcW w:w="20" w:type="dxa"/>
            <w:vAlign w:val="bottom"/>
          </w:tcPr>
          <w:p>
            <w:pPr>
              <w:spacing w:after="0"/>
              <w:rPr>
                <w:sz w:val="13"/>
                <w:szCs w:val="13"/>
                <w:color w:val="auto"/>
              </w:rPr>
            </w:pPr>
          </w:p>
        </w:tc>
      </w:tr>
      <w:tr>
        <w:trPr>
          <w:trHeight w:val="189"/>
        </w:trPr>
        <w:tc>
          <w:tcPr>
            <w:tcW w:w="3440" w:type="dxa"/>
            <w:vAlign w:val="bottom"/>
          </w:tcPr>
          <w:p>
            <w:pPr>
              <w:spacing w:after="0"/>
              <w:rPr>
                <w:sz w:val="16"/>
                <w:szCs w:val="16"/>
                <w:color w:val="auto"/>
              </w:rPr>
            </w:pPr>
          </w:p>
        </w:tc>
        <w:tc>
          <w:tcPr>
            <w:tcW w:w="2420" w:type="dxa"/>
            <w:vAlign w:val="bottom"/>
          </w:tcPr>
          <w:p>
            <w:pPr>
              <w:ind w:left="164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53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775"/>
        </w:trPr>
        <w:tc>
          <w:tcPr>
            <w:tcW w:w="34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04"/>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2"/>
    </w:lvl>
  </w:abstractNum>
  <w:abstractNum w:abstractNumId="32">
    <w:nsid w:val="614FD4A1"/>
    <w:multiLevelType w:val="hybridMultilevel"/>
    <w:lvl w:ilvl="0">
      <w:lvlJc w:val="left"/>
      <w:lvlText w:val="(%1)"/>
      <w:numFmt w:val="lowerLetter"/>
      <w:start w:val="3"/>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78" Type="http://schemas.openxmlformats.org/officeDocument/2006/relationships/hyperlink" Target="https://www.sec.gov/Archives/edgar/data/1761312/000119312525258571/plmr-ex2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2025-11-07T15:31:57Z</dcterms:created>
  <dcterms:modified xsi:type="dcterms:W3CDTF">2025-11-07T15:31:57Z</dcterms:modified>
</cp:coreProperties>
</file>