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820" w:right="2360" w:hanging="488"/>
        <w:spacing w:after="0" w:line="264" w:lineRule="auto"/>
        <w:tabs>
          <w:tab w:leader="none" w:pos="658"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June 30, 2024</w:t>
      </w: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11" w:lineRule="exact"/>
        <w:rPr>
          <w:sz w:val="24"/>
          <w:szCs w:val="24"/>
          <w:color w:val="auto"/>
        </w:rPr>
      </w:pPr>
    </w:p>
    <w:p>
      <w:pPr>
        <w:ind w:left="820" w:right="2340" w:hanging="488"/>
        <w:spacing w:after="0" w:line="301" w:lineRule="auto"/>
        <w:tabs>
          <w:tab w:leader="none" w:pos="65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 to ___________</w:t>
      </w:r>
    </w:p>
    <w:p>
      <w:pPr>
        <w:spacing w:after="0" w:line="6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40" w:type="dxa"/>
            <w:vAlign w:val="bottom"/>
            <w:gridSpan w:val="6"/>
          </w:tcPr>
          <w:p>
            <w:pPr>
              <w:jc w:val="center"/>
              <w:ind w:right="500"/>
              <w:spacing w:after="0"/>
              <w:rPr>
                <w:sz w:val="20"/>
                <w:szCs w:val="20"/>
                <w:color w:val="auto"/>
              </w:rPr>
            </w:pPr>
            <w:r>
              <w:rPr>
                <w:rFonts w:ascii="Times New Roman" w:cs="Times New Roman" w:eastAsia="Times New Roman" w:hAnsi="Times New Roman"/>
                <w:sz w:val="16"/>
                <w:szCs w:val="16"/>
                <w:color w:val="auto"/>
              </w:rPr>
              <w:t>Commission File Number: 001-38873</w:t>
            </w:r>
          </w:p>
        </w:tc>
        <w:tc>
          <w:tcPr>
            <w:tcW w:w="3800" w:type="dxa"/>
            <w:vAlign w:val="bottom"/>
          </w:tcPr>
          <w:p>
            <w:pPr>
              <w:spacing w:after="0"/>
              <w:rPr>
                <w:sz w:val="18"/>
                <w:szCs w:val="18"/>
                <w:color w:val="auto"/>
              </w:rPr>
            </w:pPr>
          </w:p>
        </w:tc>
      </w:tr>
      <w:tr>
        <w:trPr>
          <w:trHeight w:val="656"/>
        </w:trPr>
        <w:tc>
          <w:tcPr>
            <w:tcW w:w="3800" w:type="dxa"/>
            <w:vAlign w:val="bottom"/>
          </w:tcPr>
          <w:p>
            <w:pPr>
              <w:spacing w:after="0"/>
              <w:rPr>
                <w:sz w:val="24"/>
                <w:szCs w:val="24"/>
                <w:color w:val="auto"/>
              </w:rPr>
            </w:pPr>
          </w:p>
        </w:tc>
        <w:tc>
          <w:tcPr>
            <w:tcW w:w="3640" w:type="dxa"/>
            <w:vAlign w:val="bottom"/>
            <w:gridSpan w:val="7"/>
          </w:tcPr>
          <w:p>
            <w:pPr>
              <w:jc w:val="center"/>
              <w:spacing w:after="0"/>
              <w:rPr>
                <w:sz w:val="20"/>
                <w:szCs w:val="20"/>
                <w:color w:val="auto"/>
              </w:rPr>
            </w:pPr>
            <w:r>
              <w:rPr>
                <w:rFonts w:ascii="Times New Roman" w:cs="Times New Roman" w:eastAsia="Times New Roman" w:hAnsi="Times New Roman"/>
                <w:sz w:val="36"/>
                <w:szCs w:val="36"/>
                <w:b w:val="1"/>
                <w:bCs w:val="1"/>
                <w:color w:val="auto"/>
                <w:w w:val="99"/>
              </w:rPr>
              <w:t>Palomar Holdings, Inc.</w:t>
            </w:r>
          </w:p>
        </w:tc>
        <w:tc>
          <w:tcPr>
            <w:tcW w:w="3800" w:type="dxa"/>
            <w:vAlign w:val="bottom"/>
          </w:tcPr>
          <w:p>
            <w:pPr>
              <w:spacing w:after="0"/>
              <w:rPr>
                <w:sz w:val="24"/>
                <w:szCs w:val="24"/>
                <w:color w:val="auto"/>
              </w:rPr>
            </w:pPr>
          </w:p>
        </w:tc>
      </w:tr>
      <w:tr>
        <w:trPr>
          <w:trHeight w:val="330"/>
        </w:trPr>
        <w:tc>
          <w:tcPr>
            <w:tcW w:w="3800" w:type="dxa"/>
            <w:vAlign w:val="bottom"/>
          </w:tcPr>
          <w:p>
            <w:pPr>
              <w:spacing w:after="0"/>
              <w:rPr>
                <w:sz w:val="24"/>
                <w:szCs w:val="24"/>
                <w:color w:val="auto"/>
              </w:rPr>
            </w:pPr>
          </w:p>
        </w:tc>
        <w:tc>
          <w:tcPr>
            <w:tcW w:w="3640" w:type="dxa"/>
            <w:vAlign w:val="bottom"/>
            <w:gridSpan w:val="7"/>
          </w:tcPr>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800" w:type="dxa"/>
            <w:vAlign w:val="bottom"/>
          </w:tcPr>
          <w:p>
            <w:pPr>
              <w:spacing w:after="0"/>
              <w:rPr>
                <w:sz w:val="24"/>
                <w:szCs w:val="24"/>
                <w:color w:val="auto"/>
              </w:rPr>
            </w:pPr>
          </w:p>
        </w:tc>
      </w:tr>
      <w:tr>
        <w:trPr>
          <w:trHeight w:val="408"/>
        </w:trPr>
        <w:tc>
          <w:tcPr>
            <w:tcW w:w="3800" w:type="dxa"/>
            <w:vAlign w:val="bottom"/>
            <w:tcBorders>
              <w:bottom w:val="single" w:sz="8" w:color="auto"/>
            </w:tcBorders>
          </w:tcPr>
          <w:p>
            <w:pPr>
              <w:jc w:val="center"/>
              <w:ind w:left="12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right"/>
              <w:ind w:right="2099"/>
              <w:spacing w:after="0"/>
              <w:rPr>
                <w:sz w:val="20"/>
                <w:szCs w:val="20"/>
                <w:color w:val="auto"/>
              </w:rPr>
            </w:pPr>
            <w:r>
              <w:rPr>
                <w:rFonts w:ascii="Times New Roman" w:cs="Times New Roman" w:eastAsia="Times New Roman" w:hAnsi="Times New Roman"/>
                <w:sz w:val="16"/>
                <w:szCs w:val="16"/>
                <w:b w:val="1"/>
                <w:bCs w:val="1"/>
                <w:color w:val="auto"/>
              </w:rPr>
              <w:t>83-3972551</w:t>
            </w:r>
          </w:p>
        </w:tc>
      </w:tr>
      <w:tr>
        <w:trPr>
          <w:trHeight w:val="185"/>
        </w:trPr>
        <w:tc>
          <w:tcPr>
            <w:tcW w:w="38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0" w:type="dxa"/>
            <w:vAlign w:val="bottom"/>
          </w:tcPr>
          <w:p>
            <w:pPr>
              <w:jc w:val="center"/>
              <w:ind w:right="12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800" w:type="dxa"/>
            <w:vAlign w:val="bottom"/>
          </w:tcPr>
          <w:p>
            <w:pPr>
              <w:jc w:val="center"/>
              <w:ind w:left="1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395"/>
        </w:trPr>
        <w:tc>
          <w:tcPr>
            <w:tcW w:w="3800" w:type="dxa"/>
            <w:vAlign w:val="bottom"/>
          </w:tcPr>
          <w:p>
            <w:pPr>
              <w:jc w:val="center"/>
              <w:ind w:left="1299"/>
              <w:spacing w:after="0"/>
              <w:rPr>
                <w:sz w:val="20"/>
                <w:szCs w:val="20"/>
                <w:color w:val="auto"/>
              </w:rPr>
            </w:pPr>
            <w:r>
              <w:rPr>
                <w:rFonts w:ascii="Times New Roman" w:cs="Times New Roman" w:eastAsia="Times New Roman" w:hAnsi="Times New Roman"/>
                <w:sz w:val="16"/>
                <w:szCs w:val="16"/>
                <w:b w:val="1"/>
                <w:bCs w:val="1"/>
                <w:color w:val="auto"/>
              </w:rPr>
              <w:t>7979 Ivanhoe Avenue, Suite 500</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2"/>
        </w:trPr>
        <w:tc>
          <w:tcPr>
            <w:tcW w:w="3800" w:type="dxa"/>
            <w:vAlign w:val="bottom"/>
            <w:tcBorders>
              <w:bottom w:val="single" w:sz="8" w:color="auto"/>
            </w:tcBorders>
          </w:tcPr>
          <w:p>
            <w:pPr>
              <w:jc w:val="center"/>
              <w:ind w:left="1319"/>
              <w:spacing w:after="0"/>
              <w:rPr>
                <w:sz w:val="20"/>
                <w:szCs w:val="20"/>
                <w:color w:val="auto"/>
              </w:rPr>
            </w:pPr>
            <w:r>
              <w:rPr>
                <w:rFonts w:ascii="Times New Roman" w:cs="Times New Roman" w:eastAsia="Times New Roman" w:hAnsi="Times New Roman"/>
                <w:sz w:val="16"/>
                <w:szCs w:val="16"/>
                <w:b w:val="1"/>
                <w:bCs w:val="1"/>
                <w:color w:val="auto"/>
              </w:rPr>
              <w:t>La Jolla, California</w:t>
            </w: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jc w:val="right"/>
              <w:ind w:right="2299"/>
              <w:spacing w:after="0"/>
              <w:rPr>
                <w:sz w:val="20"/>
                <w:szCs w:val="20"/>
                <w:color w:val="auto"/>
              </w:rPr>
            </w:pPr>
            <w:r>
              <w:rPr>
                <w:rFonts w:ascii="Times New Roman" w:cs="Times New Roman" w:eastAsia="Times New Roman" w:hAnsi="Times New Roman"/>
                <w:sz w:val="16"/>
                <w:szCs w:val="16"/>
                <w:b w:val="1"/>
                <w:bCs w:val="1"/>
                <w:color w:val="auto"/>
              </w:rPr>
              <w:t>92037</w:t>
            </w:r>
          </w:p>
        </w:tc>
      </w:tr>
      <w:tr>
        <w:trPr>
          <w:trHeight w:val="210"/>
        </w:trPr>
        <w:tc>
          <w:tcPr>
            <w:tcW w:w="518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0" w:type="dxa"/>
            <w:vAlign w:val="bottom"/>
          </w:tcPr>
          <w:p>
            <w:pPr>
              <w:jc w:val="center"/>
              <w:ind w:right="1279"/>
              <w:spacing w:after="0"/>
              <w:rPr>
                <w:sz w:val="20"/>
                <w:szCs w:val="20"/>
                <w:color w:val="auto"/>
              </w:rPr>
            </w:pPr>
            <w:r>
              <w:rPr>
                <w:rFonts w:ascii="Times New Roman" w:cs="Times New Roman" w:eastAsia="Times New Roman" w:hAnsi="Times New Roman"/>
                <w:sz w:val="16"/>
                <w:szCs w:val="16"/>
                <w:color w:val="auto"/>
              </w:rPr>
              <w:t>(Zip Code)</w:t>
            </w:r>
          </w:p>
        </w:tc>
      </w:tr>
      <w:tr>
        <w:trPr>
          <w:trHeight w:val="597"/>
        </w:trPr>
        <w:tc>
          <w:tcPr>
            <w:tcW w:w="380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(619) 567-5290</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07"/>
        </w:trPr>
        <w:tc>
          <w:tcPr>
            <w:tcW w:w="3800" w:type="dxa"/>
            <w:vAlign w:val="bottom"/>
          </w:tcPr>
          <w:p>
            <w:pPr>
              <w:spacing w:after="0"/>
              <w:rPr>
                <w:sz w:val="17"/>
                <w:szCs w:val="17"/>
                <w:color w:val="auto"/>
              </w:rPr>
            </w:pPr>
          </w:p>
        </w:tc>
        <w:tc>
          <w:tcPr>
            <w:tcW w:w="3640" w:type="dxa"/>
            <w:vAlign w:val="bottom"/>
            <w:gridSpan w:val="7"/>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800" w:type="dxa"/>
            <w:vAlign w:val="bottom"/>
          </w:tcPr>
          <w:p>
            <w:pPr>
              <w:spacing w:after="0"/>
              <w:rPr>
                <w:sz w:val="17"/>
                <w:szCs w:val="17"/>
                <w:color w:val="auto"/>
              </w:rPr>
            </w:pPr>
          </w:p>
        </w:tc>
      </w:tr>
      <w:tr>
        <w:trPr>
          <w:trHeight w:val="39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25"/>
        </w:trPr>
        <w:tc>
          <w:tcPr>
            <w:tcW w:w="3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r>
      <w:tr>
        <w:trPr>
          <w:trHeight w:val="220"/>
        </w:trPr>
        <w:tc>
          <w:tcPr>
            <w:tcW w:w="3800" w:type="dxa"/>
            <w:vAlign w:val="bottom"/>
            <w:tcBorders>
              <w:left w:val="single" w:sz="8" w:color="auto"/>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Title of each class</w:t>
            </w:r>
          </w:p>
        </w:tc>
        <w:tc>
          <w:tcPr>
            <w:tcW w:w="50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Trading Symbol(s)</w:t>
            </w:r>
          </w:p>
        </w:tc>
        <w:tc>
          <w:tcPr>
            <w:tcW w:w="46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3800" w:type="dxa"/>
            <w:vAlign w:val="bottom"/>
            <w:tcBorders>
              <w:left w:val="single" w:sz="8" w:color="auto"/>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5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gridSpan w:val="3"/>
          </w:tcPr>
          <w:p>
            <w:pPr>
              <w:jc w:val="center"/>
              <w:ind w:right="920"/>
              <w:spacing w:after="0"/>
              <w:rPr>
                <w:sz w:val="20"/>
                <w:szCs w:val="20"/>
                <w:color w:val="auto"/>
              </w:rPr>
            </w:pPr>
            <w:r>
              <w:rPr>
                <w:rFonts w:ascii="Times New Roman" w:cs="Times New Roman" w:eastAsia="Times New Roman" w:hAnsi="Times New Roman"/>
                <w:sz w:val="16"/>
                <w:szCs w:val="16"/>
                <w:color w:val="auto"/>
              </w:rPr>
              <w:t>PLMR</w:t>
            </w:r>
          </w:p>
        </w:tc>
        <w:tc>
          <w:tcPr>
            <w:tcW w:w="460" w:type="dxa"/>
            <w:vAlign w:val="bottom"/>
            <w:tcBorders>
              <w:bottom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91" w:lineRule="exact"/>
        <w:rPr>
          <w:sz w:val="24"/>
          <w:szCs w:val="24"/>
          <w:color w:val="auto"/>
        </w:rPr>
      </w:pPr>
    </w:p>
    <w:p>
      <w:pPr>
        <w:jc w:val="both"/>
        <w:ind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ind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1440" w:gutter="0" w:footer="0" w:header="0"/>
        </w:sectPr>
      </w:pPr>
    </w:p>
    <w:p>
      <w:pPr>
        <w:spacing w:after="0" w:line="16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2">
            <w:col w:w="5560" w:space="720"/>
            <w:col w:w="4960"/>
          </w:cols>
          <w:pgMar w:left="320" w:top="688"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5560" w:space="720"/>
            <w:col w:w="4960"/>
          </w:cols>
          <w:pgMar w:left="320" w:top="688"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688" w:right="339" w:bottom="1440" w:gutter="0" w:footer="0" w:header="0"/>
          <w:type w:val="continuous"/>
        </w:sectPr>
      </w:pPr>
    </w:p>
    <w:p>
      <w:pPr>
        <w:spacing w:after="0" w:line="298" w:lineRule="exact"/>
        <w:rPr>
          <w:sz w:val="24"/>
          <w:szCs w:val="24"/>
          <w:color w:val="auto"/>
        </w:rPr>
      </w:pPr>
    </w:p>
    <w:p>
      <w:pPr>
        <w:ind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4"/>
          <w:szCs w:val="24"/>
          <w:color w:val="auto"/>
        </w:rPr>
      </w:pPr>
    </w:p>
    <w:p>
      <w:pPr>
        <w:ind w:left="340"/>
        <w:spacing w:after="0" w:line="184" w:lineRule="exact"/>
        <w:tabs>
          <w:tab w:leader="none" w:pos="76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5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Number of shares of the registrant’s common shares outstanding at August 1, 2024: 25,010,856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40" w:type="dxa"/>
            <w:vAlign w:val="bottom"/>
            <w:gridSpan w:val="9"/>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PALOMAR HOLDINGS, INC.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40" w:type="dxa"/>
            <w:vAlign w:val="bottom"/>
            <w:gridSpan w:val="9"/>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480" w:type="dxa"/>
            <w:vAlign w:val="bottom"/>
            <w:gridSpan w:val="10"/>
            <w:vMerge w:val="restart"/>
          </w:tcPr>
          <w:p>
            <w:pPr>
              <w:spacing w:after="0"/>
              <w:rPr>
                <w:sz w:val="24"/>
                <w:szCs w:val="24"/>
                <w:color w:val="auto"/>
              </w:rPr>
            </w:pPr>
          </w:p>
        </w:tc>
        <w:tc>
          <w:tcPr>
            <w:tcW w:w="6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EE"/>
            </w:tcBorders>
            <w:gridSpan w:val="14"/>
            <w:vMerge w:val="continue"/>
          </w:tcPr>
          <w:p>
            <w:pPr>
              <w:spacing w:after="0"/>
              <w:rPr>
                <w:sz w:val="14"/>
                <w:szCs w:val="14"/>
                <w:color w:val="auto"/>
              </w:rPr>
            </w:pPr>
          </w:p>
        </w:tc>
        <w:tc>
          <w:tcPr>
            <w:tcW w:w="7480" w:type="dxa"/>
            <w:vAlign w:val="bottom"/>
            <w:gridSpan w:val="10"/>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8260" w:type="dxa"/>
            <w:vAlign w:val="bottom"/>
            <w:gridSpan w:val="15"/>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at June 30, 2024 (Unaudited) and December 31, 2023</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5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Income and Comprehensive Income (Loss) (Unaudited) for the Three and Six Months Ended</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June 30, 2024 and 2023</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4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for the Three and Six Months Ended June 30,</w:t>
            </w:r>
          </w:p>
        </w:tc>
        <w:tc>
          <w:tcPr>
            <w:tcW w:w="30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for the Six Months Ended June 30, 2024 and 2023</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9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3380" w:type="dxa"/>
            <w:vAlign w:val="bottom"/>
            <w:gridSpan w:val="3"/>
          </w:tcPr>
          <w:p>
            <w:pPr>
              <w:spacing w:after="0"/>
              <w:rPr>
                <w:sz w:val="17"/>
                <w:szCs w:val="17"/>
                <w:color w:val="auto"/>
              </w:rPr>
            </w:pPr>
          </w:p>
        </w:tc>
        <w:tc>
          <w:tcPr>
            <w:tcW w:w="1480" w:type="dxa"/>
            <w:vAlign w:val="bottom"/>
            <w:gridSpan w:val="3"/>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2"/>
          </w:tcPr>
          <w:p>
            <w:pPr>
              <w:spacing w:after="0"/>
              <w:rPr>
                <w:sz w:val="17"/>
                <w:szCs w:val="17"/>
                <w:color w:val="auto"/>
              </w:rPr>
            </w:pPr>
          </w:p>
        </w:tc>
        <w:tc>
          <w:tcPr>
            <w:tcW w:w="332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980" w:type="dxa"/>
            <w:vAlign w:val="bottom"/>
            <w:gridSpan w:val="1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0" w:type="dxa"/>
            <w:vAlign w:val="bottom"/>
          </w:tcPr>
          <w:p>
            <w:pPr>
              <w:spacing w:after="0"/>
              <w:rPr>
                <w:sz w:val="1"/>
                <w:szCs w:val="1"/>
                <w:color w:val="auto"/>
              </w:rPr>
            </w:pPr>
          </w:p>
        </w:tc>
      </w:tr>
      <w:tr>
        <w:trPr>
          <w:trHeight w:val="412"/>
        </w:trPr>
        <w:tc>
          <w:tcPr>
            <w:tcW w:w="27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780" w:type="dxa"/>
            <w:vAlign w:val="bottom"/>
            <w:gridSpan w:val="11"/>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47</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3"/>
          </w:tcPr>
          <w:p>
            <w:pPr>
              <w:spacing w:after="0"/>
              <w:rPr>
                <w:sz w:val="17"/>
                <w:szCs w:val="17"/>
                <w:color w:val="auto"/>
              </w:rPr>
            </w:pPr>
          </w:p>
        </w:tc>
        <w:tc>
          <w:tcPr>
            <w:tcW w:w="844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47</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42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70</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7440" w:type="dxa"/>
            <w:vAlign w:val="bottom"/>
            <w:gridSpan w:val="9"/>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70</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Mine Safety Disclosures</w:t>
            </w:r>
          </w:p>
        </w:tc>
        <w:tc>
          <w:tcPr>
            <w:tcW w:w="8000" w:type="dxa"/>
            <w:vAlign w:val="bottom"/>
            <w:gridSpan w:val="13"/>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70</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7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70</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4"/>
          </w:tcPr>
          <w:p>
            <w:pPr>
              <w:spacing w:after="0"/>
              <w:rPr>
                <w:sz w:val="17"/>
                <w:szCs w:val="17"/>
                <w:color w:val="auto"/>
              </w:rPr>
            </w:pPr>
          </w:p>
        </w:tc>
        <w:tc>
          <w:tcPr>
            <w:tcW w:w="846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71</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9000" w:type="dxa"/>
            <w:vAlign w:val="bottom"/>
            <w:gridSpan w:val="20"/>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72</w:t>
            </w:r>
          </w:p>
        </w:tc>
        <w:tc>
          <w:tcPr>
            <w:tcW w:w="0" w:type="dxa"/>
            <w:vAlign w:val="bottom"/>
          </w:tcPr>
          <w:p>
            <w:pPr>
              <w:spacing w:after="0"/>
              <w:rPr>
                <w:sz w:val="1"/>
                <w:szCs w:val="1"/>
                <w:color w:val="auto"/>
              </w:rPr>
            </w:pPr>
          </w:p>
        </w:tc>
      </w:tr>
      <w:tr>
        <w:trPr>
          <w:trHeight w:val="696"/>
        </w:trPr>
        <w:tc>
          <w:tcPr>
            <w:tcW w:w="800" w:type="dxa"/>
            <w:vAlign w:val="bottom"/>
          </w:tcPr>
          <w:p>
            <w:pPr>
              <w:spacing w:after="0"/>
              <w:rPr>
                <w:sz w:val="24"/>
                <w:szCs w:val="24"/>
                <w:color w:val="auto"/>
              </w:rPr>
            </w:pPr>
          </w:p>
        </w:tc>
        <w:tc>
          <w:tcPr>
            <w:tcW w:w="4900" w:type="dxa"/>
            <w:vAlign w:val="bottom"/>
            <w:gridSpan w:val="17"/>
          </w:tcPr>
          <w:p>
            <w:pPr>
              <w:jc w:val="center"/>
              <w:ind w:left="4650"/>
              <w:spacing w:after="0"/>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7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par value data)</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fair value (amortized cost: $723,940 in 2024; $675,130 in</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1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67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687,138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643,799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 (cost: $32,987 in 2024; $43,003 in 2023)</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43,160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8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729,891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689,576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51,546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Premiums receivable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357,267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261,972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 net of ceding commissions and fronting fees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60,990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recoverable on paid losses and loss adjustment expenses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32,172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Reinsurance recoverable on unpaid losses and loss adjustment expenses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347,840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244,622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Ceded unearned premiums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303,477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265,808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72,941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10,119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12,315</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2,016,049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1,708,022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52,052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42,376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466,601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342,275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720,528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597,103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Ceded premium payable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231,182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181,742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Funds held under reinsurance treaty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13,419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7,255</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from credit agreements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52,600</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1,483,443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1,236,770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0 shares issued and outstanding as of</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June 30, 2024 and December 31, 2023</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24,984,638 and 24,772,987 shares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June 30, 2024 and December 31, 2023, respectively</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363,904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350,597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196,754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144,643</w:t>
            </w: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532,606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471,252</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2,016,049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1,708,022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5960" w:type="dxa"/>
            <w:vAlign w:val="bottom"/>
            <w:gridSpan w:val="3"/>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86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and Comprehensive Income (Loss) (Unaudited)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340" w:type="dxa"/>
            <w:vAlign w:val="bottom"/>
            <w:gridSpan w:val="5"/>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per share data)</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385,184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274,296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753,262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524,407</w:t>
            </w: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(339,453)</w:t>
            </w:r>
          </w:p>
        </w:tc>
      </w:tr>
      <w:tr>
        <w:trPr>
          <w:trHeight w:val="20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written premiums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176,003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105,187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315,910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184,954</w:t>
            </w: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(18,607)</w:t>
            </w:r>
          </w:p>
        </w:tc>
      </w:tr>
      <w:tr>
        <w:trPr>
          <w:trHeight w:val="20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earned premiums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122,285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230,151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166,347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10,661</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1,316</w:t>
            </w:r>
          </w:p>
        </w:tc>
      </w:tr>
      <w:tr>
        <w:trPr>
          <w:trHeight w:val="20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131,069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90,396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249,603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179,597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30,431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38,557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35,806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51,736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41,572</w:t>
            </w: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r>
      <w:tr>
        <w:trPr>
          <w:trHeight w:val="20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97,695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181,873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133,949</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33,374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67,730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45,648</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7,645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5,458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15,619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10,774</w:t>
            </w:r>
          </w:p>
        </w:tc>
      </w:tr>
      <w:tr>
        <w:trPr>
          <w:trHeight w:val="249"/>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25,729</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17,562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52,111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34,874</w:t>
            </w:r>
          </w:p>
        </w:tc>
      </w:tr>
      <w:tr>
        <w:trPr>
          <w:trHeight w:val="197"/>
        </w:trPr>
        <w:tc>
          <w:tcPr>
            <w:tcW w:w="598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income, net:</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(losses) gains on securities available for sale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w:t>
            </w:r>
          </w:p>
        </w:tc>
      </w:tr>
      <w:tr>
        <w:trPr>
          <w:trHeight w:val="210"/>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comprehensive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24,179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13,877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48,047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36,663</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24,946,987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24,833,852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24,904,677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24,901,403</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25,617,916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25,309,526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25,554,445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25,384,409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3900" w:type="dxa"/>
            <w:vAlign w:val="bottom"/>
            <w:gridSpan w:val="7"/>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7620" w:type="dxa"/>
            <w:vAlign w:val="bottom"/>
            <w:gridSpan w:val="1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Changes in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 (Unaudited)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900" w:type="dxa"/>
            <w:vAlign w:val="bottom"/>
            <w:gridSpan w:val="7"/>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3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25,027,467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333,558</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87,708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384,754</w:t>
            </w:r>
          </w:p>
        </w:tc>
      </w:tr>
      <w:tr>
        <w:trPr>
          <w:trHeight w:val="209"/>
        </w:trPr>
        <w:tc>
          <w:tcPr>
            <w:tcW w:w="32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1,789</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7,147</w:t>
            </w: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employee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incentive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60,240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w:t>
            </w:r>
          </w:p>
        </w:tc>
      </w:tr>
      <w:tr>
        <w:trPr>
          <w:trHeight w:val="216"/>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34,874</w:t>
            </w: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24,794,269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341,413</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107,018</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413,708</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24,772,987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350,597</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144,643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471,252</w:t>
            </w:r>
          </w:p>
        </w:tc>
      </w:tr>
      <w:tr>
        <w:trPr>
          <w:trHeight w:val="209"/>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7,789</w:t>
            </w: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employee</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incentive plan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201,845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3,968</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Policyholder contribution to surplus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52,111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52,111</w:t>
            </w:r>
          </w:p>
        </w:tc>
      </w:tr>
      <w:tr>
        <w:trPr>
          <w:trHeight w:val="22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24,984,638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363,904</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196,754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532,606</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7040" w:type="dxa"/>
            <w:vAlign w:val="bottom"/>
            <w:gridSpan w:val="2"/>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88,252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23,203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maturities of fixed maturity securities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187,217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76,655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securities receivable or payable, net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limited partnerships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r>
      <w:tr>
        <w:trPr>
          <w:trHeight w:val="20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(payments on) proceeds from line of credit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common stock issued via employee stock purchase plan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common stock issued via stock option exercises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Policy holder contribution to surplus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w:t>
            </w:r>
          </w:p>
        </w:tc>
      </w:tr>
      <w:tr>
        <w:trPr>
          <w:trHeight w:val="21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20,144</w:t>
            </w: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51,852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68,164</w:t>
            </w: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48,019</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58,604</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Supplementary cash flow information:</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23,728</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15,652</w:t>
            </w: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2,041</w:t>
            </w:r>
          </w:p>
        </w:tc>
      </w:tr>
    </w:tbl>
    <w:p>
      <w:pPr>
        <w:spacing w:after="0" w:line="1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and cash equivalents and restricted cash and cash equivalents within the condensed consolidated balance sheets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51,546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51,852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ind w:left="20" w:right="7180" w:firstLine="8"/>
        <w:spacing w:after="0" w:line="503" w:lineRule="auto"/>
        <w:tabs>
          <w:tab w:leader="none" w:pos="2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Operations and Basis of Presentation Summary of Operations</w:t>
      </w:r>
    </w:p>
    <w:p>
      <w:pPr>
        <w:ind w:left="20" w:right="100" w:firstLine="648"/>
        <w:spacing w:after="0" w:line="256" w:lineRule="auto"/>
        <w:rPr>
          <w:sz w:val="20"/>
          <w:szCs w:val="20"/>
          <w:color w:val="auto"/>
        </w:rPr>
      </w:pPr>
      <w:r>
        <w:rPr>
          <w:rFonts w:ascii="Times New Roman" w:cs="Times New Roman" w:eastAsia="Times New Roman" w:hAnsi="Times New Roman"/>
          <w:sz w:val="18"/>
          <w:szCs w:val="18"/>
          <w:color w:val="auto"/>
        </w:rPr>
        <w:t>Palomar Holdings, Inc. (the “Company”) is a Delaware incorporated insurance holding company that was founded in 2014. The Company has several wholly owned subsidiaries including an Oregon domiciled insurance company, Palomar Specialty Insurance Company (“PSIC”), a Bermuda based reinsurance company, Palomar Specialty Reinsurance Company Bermuda Ltd. (“PSRE”), an Arizona domiciled surplus lines insurance company, Palomar Excess and Surplus Insurance Company (“PESIC”), a California domiciled property and casualty insurance agency, Palomar Insurance Agency, DBA Palomar General Insurance Agency (“PGIA”), and a Delaware incorporated management company, Palomar Underwriters Exchange Organization, Inc. ("PUEO"), that provides services to Laulima Exchange (“Laulima”), a Hawaii domiciled reciprocal exchange, as its attorney-in-fact.</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20" w:right="520" w:firstLine="648"/>
        <w:spacing w:after="0" w:line="220" w:lineRule="exact"/>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in accordance with U.S. generally accepted accounting principles (“GAAP”) for interim financial information and include the accounts of the Company and its wholly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owned subsidiaries. The condensed consolidated financial statements also include the accounts of Laulima, as Laulima is a variable interest entity ("VIE") for which the Company is the primary beneficiary. Within footnote 7, certain prior year amounts have been reclassified to conform to the current year presentation.</w:t>
      </w:r>
    </w:p>
    <w:p>
      <w:pPr>
        <w:spacing w:after="0" w:line="200" w:lineRule="exact"/>
        <w:rPr>
          <w:sz w:val="20"/>
          <w:szCs w:val="20"/>
          <w:color w:val="auto"/>
        </w:rPr>
      </w:pPr>
    </w:p>
    <w:p>
      <w:pPr>
        <w:ind w:left="20" w:firstLine="648"/>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do not contain all information and footnotes required by U.S.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10-K for the year ended December 31, 2023, filed with the SEC on February 23, 2024 (the “2023 Annual Report on Form 10-K”). 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not necessarily indicative of results of operations for the full year.</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20" w:right="2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not limited to, reserves for losses and loss adjustment expenses, reinsurance recoverables on unpaid losses, and the fair values of investments.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Company has not adopted any new accounting guidance during the six months ended June 30, 2024.</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is intended to improve reportable segment disclosure requirements, primarily through enhanced disclosures about significant segment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expenses, allowing financial statement users to better understand the components of a segment's profit or loss to assess potential future cash flows for each</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reportable segment and the entity as a whole. The amendments expand a public entity's segment disclosures by requiring disclosure of significant segment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expenses that are regularly provided to the chief operating decision maker ("CODM"), clarifying when an entity may report one or more additional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measures to assess segment performance, requiring enhanced interim disclosures, providing new disclosure requirements for entities with a single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reportable segment, and requiring other new disclosures. ASU 2023-07 is effective for fiscal years beginning after December 15, 2023, and interim periods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within fiscal years beginning after December 15, 2024. Early adoption is permitted. The Company is currently evaluating the impact the adoption of this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standard will have on its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ind w:left="20"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public business entities to disclose additional information with respect to the reconciliation of the effective tax rate to the statutory rate. Additionally, public business entities will need to disaggregate federal, state and foreign taxes paid in their financial statements. ASU 2023-09 is effective for public business entities for fiscal years, and interim periods within those fiscal years, beginning after December 15, 2024. The Company is currently evaluating the impact the adoption of this standard will have on its consolidated financial statements.</w:t>
      </w:r>
    </w:p>
    <w:p>
      <w:pPr>
        <w:sectPr>
          <w:pgSz w:w="11900" w:h="16838" w:orient="portrait"/>
          <w:cols w:equalWidth="0" w:num="1">
            <w:col w:w="11240"/>
          </w:cols>
          <w:pgMar w:left="300" w:top="121" w:right="359" w:bottom="1132" w:gutter="0" w:footer="0" w:header="0"/>
        </w:sectPr>
      </w:pP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1" w:right="359" w:bottom="1132"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88"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The Company’s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are summarized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Cost or Cost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33,617</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9,768</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Special revenue excluding mortgage/asset-backed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27,480</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337,956</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290,364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278,317</w:t>
            </w:r>
          </w:p>
        </w:tc>
      </w:tr>
      <w:tr>
        <w:trPr>
          <w:trHeight w:val="24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723,940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687,138</w:t>
            </w:r>
          </w:p>
        </w:tc>
      </w:tr>
      <w:tr>
        <w:trPr>
          <w:trHeight w:val="390"/>
        </w:trPr>
        <w:tc>
          <w:tcPr>
            <w:tcW w:w="45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Cost or Cost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39,420</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9,902</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Special revenue excluding mortgage/asset-backed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29,511</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316,590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300,239</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274,550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264,727</w:t>
            </w:r>
          </w:p>
        </w:tc>
      </w:tr>
      <w:tr>
        <w:trPr>
          <w:trHeight w:val="22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675,130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3,876</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643,799</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holdings in an unrealized loss position</w:t>
      </w:r>
    </w:p>
    <w:p>
      <w:pPr>
        <w:spacing w:after="0" w:line="2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As of June 30, 2024, the Company held 574 fixed maturity securities in an unrealized loss position with a total estimated fair value</w:t>
      </w:r>
    </w:p>
    <w:p>
      <w:pPr>
        <w:spacing w:after="0" w:line="27"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of $524.7 million and total gross unrealized losses of $37.9 million. As of December 31, 2023, the Company held 483 fixed maturity securities in an unrealized loss position with a total estimated fair value of $451.0 million and total gross unrealized losses of $34.3 million.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fair value and gross unrealized losses of the Company’s investments aggregated by investment category and the length of time these individual securities have been in a continuous unrealized loss position as of June 30, 2024 and December 31,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0"/>
                <w:szCs w:val="20"/>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17,992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33,213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States, Territories, and Political</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Subdivisions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Special revenue excluding</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78,901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204,194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283,095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65,282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110,184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175,466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(13,294)</w:t>
            </w: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161,466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363,256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524,722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(37,861)</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4"/>
                <w:szCs w:val="24"/>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38,063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States, Territories, and Political</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Subdivisions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Special revenue excluding</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28,872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232,906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29,334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117,016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146,350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(11,702)</w:t>
            </w: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58,944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392,045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450,989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(34,303)</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all securities with unrealized losses on a quarterly basis to assess whether the decline in the securities fair value necessitates the recognition of an allowance for credit losses. The Company considers numerous factors in its review as described in Footnote 1 of the Notes to the Consolidated Financial Statements in the 2023 Annual Report on Form 10-K.</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has recorded an immaterial allowance for credit losses for three investment securities. Based on the Company’s review as of June 30, 2024, for the remainder of securities,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Contractual maturities of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sale fixed maturity securities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amortized cost and fair value of fixed maturity securities at June 30, 2024, by contractual maturity, are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67,474</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174,285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166,790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142,476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44,870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290,364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278,317</w:t>
            </w:r>
          </w:p>
        </w:tc>
      </w:tr>
      <w:tr>
        <w:trPr>
          <w:trHeight w:val="209"/>
        </w:trPr>
        <w:tc>
          <w:tcPr>
            <w:tcW w:w="80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723,940</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687,138</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investment income summary</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investment income is summarized as follows: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7,626</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14,952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(expense)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7,960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15,098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realized and unrealized investment gains and losses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net realized and unrealized investment gains and losses: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80" w:type="dxa"/>
            <w:vAlign w:val="bottom"/>
            <w:gridSpan w:val="4"/>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9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53"/>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tcPr>
          <w:p>
            <w:pPr>
              <w:spacing w:after="0"/>
              <w:rPr>
                <w:sz w:val="18"/>
                <w:szCs w:val="18"/>
                <w:color w:val="auto"/>
              </w:rPr>
            </w:pPr>
          </w:p>
        </w:tc>
        <w:tc>
          <w:tcPr>
            <w:tcW w:w="2080" w:type="dxa"/>
            <w:vAlign w:val="bottom"/>
            <w:gridSpan w:val="4"/>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gains:</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Gains on sales of fixed maturity securities</w:t>
            </w:r>
          </w:p>
        </w:tc>
        <w:tc>
          <w:tcPr>
            <w:tcW w:w="780" w:type="dxa"/>
            <w:vAlign w:val="bottom"/>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820" w:type="dxa"/>
            <w:vAlign w:val="bottom"/>
            <w:gridSpan w:val="2"/>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realized gains</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sales of fixed maturity securities</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Losses on sales of equity securities</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realized losses</w:t>
            </w:r>
          </w:p>
        </w:tc>
        <w:tc>
          <w:tcPr>
            <w:tcW w:w="7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investment (losses) gains</w:t>
            </w:r>
          </w:p>
        </w:tc>
        <w:tc>
          <w:tcPr>
            <w:tcW w:w="78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 (losses) on equity securities</w:t>
            </w:r>
          </w:p>
        </w:tc>
        <w:tc>
          <w:tcPr>
            <w:tcW w:w="78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1,127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1,907</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(losses) gains on equity method investment</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unrealized (losses) gains on other investments</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78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Realized gains and losses on disposition of investments are based on specific identification of the investments sold on the settlement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of fixed maturity securities were insignificant and $1.9 million for the three months ended June 30, 2024 and 2023,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Proceeds from the sale of fixed maturity securities were $2.2 and $7.1 million for the six months ended June 30, 2024 and 2023, respectively.</w:t>
      </w:r>
    </w:p>
    <w:p>
      <w:pPr>
        <w:spacing w:after="0" w:line="225" w:lineRule="exact"/>
        <w:rPr>
          <w:sz w:val="20"/>
          <w:szCs w:val="20"/>
          <w:color w:val="auto"/>
        </w:rPr>
      </w:pPr>
    </w:p>
    <w:p>
      <w:pPr>
        <w:ind w:firstLine="648"/>
        <w:spacing w:after="0" w:line="222" w:lineRule="exact"/>
        <w:rPr>
          <w:sz w:val="20"/>
          <w:szCs w:val="20"/>
          <w:color w:val="auto"/>
        </w:rPr>
      </w:pPr>
      <w:r>
        <w:rPr>
          <w:rFonts w:ascii="Times New Roman" w:cs="Times New Roman" w:eastAsia="Times New Roman" w:hAnsi="Times New Roman"/>
          <w:sz w:val="18"/>
          <w:szCs w:val="18"/>
          <w:color w:val="auto"/>
        </w:rPr>
        <w:t>The Company places securities on statutory deposit with certain state agencies to retain the right to do business in those states. These securities are included in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on the balance sheet. As of June 30, 2024 and December 31, 2023, the carrying value of securities on deposit with state regulatory authorities was $7.8 million and $8.6 million, respectively.</w:t>
      </w:r>
    </w:p>
    <w:p>
      <w:pPr>
        <w:spacing w:after="0" w:line="19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Company has investments in limited partnerships, recorded in the Other Investments line of the Unaudited Condensed Consolidated Balance Sheets. These investments are measured at estimated fair value utilizing a net asset value per share (or its equivalent) as a practical expedient. As of June 30, 2024, the Company had unfunded commitments to invest an additional $32.6 million in these limited partnerships.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the Company would receive upon selling an investment in an orderly transaction to an independent buyer in the principal or most advantageous market of the investment.</w:t>
      </w:r>
    </w:p>
    <w:p>
      <w:pPr>
        <w:spacing w:after="0" w:line="12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tier hierarchy of inputs is summarized in the three broad levels listed below:</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investments as of the reporting date.</w:t>
      </w:r>
    </w:p>
    <w:p>
      <w:pPr>
        <w:spacing w:after="0" w:line="225"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spacing w:after="0" w:line="162"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Level 3—Pricing inputs into models are unobservable for the investment. The unobservable inputs require significant management judgment or estimation.</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spacing w:after="0" w:line="17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hierarchy for financial assets and liabilities measured at fair value on a recurring basis as of June 30,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33,617</w:t>
            </w:r>
          </w:p>
        </w:tc>
        <w:tc>
          <w:tcPr>
            <w:tcW w:w="9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33,617</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9,768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9,768</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27,480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27,480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337,956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337,956</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278,317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278,317</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37,761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37,761</w:t>
            </w:r>
          </w:p>
        </w:tc>
      </w:tr>
      <w:tr>
        <w:trPr>
          <w:trHeight w:val="216"/>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48,019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48,019</w:t>
            </w: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85,780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687,138</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772,918</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39,420</w:t>
            </w:r>
          </w:p>
        </w:tc>
        <w:tc>
          <w:tcPr>
            <w:tcW w:w="9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39,420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9,902</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29,511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29,511</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300,239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300,239</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264,727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264,727</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43,160</w:t>
            </w:r>
          </w:p>
        </w:tc>
      </w:tr>
      <w:tr>
        <w:trPr>
          <w:trHeight w:val="216"/>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51,852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51,852</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95,012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643,799</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738,811</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The carrying amount of any borrowings under the Federal Home Loan Bank (“FHLB”) line of credit and U.S. Bank credit agreement (the “Credit Agreement”) approximate fair value as the credit agreements have variable rates which frequently reprices at market rates.</w:t>
      </w:r>
    </w:p>
    <w:p>
      <w:pPr>
        <w:spacing w:after="0" w:line="200" w:lineRule="exact"/>
        <w:rPr>
          <w:sz w:val="20"/>
          <w:szCs w:val="20"/>
          <w:color w:val="auto"/>
        </w:rPr>
      </w:pPr>
    </w:p>
    <w:p>
      <w:pPr>
        <w:ind w:right="560" w:firstLine="648"/>
        <w:spacing w:after="0" w:line="312" w:lineRule="auto"/>
        <w:rPr>
          <w:sz w:val="20"/>
          <w:szCs w:val="20"/>
          <w:color w:val="auto"/>
        </w:rPr>
      </w:pPr>
      <w:r>
        <w:rPr>
          <w:rFonts w:ascii="Times New Roman" w:cs="Times New Roman" w:eastAsia="Times New Roman" w:hAnsi="Times New Roman"/>
          <w:sz w:val="17"/>
          <w:szCs w:val="17"/>
          <w:color w:val="auto"/>
        </w:rPr>
        <w:t>Transfers between Level 3 and Level 2 securities result from changes in the availability of observable market inputs and are recorded at the beginning of the reporting period. As of June 30, 2024 and December 31, 2023, the Company had no fixed income securities classified as Level 3.</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Reserve for Losses and Loss Adjustment Expenses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represents a reconciliation of changes in the ending reserve balances for losses and loss adjustment expenses (“LAE”):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Reserve for losses and LAE net of reinsurance recoverables at beginning of</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110,163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81,366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97,653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77,520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Incurred losses and LAE, net of reinsurance, related to:</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33,355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35,839</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incurred</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30,431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38,557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Deduct: Loss and LAE payments, net of reinsurance, related to:</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7,569</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14,972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11,795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24,404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27,208</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payments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34,777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losses and LAE net of reinsurance recoverables at end of period</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118,761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118,761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81,300</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Reinsurance recoverables on unpaid losses and LAE at end of period</w:t>
            </w: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347,840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216,783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347,840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216,783</w:t>
            </w:r>
          </w:p>
        </w:tc>
        <w:tc>
          <w:tcPr>
            <w:tcW w:w="0" w:type="dxa"/>
            <w:vAlign w:val="bottom"/>
          </w:tcPr>
          <w:p>
            <w:pPr>
              <w:spacing w:after="0"/>
              <w:rPr>
                <w:sz w:val="1"/>
                <w:szCs w:val="1"/>
                <w:color w:val="auto"/>
              </w:rPr>
            </w:pPr>
          </w:p>
        </w:tc>
      </w:tr>
      <w:tr>
        <w:trPr>
          <w:trHeight w:val="191"/>
        </w:trPr>
        <w:tc>
          <w:tcPr>
            <w:tcW w:w="5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Reserve for losses and LAE gross of reinsurance recoverables on unpaid losses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466,601</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298,083</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466,601</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298,083</w:t>
            </w: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and LAE at end of period</w:t>
            </w:r>
          </w:p>
        </w:tc>
        <w:tc>
          <w:tcPr>
            <w:tcW w:w="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Considerable variability is inherent in the estimate of the reserve for losses and LAE. Although management believes the liability recorded for losses and LAE is adequate, the variability inherent in this estimate could result in changes to the ultimate liability, which may be material to stockholders’ equity.</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experienced favorable prior year development of $2.9 million and $0.6 million during the three months ended June 30, 2024 and 2023, respectively.</w:t>
      </w:r>
    </w:p>
    <w:p>
      <w:pPr>
        <w:spacing w:after="0" w:line="16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Company experienced favorable prior year development of $2.4 million and adverse prior year development of $2.7 million during the six months ended June 30, 2024 and 2023, respectively.</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Favorable prior year development during the three months ended June 30, 2024 was primarily due to lower than anticipated severity of attritional losses. Favorable prior year development during the three months ended June 30, 2023 was primarily due to lower than anticipated severity of catastrophe losses, offset by higher than anticipated severity of attritional losses.</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Favorable prior year development during the six months ended June 30, 2024 was primarily due to lower than anticipated severity of attritional losses. Adverse prior year development during the six months ended June 30, 2023 was primarily due to higher than anticipated severity of attritional losses, offset by lower than anticipated severity of catastrophe losses.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Common stock reserved for future issuance consists of the following as of June 30,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Performance stock units outstanding under 2019 Equity Incentive Plan, at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authorized for future issuance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authorized for future issuance under 2019 Employee Stock Purchase Plan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694,527</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358,607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462,409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3,682,511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1,360,964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6,559,018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14605</wp:posOffset>
            </wp:positionV>
            <wp:extent cx="986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31750</wp:posOffset>
            </wp:positionV>
            <wp:extent cx="986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ectPr>
          <w:pgSz w:w="11900" w:h="16838" w:orient="portrait"/>
          <w:cols w:equalWidth="0" w:num="2">
            <w:col w:w="9700" w:space="720"/>
            <w:col w:w="82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summarizes the Company’s stock-based compensation expense for each period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09"/>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3,968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7,147</w:t>
            </w: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not apply a forfeiture rate to unvested awards and accounts for forfeitures as they occur. All stock-based compensation is included in other underwriting expenses in the Company’s unaudited condensed consolidated statement of income and comprehensive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Recipients of stock options can purchase shares of the Company’s common stock at a price equal to the stock's fair market value on the grant date, determined by the closing price of the Company's common stock on the grant date. Stock options vest over a period between two and four years with between 25% and 50% vesting on the first anniversary of the grant date and the remainder vesting monthly over the remaining period, subject to continued service to the Company. Stock options expire ten years after the grant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six months ended June 30, 2024:</w:t>
      </w:r>
    </w:p>
    <w:p>
      <w:pPr>
        <w:spacing w:after="0" w:line="22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Weighted-</w:t>
      </w:r>
    </w:p>
    <w:p>
      <w:pPr>
        <w:spacing w:after="0" w:line="3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average</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remaining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cancelled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Vested and Exercisable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7"/>
                <w:szCs w:val="17"/>
                <w:color w:val="auto"/>
              </w:rPr>
            </w:pPr>
          </w:p>
        </w:tc>
        <w:tc>
          <w:tcPr>
            <w:tcW w:w="12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 (in</w:t>
            </w: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38"/>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91"/>
        </w:trPr>
        <w:tc>
          <w:tcPr>
            <w:tcW w:w="12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807,685</w:t>
            </w:r>
          </w:p>
        </w:tc>
        <w:tc>
          <w:tcPr>
            <w:tcW w:w="120" w:type="dxa"/>
            <w:vAlign w:val="bottom"/>
          </w:tcPr>
          <w:p>
            <w:pPr>
              <w:spacing w:after="0"/>
              <w:rPr>
                <w:sz w:val="16"/>
                <w:szCs w:val="16"/>
                <w:color w:val="auto"/>
              </w:rPr>
            </w:pPr>
          </w:p>
        </w:tc>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34.31</w:t>
            </w:r>
          </w:p>
        </w:tc>
        <w:tc>
          <w:tcPr>
            <w:tcW w:w="100" w:type="dxa"/>
            <w:vAlign w:val="bottom"/>
          </w:tcPr>
          <w:p>
            <w:pPr>
              <w:spacing w:after="0"/>
              <w:rPr>
                <w:sz w:val="16"/>
                <w:szCs w:val="16"/>
                <w:color w:val="auto"/>
              </w:rPr>
            </w:pPr>
          </w:p>
        </w:tc>
        <w:tc>
          <w:tcPr>
            <w:tcW w:w="1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694,527</w:t>
            </w: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34,708</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669,188</w:t>
            </w:r>
          </w:p>
        </w:tc>
        <w:tc>
          <w:tcPr>
            <w:tcW w:w="1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vMerge w:val="continue"/>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vMerge w:val="continue"/>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-868045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-593725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-311150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approximately $0.6 million of total unrecognized stock-based compensation expense related to stock options expected to be recognized over a weighted-average period of 0.6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RSUs are valued using the closing price of the Company’s common stock on their grant date. The Company has issued RSUs with vesting periods of one to five years. All vesting is subject to continued service.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RSU transactions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outstanding at June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15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Number of shares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20" w:type="dxa"/>
            <w:vAlign w:val="bottom"/>
          </w:tcPr>
          <w:p>
            <w:pPr>
              <w:spacing w:after="0"/>
              <w:rPr>
                <w:sz w:val="20"/>
                <w:szCs w:val="20"/>
                <w:color w:val="auto"/>
              </w:rPr>
            </w:pPr>
          </w:p>
        </w:tc>
      </w:tr>
      <w:tr>
        <w:trPr>
          <w:trHeight w:val="191"/>
        </w:trPr>
        <w:tc>
          <w:tcPr>
            <w:tcW w:w="15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332,077</w:t>
            </w: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61.07</w:t>
            </w:r>
          </w:p>
        </w:tc>
      </w:tr>
      <w:tr>
        <w:trPr>
          <w:trHeight w:val="216"/>
        </w:trPr>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121,556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65.10</w:t>
            </w:r>
          </w:p>
        </w:tc>
      </w:tr>
      <w:tr>
        <w:trPr>
          <w:trHeight w:val="216"/>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55.43</w:t>
            </w:r>
          </w:p>
        </w:tc>
      </w:tr>
      <w:tr>
        <w:trPr>
          <w:trHeight w:val="234"/>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52.55</w:t>
            </w:r>
          </w:p>
        </w:tc>
      </w:tr>
      <w:tr>
        <w:trPr>
          <w:trHeight w:val="209"/>
        </w:trPr>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358,607</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64.01</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approximately $18.0 million of total unrecognized stock-based compensation expense related to RSUs expected to be recognized over a weighted-average period of 2.1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issues PSUs with a combination of service, performance, and market conditions.</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majority of PSUs were issued via grants made to certain executives during 2021. These PSUs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June 30, 2024, none of the stock price milestones have been achieved.</w:t>
      </w:r>
    </w:p>
    <w:p>
      <w:pPr>
        <w:spacing w:after="0" w:line="18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For other PSUs outstanding, vesting of PSUs requires a period of future service and the number of shares that vest depends on performance relative to predetermined targets of the Company’s Gross Written Premiums and Adjusted Return on Equity as set by the Compensation Committee. Prior to 2023, the PSU’s performance period was the fiscal year of the grant. Beginning in 2023, the PSU’s performance period is primarily a three-year period beginning with the grant date. At the end of the performance period, the actual results are measured against the predetermined targets to determine the number of PSUs to be earned as compensation. The earned PSUs are also subject to a required service period of approximately three years from the grant date before vesting and being issued as common stock.</w:t>
      </w:r>
    </w:p>
    <w:p>
      <w:pPr>
        <w:sectPr>
          <w:pgSz w:w="11900" w:h="16838" w:orient="portrait"/>
          <w:cols w:equalWidth="0" w:num="1">
            <w:col w:w="11240"/>
          </w:cols>
          <w:pgMar w:left="320" w:top="121" w:right="339" w:bottom="1440" w:gutter="0" w:footer="0" w:header="0"/>
          <w:type w:val="continuous"/>
        </w:sectPr>
      </w:pP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PSU transactions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outstanding at June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15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Number of shares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20" w:type="dxa"/>
            <w:vAlign w:val="bottom"/>
          </w:tcPr>
          <w:p>
            <w:pPr>
              <w:spacing w:after="0"/>
              <w:rPr>
                <w:sz w:val="20"/>
                <w:szCs w:val="20"/>
                <w:color w:val="auto"/>
              </w:rPr>
            </w:pPr>
          </w:p>
        </w:tc>
      </w:tr>
      <w:tr>
        <w:trPr>
          <w:trHeight w:val="191"/>
        </w:trPr>
        <w:tc>
          <w:tcPr>
            <w:tcW w:w="15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423,621</w:t>
            </w: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38.90</w:t>
            </w:r>
          </w:p>
        </w:tc>
      </w:tr>
      <w:tr>
        <w:trPr>
          <w:trHeight w:val="216"/>
        </w:trPr>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57,012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65.78</w:t>
            </w:r>
          </w:p>
        </w:tc>
      </w:tr>
      <w:tr>
        <w:trPr>
          <w:trHeight w:val="216"/>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96.74</w:t>
            </w:r>
          </w:p>
        </w:tc>
      </w:tr>
      <w:tr>
        <w:trPr>
          <w:trHeight w:val="234"/>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50.12</w:t>
            </w:r>
          </w:p>
        </w:tc>
      </w:tr>
      <w:tr>
        <w:trPr>
          <w:trHeight w:val="209"/>
        </w:trPr>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462,409</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40.50</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PSU grants above represent the number of shares that would vest based on achievement of all stock price milestones in the 2021 executive stock grants and the 100% achievement of the predetermined performance conditions for the other PSU grants. The actual number of PSUs which will vest is subject to adjustment based on the Company’s actual stock price performance and financial performance relative to the predetermined targets. As of June 30, 2024, the Company had approximately $10.5 million of total unrecognized stock-based compensation expense related to PSUs expected to be recognized over a weighted-average period of 2.1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Employee Stock Purchase Plan</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April 16, 2019, the Company's 2019 Employee Stock Purchase Plan (the “2019 ESPP”) became effective. A total of 240,000 shares of common stock are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9,806 shares pursuant to the ESPP during the six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January 2022, Company's the Board of Directors approved a share repurchase program which replaced the existing program and authorized the repurchase of up to $100 million of outstanding shares of common stock. The program ended on March 31, 2024 and no shares have been repurchased in 2024. The Company accounts for share repurchases by charging the excess of repurchase price over the common stock’s par value entirely to retained earnings. All repurchased shares are retired and become authorized but unissued shares.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(“AOCI”)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5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(23,991)</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w:t>
            </w:r>
          </w:p>
        </w:tc>
        <w:tc>
          <w:tcPr>
            <w:tcW w:w="2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income tax expense (benefit)</w:t>
            </w:r>
          </w:p>
        </w:tc>
        <w:tc>
          <w:tcPr>
            <w:tcW w:w="26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 net of tax</w:t>
            </w:r>
          </w:p>
        </w:tc>
        <w:tc>
          <w:tcPr>
            <w:tcW w:w="2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26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AOCI, net of tax</w:t>
            </w:r>
          </w:p>
        </w:tc>
        <w:tc>
          <w:tcPr>
            <w:tcW w:w="26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5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(28,055)</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66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Underwriting Information</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single reportable segment and offers specialty insurance products. Gross written premiums (“GWP”) by product are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9"/>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9"/>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860" w:type="dxa"/>
            <w:vAlign w:val="bottom"/>
            <w:tcBorders>
              <w:bottom w:val="single" w:sz="8" w:color="auto"/>
            </w:tcBorders>
          </w:tcPr>
          <w:p>
            <w:pPr>
              <w:spacing w:after="0"/>
              <w:rPr>
                <w:sz w:val="20"/>
                <w:szCs w:val="20"/>
                <w:color w:val="auto"/>
              </w:rPr>
            </w:pPr>
          </w:p>
        </w:tc>
      </w:tr>
      <w:tr>
        <w:trPr>
          <w:trHeight w:val="209"/>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tcBorders>
              <w:bottom w:val="single" w:sz="8" w:color="auto"/>
            </w:tcBorders>
          </w:tcPr>
          <w:p>
            <w:pPr>
              <w:spacing w:after="0"/>
              <w:rPr>
                <w:sz w:val="18"/>
                <w:szCs w:val="18"/>
                <w:color w:val="auto"/>
              </w:rPr>
            </w:pPr>
          </w:p>
        </w:tc>
      </w:tr>
      <w:tr>
        <w:trPr>
          <w:trHeight w:val="187"/>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center"/>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6"/>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860" w:type="dxa"/>
            <w:vAlign w:val="bottom"/>
          </w:tcPr>
          <w:p>
            <w:pPr>
              <w:spacing w:after="0"/>
              <w:rPr>
                <w:sz w:val="16"/>
                <w:szCs w:val="16"/>
                <w:color w:val="auto"/>
              </w:rPr>
            </w:pP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20"/>
                <w:szCs w:val="20"/>
                <w:color w:val="auto"/>
              </w:rPr>
            </w:pPr>
          </w:p>
        </w:tc>
        <w:tc>
          <w:tcPr>
            <w:tcW w:w="116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1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1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GWP</w:t>
            </w:r>
          </w:p>
        </w:tc>
      </w:tr>
      <w:tr>
        <w:trPr>
          <w:trHeight w:val="20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(1)</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Earthquake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107,929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240,759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201,424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Fronting</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95,896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171,479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Inland Marine and Other Property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93,453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170,329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122,484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Casualty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110,539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Crop</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40,908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385,184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274,296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753,262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524,407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100" w:firstLine="656"/>
        <w:spacing w:after="0" w:line="266"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Beginning in 2024,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written premiums by state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9"/>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6"/>
          </w:tcPr>
          <w:p>
            <w:pPr>
              <w:jc w:val="center"/>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6"/>
          </w:tcPr>
          <w:p>
            <w:pPr>
              <w:jc w:val="center"/>
              <w:ind w:right="5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38"/>
        </w:trPr>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21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California</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183,396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157,057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340,614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288,946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Texas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Hawaii</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Washington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Oregon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Michigan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1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93,330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208,143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92,256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178"/>
        </w:trPr>
        <w:tc>
          <w:tcPr>
            <w:tcW w:w="194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Total Gross Written</w:t>
            </w:r>
          </w:p>
        </w:tc>
        <w:tc>
          <w:tcPr>
            <w:tcW w:w="3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385,184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274,296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753,262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524,407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4"/>
        </w:trPr>
        <w:tc>
          <w:tcPr>
            <w:tcW w:w="194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Premiums</w:t>
            </w:r>
          </w:p>
        </w:tc>
        <w:tc>
          <w:tcPr>
            <w:tcW w:w="3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Gross written premiums by insurance subsidiary are as follows: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9"/>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6"/>
          </w:tcPr>
          <w:p>
            <w:pPr>
              <w:jc w:val="center"/>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6"/>
          </w:tcPr>
          <w:p>
            <w:pPr>
              <w:jc w:val="center"/>
              <w:ind w:right="5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38"/>
        </w:trPr>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21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PSIC</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193,709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159,846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PESIC</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177,109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313,603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213,857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1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Laulima</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14,366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19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Gross Written</w:t>
            </w:r>
          </w:p>
        </w:tc>
        <w:tc>
          <w:tcPr>
            <w:tcW w:w="3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385,184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274,296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753,262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524,407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4"/>
        </w:trPr>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Premiums</w:t>
            </w:r>
          </w:p>
        </w:tc>
        <w:tc>
          <w:tcPr>
            <w:tcW w:w="3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calculates its tax provision in interim periods using its best estimate of the effective tax rate expected for the full year. During the three months ended June 30, 2024, the Company’s income tax rate of 22.9% was higher than the statutory rate of 21% due primarily to non-deductible executive compensation expense. During the three months ended June 30, 2023, the Company’s income tax rate of 23.7% was higher than the statutory rate of 21% also due primarily to non-deductible executive compensation expense.</w:t>
      </w:r>
    </w:p>
    <w:p>
      <w:pPr>
        <w:spacing w:after="0" w:line="18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the Company’s tax rate of 23.1% was higher than the statutory rate due primarily to non-deductible executive compensation expense. For the six months ended June 30, 2023, the Company’s tax rate of 23.6% was higher than the statutory rate also due primarily to non-deductible executive compensation expense.</w:t>
      </w:r>
    </w:p>
    <w:p>
      <w:pPr>
        <w:sectPr>
          <w:pgSz w:w="11900" w:h="16838" w:orient="portrait"/>
          <w:cols w:equalWidth="0" w:num="1">
            <w:col w:w="11240"/>
          </w:cols>
          <w:pgMar w:left="320" w:top="121" w:right="339" w:bottom="3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22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The following table sets out earnings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7"/>
        </w:trPr>
        <w:tc>
          <w:tcPr>
            <w:tcW w:w="12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360" w:type="dxa"/>
            <w:vAlign w:val="bottom"/>
            <w:gridSpan w:val="3"/>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89"/>
              </w:rPr>
              <w:t>except shares and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00" w:type="dxa"/>
            <w:vAlign w:val="bottom"/>
          </w:tcPr>
          <w:p>
            <w:pPr>
              <w:spacing w:after="0"/>
              <w:rPr>
                <w:sz w:val="16"/>
                <w:szCs w:val="16"/>
                <w:color w:val="auto"/>
              </w:rPr>
            </w:pPr>
          </w:p>
        </w:tc>
        <w:tc>
          <w:tcPr>
            <w:tcW w:w="12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except shares</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25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and per share data)</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25,729</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52,111</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34,874</w:t>
            </w:r>
          </w:p>
        </w:tc>
        <w:tc>
          <w:tcPr>
            <w:tcW w:w="0" w:type="dxa"/>
            <w:vAlign w:val="bottom"/>
          </w:tcPr>
          <w:p>
            <w:pPr>
              <w:spacing w:after="0"/>
              <w:rPr>
                <w:sz w:val="1"/>
                <w:szCs w:val="1"/>
                <w:color w:val="auto"/>
              </w:rPr>
            </w:pPr>
          </w:p>
        </w:tc>
      </w:tr>
      <w:tr>
        <w:trPr>
          <w:trHeight w:val="414"/>
        </w:trPr>
        <w:tc>
          <w:tcPr>
            <w:tcW w:w="8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24,946,987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24,833,852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24,904,677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24,901,403</w:t>
            </w:r>
          </w:p>
        </w:tc>
        <w:tc>
          <w:tcPr>
            <w:tcW w:w="0" w:type="dxa"/>
            <w:vAlign w:val="bottom"/>
          </w:tcPr>
          <w:p>
            <w:pPr>
              <w:spacing w:after="0"/>
              <w:rPr>
                <w:sz w:val="1"/>
                <w:szCs w:val="1"/>
                <w:color w:val="auto"/>
              </w:rPr>
            </w:pPr>
          </w:p>
        </w:tc>
      </w:tr>
      <w:tr>
        <w:trPr>
          <w:trHeight w:val="234"/>
        </w:trPr>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670,929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475,674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649,768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483,006</w:t>
            </w:r>
          </w:p>
        </w:tc>
        <w:tc>
          <w:tcPr>
            <w:tcW w:w="0" w:type="dxa"/>
            <w:vAlign w:val="bottom"/>
          </w:tcPr>
          <w:p>
            <w:pPr>
              <w:spacing w:after="0"/>
              <w:rPr>
                <w:sz w:val="1"/>
                <w:szCs w:val="1"/>
                <w:color w:val="auto"/>
              </w:rPr>
            </w:pPr>
          </w:p>
        </w:tc>
      </w:tr>
      <w:tr>
        <w:trPr>
          <w:trHeight w:val="210"/>
        </w:trPr>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25,617,916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25,309,526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25,554,445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25,384,409</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0.69</w:t>
            </w: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2.04</w:t>
            </w:r>
          </w:p>
        </w:tc>
        <w:tc>
          <w:tcPr>
            <w:tcW w:w="1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360" w:space="620"/>
            <w:col w:w="5260"/>
          </w:cols>
          <w:pgMar w:left="320" w:top="121" w:right="339" w:bottom="312" w:gutter="0" w:footer="0" w:header="0"/>
          <w:type w:val="continuous"/>
        </w:sect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Common share equivalents relate primarily to outstanding stock options, RSUs and PSUs under the 2019 Plan and unpurchased shares under the 2019 ESPP and are calculated using the treasury stock method.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Reinsurance</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Company utilizes reinsurance in order to limit its exposure to losses and enable it to underwrite policies with sufficient limits to meet policyholder needs. The Company utilizes both excess of loss (XOL) and quota share reinsurance.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 Company’s catastrophe event retention is $20 million for earthquake events and $15.5 million for hurricane events and all other perils, and the Company’s XOL reinsurance structure provides protection up to $3.06 billion for earthquake events, $735 million for Hawaii hurricane events, and $117.5 million for continental U.S. hurricane events.</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the Company has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the Company also closed a $200 million 144A catastrophe bond which became effective June 1, 2023. This catastrophe bond was also completed through Torrey Pines Re Ltd and provides indemnity-based reinsurance covering earthquake events through June 1, 2026. During the second quarter of 2024, the Company also closed a $420 million 144A catastrophe bond which became effective June 1, 2024. This catastrophe bond was also completed through Torrey Pines Re Ltd and provides indemnity-based reinsurance covering earthquake events through June 1, 2027.</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Credit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Bank Credit Agreement</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December 2021, the Company entered into a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 A loan may be either a SOFR rate loan or a base rate loan, at the Company’s discretion. Outstanding amounts under the Credit Agreement may be prepaid in full or in part at any time with no prepayment premium and may be reduced in full or in part at any time upon prior notice. In addition to interest on funds borrowed, the Company must pay an unused line fee of 0.25% on any amounts not borrowed.</w:t>
      </w:r>
    </w:p>
    <w:p>
      <w:pPr>
        <w:sectPr>
          <w:pgSz w:w="11900" w:h="16838" w:orient="portrait"/>
          <w:cols w:equalWidth="0" w:num="1">
            <w:col w:w="11240"/>
          </w:cols>
          <w:pgMar w:left="320" w:top="121" w:right="339" w:bottom="312"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12"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including, among other things, financial covenants, restrictions on indebtedness, liens, investments, mergers, dispositions, prepayment of other indebtedness and dividends and other distributions. The financial covenants include requirements to maintain a permissible debt to capital ratio, a minimum consolidated net worth, a minimum risk-based capital ratio and minimum A.M. Best financial strength rating. The Credit Agreement also contains customary events of default, such as non-compliance with financial covenants. If an event of default occurs, any debt may be declared immediately due and payable. As of June 30, 2024, the Company was in compliance with all debt covenants.</w:t>
      </w:r>
    </w:p>
    <w:p>
      <w:pPr>
        <w:spacing w:after="0" w:line="18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Company had no borrowings outstanding on the Credit Agreement. Interest expense on the Credit Agreement was $0.1 million and $0.2 million for the three and six months ended June 30, 2024, respectively. Interest expense on the Credit Agreement was $0.2 million and $0.8 million for the three and six months ended June 30,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Line of Credit</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a predetermined term and the interest rate varies based on the term of the advance.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no borrowings outstanding through the FHLB. Interest expense on the FHLB line of credit was $0.1 million and $0.8 million for the three and six months ended June 30, 2024, respectively. As of December 31, 2023, the Company had $52.6 million of borrowings outstanding through the FHLB at the overnight rate of 5.62%. Interest expense on the FHLB line of credit was $0.8 million and $1.3 million for the three and six months ended June 30, 2023,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discussion and analysis below includes certain forward-looking statements that are subject to risks, uncertainties and other factors described in part II, item 1A of this Quarterly Report. Our actual results could differ materially from those anticipated in these forward-looking statements as a result of many factors.</w:t>
      </w:r>
    </w:p>
    <w:p>
      <w:pPr>
        <w:spacing w:after="0" w:line="17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results of operations for the six months ended June 30, 2024 are not necessarily indicative of the results that may be expected for the full year ended December 31, 2024,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February 23,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References to the "Company," "Palomar," "we," "us," and "our" are to Palomar Holdings, Inc. and its subsidiaries, unless the context otherwise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are a specialty insurance company that provides property and casualty insurance products to individuals and businesses. We use our underwriting and analytical expertise to provide innovative solutions in five product categories: Earthquake, Inland Marine and Other Property, Casualty, Fronting, and Crop. We use proprietary data analytics and a modern technology platform to offer our customers flexible products with customized and granular pricing for both the admitted and excess and surplus lines (“E&amp;S”) markets.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provide admitted insurance products through our Oregon domiciled insurance company, Palomar Specialty Insurance Company (“PSIC”), and E&amp;S insurance products through our Arizona domiciled surplus lines insurance company, Palomar Excess and Surplus Insurance Company (“PESIC”). Each of our insurance company subsidiaries carries an “A“ rating from A.M. Best Company (“A.M. Best”), a leading rating agency for the insurance industry.</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Founded in 2014, we have significantly grown our business and have generated attractive returns. We have organically increased gross written premiums from $16.6 million in our first year of operations to $1.1 billion for the year ended December 31, 2023, which reflects a compound annual growth rate of approximately 60%. We have also been profitable since 2016 and our net income growth since 2016 reflects a compound annual growth rate of 43%.</w:t>
      </w:r>
    </w:p>
    <w:p>
      <w:pPr>
        <w:spacing w:after="0" w:line="180"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color w:val="auto"/>
        </w:rPr>
        <w:t>We seek to continuously grow our income by developing product offerings for lines of business that harness our core competencies and where we believe we can generate attractive risk adjusted returns. In recent years, we have introduced several new products including Fronting, Excess Property, and Crop, as well as products targeting niche Casualty segments such as Real Estate Agent Errors and Omissions, Excess Liability,</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and Environmental Liability. These new products diversify our book of business and broaden our product portfolio. We believe that our market opportunity, distinctive products, and differentiated business model position us to grow our business profitably.</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June 2024, the Company executed a definitive purchase agreement to acquire First Indemnity of America Insurance Company (“FIA”), a New Jersey domiciled insurance carrier that specializes in the underwriting of surety bonds for small to medium sized contractors primarily in the Northeast United States. FIA is licensed in 16 states and is rated "A-" by A.M. Best. The transaction has been approved by the respective board of directors of both companies and is expected to close in late 2024 or early 2025 subject to the satisfaction of customary closing conditions and regulatory approval by the New Jersey Department of Banking and Insurance.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spacing w:after="0" w:line="17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new business submissions in existing products or partnerships;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of new business submissions in existing products or partnerships into policies;</w:t>
      </w:r>
    </w:p>
    <w:p>
      <w:pPr>
        <w:sectPr>
          <w:pgSz w:w="11900" w:h="16838" w:orient="portrait"/>
          <w:cols w:equalWidth="0" w:num="1">
            <w:col w:w="11220"/>
          </w:cols>
          <w:pgMar w:left="320" w:top="121" w:right="35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new partnerships or the offering of new types of insurance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Exits from existing partnerships or reducing or ceasing to offer existing insurance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rates of existing policies;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size and premium rate of bound policies.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in cost of XOL between contract periods, changes of premium in-force during the XOL contract period, or due to acceleration of XOL charges or the need to purchase additional XOL reinsurance due to losses. In addition, the volume of premiums ceded in fronting agreements each period may vary due to the timing of entering new fronting partnerships and terminations of fronting partnerships.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Commission and other income consist of commissions earned on policies written on behalf of third-party insurance companies where we have no exposure to the insured risk and certain fees earned in conjunction with underwriting policies. Commission and other income are earned on the effective date of the underlying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In addition, many of the policies we write subject us to catastrophe losses. Catastrophe losses are certain losses resulting from events involving multiple claims and policyholders, including earthquakes, hurricanes, floods, convective storms, terrorist acts or other aggregating events. Our losses and loss adjustment expenses are generally affected by:</w:t>
      </w:r>
    </w:p>
    <w:p>
      <w:pPr>
        <w:spacing w:after="0" w:line="183"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catastrophe events in the areas where we underwrite policies relating to these perils;</w:t>
      </w:r>
    </w:p>
    <w:p>
      <w:pPr>
        <w:spacing w:after="0" w:line="184"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catastrophe attritional losses;</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business written by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reinsurance agreements we have in place at the time of a loss;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 and characteristics of the policies we underwrite;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 related to the business we write;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legal defense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housing and construction costs;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amounts awarded by courts and juries.</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taxes and other fees. Acquisition expenses related to each policy we write are deferred and expensed pro rata over the term of the policy. We earn fronting fees consistent with how we earn premiums on the underlying insurance policies, on a pro-rata basis over the terms of the policies.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incurred on borrowings from our U.S. Bank credit agreement and FHLB line of credit and the unused line fee and amortization of the commitment fee on our U.S. Bank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 on Investments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and equity method investments. Unrealized gains and losses on fixed maturity securities are recognized as a component of other comprehensive income and do not impact our net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Currently our income tax expense consists mainly of federal income taxes imposed on our operations. Our effective tax rates are dependent upon the components of pretax earnings and the related tax effects.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discuss certain key financial and operating metrics, described below, which provide useful information about our business and the operational factors underlying our financial performance.</w:t>
      </w:r>
    </w:p>
    <w:p>
      <w:pPr>
        <w:spacing w:after="0" w:line="121" w:lineRule="exact"/>
        <w:rPr>
          <w:sz w:val="20"/>
          <w:szCs w:val="20"/>
          <w:color w:val="auto"/>
        </w:rPr>
      </w:pPr>
    </w:p>
    <w:p>
      <w:pPr>
        <w:jc w:val="both"/>
        <w:ind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Underwriting revenue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total revenue, excluding net investment income and net realized and unrealized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gains and losses on investments.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total revenue calculated in accordance with GAAP to underwriting revenue.</w:t>
      </w:r>
    </w:p>
    <w:p>
      <w:pPr>
        <w:spacing w:after="0" w:line="158" w:lineRule="exact"/>
        <w:rPr>
          <w:sz w:val="20"/>
          <w:szCs w:val="20"/>
          <w:color w:val="auto"/>
        </w:rPr>
      </w:pPr>
    </w:p>
    <w:p>
      <w:pPr>
        <w:ind w:right="60"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Underwriting income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income before income taxes excluding net investment income, net realized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and losses on investments, and interest expense.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income before income taxes calculated in accordance with GAAP to underwriting income.</w:t>
      </w:r>
    </w:p>
    <w:p>
      <w:pPr>
        <w:spacing w:after="0" w:line="158" w:lineRule="exact"/>
        <w:rPr>
          <w:sz w:val="20"/>
          <w:szCs w:val="20"/>
          <w:color w:val="auto"/>
        </w:rPr>
      </w:pPr>
    </w:p>
    <w:p>
      <w:pPr>
        <w:ind w:right="200" w:firstLine="648"/>
        <w:spacing w:after="0" w:line="238" w:lineRule="exact"/>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net income excluding the impact of certain items that may not be indicative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net income calculated in accordance with GAAP to adjusted net income.</w:t>
      </w:r>
    </w:p>
    <w:p>
      <w:pPr>
        <w:spacing w:after="0" w:line="170"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Annualized return on equity </w:t>
      </w:r>
      <w:r>
        <w:rPr>
          <w:rFonts w:ascii="Times New Roman" w:cs="Times New Roman" w:eastAsia="Times New Roman" w:hAnsi="Times New Roman"/>
          <w:sz w:val="18"/>
          <w:szCs w:val="18"/>
          <w:color w:val="auto"/>
        </w:rPr>
        <w:t>is net income expressed on an annualized basis as a percentage of average beginning and ending stockholders’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period.</w:t>
      </w:r>
    </w:p>
    <w:p>
      <w:pPr>
        <w:spacing w:after="0" w:line="119" w:lineRule="exact"/>
        <w:rPr>
          <w:sz w:val="20"/>
          <w:szCs w:val="20"/>
          <w:color w:val="auto"/>
        </w:rPr>
      </w:pPr>
    </w:p>
    <w:p>
      <w:pPr>
        <w:jc w:val="both"/>
        <w:ind w:right="560"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Annualized adjusted return on equity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net income expressed on an annualized basis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percentage of average beginning and ending stockholders’ equity during the period.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return on equity calculated using unadjusted GAAP numbers to adjusted return on equity.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to net earned premiums.</w:t>
      </w:r>
    </w:p>
    <w:p>
      <w:pPr>
        <w:spacing w:after="0" w:line="225"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 ratio, </w:t>
      </w:r>
      <w:r>
        <w:rPr>
          <w:rFonts w:ascii="Times New Roman" w:cs="Times New Roman" w:eastAsia="Times New Roman" w:hAnsi="Times New Roman"/>
          <w:sz w:val="18"/>
          <w:szCs w:val="18"/>
          <w:color w:val="auto"/>
        </w:rPr>
        <w:t>expressed as a percentage, is the ratio of acquisition and other underwriting expenses, net of commission and other income to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premiums.</w:t>
      </w:r>
    </w:p>
    <w:p>
      <w:pPr>
        <w:spacing w:after="0" w:line="158"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is defined as the sum of the loss ratio and the expense ratio. A combined ratio under 100% generally indicates an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A combined ratio over 100% generally indicates an underwriting loss.</w:t>
      </w:r>
    </w:p>
    <w:p>
      <w:pPr>
        <w:spacing w:after="0" w:line="119" w:lineRule="exact"/>
        <w:rPr>
          <w:sz w:val="20"/>
          <w:szCs w:val="20"/>
          <w:color w:val="auto"/>
        </w:rPr>
      </w:pPr>
    </w:p>
    <w:p>
      <w:pPr>
        <w:ind w:right="280"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Adjusted combined ratio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the sum of the loss ratio and the expense ratio calculated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certain items that may not be indicative of underlying business trends, operating results, or future outlook.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combined ratio calculated using unadjusted GAAP numbers to adjusted combined ratio.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ind w:right="100" w:firstLine="648"/>
        <w:spacing w:after="0" w:line="231" w:lineRule="exact"/>
        <w:rPr>
          <w:sz w:val="20"/>
          <w:szCs w:val="20"/>
          <w:color w:val="auto"/>
        </w:rPr>
      </w:pPr>
      <w:r>
        <w:rPr>
          <w:rFonts w:ascii="Times New Roman" w:cs="Times New Roman" w:eastAsia="Times New Roman" w:hAnsi="Times New Roman"/>
          <w:sz w:val="18"/>
          <w:szCs w:val="18"/>
          <w:i w:val="1"/>
          <w:iCs w:val="1"/>
          <w:color w:val="auto"/>
        </w:rPr>
        <w:t xml:space="preserve">Diluted adjusted earnings per share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net income divided by the weighted-average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outstanding for the period, reflecting the dilution which could occur if equity-based awards are converted into common share equivalents as calculated using the treasury stock method.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diluted earnings per share calculated in accordance with GAAP to diluted adjusted earnings per share.</w:t>
      </w:r>
    </w:p>
    <w:p>
      <w:pPr>
        <w:spacing w:after="0" w:line="159" w:lineRule="exact"/>
        <w:rPr>
          <w:sz w:val="20"/>
          <w:szCs w:val="20"/>
          <w:color w:val="auto"/>
        </w:rPr>
      </w:pPr>
    </w:p>
    <w:p>
      <w:pPr>
        <w:ind w:firstLine="648"/>
        <w:spacing w:after="0" w:line="259" w:lineRule="exact"/>
        <w:rPr>
          <w:sz w:val="20"/>
          <w:szCs w:val="20"/>
          <w:color w:val="auto"/>
        </w:rPr>
      </w:pPr>
      <w:r>
        <w:rPr>
          <w:rFonts w:ascii="Times New Roman" w:cs="Times New Roman" w:eastAsia="Times New Roman" w:hAnsi="Times New Roman"/>
          <w:sz w:val="18"/>
          <w:szCs w:val="18"/>
          <w:i w:val="1"/>
          <w:iCs w:val="1"/>
          <w:color w:val="auto"/>
        </w:rPr>
        <w:t xml:space="preserve">Catastrophe loss ratio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the ratio of catastrophe losses to net earned premiums. See “Reconciliation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loss ratio calculated using unadjusted GAAP numbers to catastrophe loss ratio.</w:t>
      </w:r>
    </w:p>
    <w:p>
      <w:pPr>
        <w:spacing w:after="0" w:line="131" w:lineRule="exact"/>
        <w:rPr>
          <w:sz w:val="20"/>
          <w:szCs w:val="20"/>
          <w:color w:val="auto"/>
        </w:rPr>
      </w:pPr>
    </w:p>
    <w:p>
      <w:pPr>
        <w:ind w:right="40"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Adjusted combined ratio excluding catastrophe losses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combined ratio excluding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catastrophe losses.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combined ratio calculated using unadjusted GAAP numbers to adjusted combined ratio excluding catastrophe losses.</w:t>
      </w:r>
    </w:p>
    <w:p>
      <w:pPr>
        <w:spacing w:after="0" w:line="196"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underwriting income </w:t>
      </w:r>
      <w:r>
        <w:rPr>
          <w:rFonts w:ascii="Times New Roman" w:cs="Times New Roman" w:eastAsia="Times New Roman" w:hAnsi="Times New Roman"/>
          <w:sz w:val="18"/>
          <w:szCs w:val="18"/>
          <w:color w:val="auto"/>
        </w:rPr>
        <w:t>is a non-GAAP financial measure defined as underwriting income excluding the impact of certain items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indicative of underlying business trends, operating results, or future outlook. See “Reconciliation of Non-GAAP Financial Measures” for a reconciliation of income before income taxes calculated in accordance with GAAP to adjusted underwriting income.</w:t>
      </w:r>
    </w:p>
    <w:p>
      <w:pPr>
        <w:spacing w:after="0" w:line="135" w:lineRule="exact"/>
        <w:rPr>
          <w:sz w:val="20"/>
          <w:szCs w:val="20"/>
          <w:color w:val="auto"/>
        </w:rPr>
      </w:pPr>
    </w:p>
    <w:p>
      <w:pPr>
        <w:ind w:right="340" w:firstLine="648"/>
        <w:spacing w:after="0" w:line="259" w:lineRule="exact"/>
        <w:rPr>
          <w:sz w:val="20"/>
          <w:szCs w:val="20"/>
          <w:color w:val="auto"/>
        </w:rPr>
      </w:pPr>
      <w:r>
        <w:rPr>
          <w:rFonts w:ascii="Times New Roman" w:cs="Times New Roman" w:eastAsia="Times New Roman" w:hAnsi="Times New Roman"/>
          <w:sz w:val="18"/>
          <w:szCs w:val="18"/>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stockholders’ equity less intangible assets. See “Reconciliation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stockholders’ equity calculated in accordance with GAAP to tangible stockholders’ equity.</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three months ended June 30,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months ended June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2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385,184</w:t>
            </w: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274,296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110,888</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(209,181)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(169,109)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(40,072)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written premiums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176,003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105,187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70,816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122,285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83,107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39,178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0"/>
        </w:trPr>
        <w:tc>
          <w:tcPr>
            <w:tcW w:w="584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color w:val="auto"/>
              </w:rPr>
              <w:t xml:space="preserve">Total underwriting revenue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123,077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83,728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39,349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30,431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35,806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26,057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31,233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22,350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8,883</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0"/>
        </w:trPr>
        <w:tc>
          <w:tcPr>
            <w:tcW w:w="584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color w:val="auto"/>
              </w:rPr>
              <w:t xml:space="preserve">Underwriting income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25,607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17,416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33,374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2,187</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0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25,729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17,562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10"/>
        </w:trPr>
        <w:tc>
          <w:tcPr>
            <w:tcW w:w="584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Adjusted net income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31,980</w:t>
            </w: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10,186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Key Financial and Operating Metrics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Annualized adjusted return on equity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ratio</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combined ratio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Diluted adjusted earnings per share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w:t>
            </w: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3,441</w:t>
            </w: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Catastrophe loss ratio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combined ratio excluding catastrophe losses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underwriting income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32,919</w:t>
            </w: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23,092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9,827</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right="200" w:hanging="328"/>
        <w:spacing w:after="0" w:line="245" w:lineRule="exact"/>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their most directly comparable financial measures prepared in accordance with GAAP.</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written premiums increased $110.9 million, or 40.4% to $385.2 million for the three months ended June 30, 2024 compared to</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$274.3 million for the three months ended June 30, 2023.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bottom w:val="single" w:sz="8" w:color="auto"/>
            </w:tcBorders>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Product </w:t>
            </w:r>
            <w:r>
              <w:rPr>
                <w:rFonts w:ascii="Times New Roman" w:cs="Times New Roman" w:eastAsia="Times New Roman" w:hAnsi="Times New Roman"/>
                <w:sz w:val="24"/>
                <w:szCs w:val="24"/>
                <w:b w:val="1"/>
                <w:bCs w:val="1"/>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Earthquake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107,929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Fronting</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16,172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Inland Marine and Other Property</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Casualty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42,229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Crop</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385,184</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110,888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firstLine="638"/>
        <w:spacing w:after="0" w:line="266" w:lineRule="auto"/>
        <w:tabs>
          <w:tab w:leader="none" w:pos="9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Beginning in 2024,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Fronting premiums represent premium where we subsequently cede the majority of the premium and risk in exchange for a fronting fee, which is our primary source of profit in the arrangement. The volume of fronting premiums written each period may vary due to the timing of entering new fronting partnerships and terminations of existing fronting partnerships.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gross written premiums by insurance subsidiary: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bottom w:val="single" w:sz="8" w:color="auto"/>
            </w:tcBorders>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193,709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159,846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PESIC</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177,109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62,659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Laulima</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14,366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14,366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385,184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110,888</w:t>
            </w:r>
          </w:p>
        </w:tc>
        <w:tc>
          <w:tcPr>
            <w:tcW w:w="13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413"/>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Ceded written premiums increased $40.1 million, or 23.7%, to $209.2 million for the three months ended June 30, 2024 from $169.1 million for the three months ended June 30, 2023. The increase was primarily due to increased premiums ceded under quota share and fronting agreements due to growth in the volume of written premiums subject to quota share or fronting agreements. In addition, we incurred increased XOL reinsurance expense due to growth in exposure and higher rates on XOL reinsurance.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Although our volume of ceded written premiums increased, ceded written premiums as a percentage of gross written premiums decreased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54.3% for the three months ended June 30, 2024 from 61.7% for the three months ended June 30, 2023. This percentage decrease was driven by changes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composition of business whereby premiums written in the current period were subject to lower quota share or XOL cession percentages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premiums written in the prior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written premiums increased $70.8 million, or 67.3%, to $176.0 million for the three months ended June 30, 2024 from $105.2 million for the three months ended June 30, 2023. The increase was primarily due to an increase in gross written premiums, primarily in our Casualty and Earthquake lines, partially offset by increased ceded written premiums.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Net earned premiums increased $39.2 million, or 47.1%, to $122.3 million for the three months ended June 30, 2024 from $83.1 million for the three months ended June 30, 2023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earned premiums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326,964</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242,189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84,775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Ceded earned premiums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(204,679)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(159,082)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122,285</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83,107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39,178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197"/>
        </w:trPr>
        <w:tc>
          <w:tcPr>
            <w:tcW w:w="59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earned premium ratio</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net earned premium ratio increased due to changes in our composition of business whereby premiums earned in the current period were subject to lower quota share or XOL cession percentages compared to premiums earned in the prior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ind w:right="360" w:firstLine="648"/>
        <w:spacing w:after="0" w:line="312" w:lineRule="auto"/>
        <w:rPr>
          <w:sz w:val="20"/>
          <w:szCs w:val="20"/>
          <w:color w:val="auto"/>
        </w:rPr>
      </w:pPr>
      <w:r>
        <w:rPr>
          <w:rFonts w:ascii="Times New Roman" w:cs="Times New Roman" w:eastAsia="Times New Roman" w:hAnsi="Times New Roman"/>
          <w:sz w:val="17"/>
          <w:szCs w:val="17"/>
          <w:color w:val="auto"/>
        </w:rPr>
        <w:t>Commission and other income increased $0.2 million to $0.8 million for the three months ended June 30, 2024 from $0.6 million for the three months ended June 30, 2023. The balance increased due to an increase in commissions and policy related fees driven by increased premiums written.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and loss adjustment expenses increased $12.5 million, or 70.0% to $30.4 million for the three months ended June 30, 2024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$17.9 million for the three months ended June 30, 2023. Losses and loss adjustment expenses consisted of the following elements during the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3,441</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Non-catastrophe losses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26,990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15,746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11,244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losses and loss adjustment expenses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catastrophe loss ratio was 2.8% and 2.6% for the three months ended June 30, 2024 and June 30, 2023, respectively. Catastrophe losses were primarily related to severe convective storms for both periods.</w:t>
      </w:r>
    </w:p>
    <w:p>
      <w:pPr>
        <w:spacing w:after="0" w:line="16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non-catastrophe loss ratio was 22.1% for the three months ended June 30, 2024 compared to 18.9% during the three months ended June 30, 2023. Non-catastrophe losses increased due mainly to higher attritional losses on lines of business subject to attritional losses such as Casualty and Inland Marine and Other Property due to premium growth in these lines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Acquisition expenses increased $9.7 million, or 37.4%, to $35.8 million for the three months ended June 30, 2024 from $26.1 million for the three months ended June 30, 2023. The increase was primarily due to higher commissions and premium-related taxes resulting from higher gross earned premiums. This was partially offset by higher earned ceding commissions and fronting fees due to an increase in premiums subject to a quota share or fronting agreement. Acquisition expenses as a percentage of gross earned premiums were 11.0% for the three months ended June 30, 2024 compared to</w:t>
      </w:r>
    </w:p>
    <w:p>
      <w:pPr>
        <w:spacing w:after="0" w:line="3"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10.8% for the three months ended June 30, 2023. Acquisition expenses as a percentage of gross earned premiums increased due to higher commissions and premium-related taxes as a percentage of gross earned premiums and lower ceded commissions and fronting fees as a percentage of gross earned premiums due to changes in the composition of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Other underwriting expenses increased $8.9 million, or 39.7%, to $31.2 million for the three months ended June 30, 2024 from $22.4 million for the three months ended June 30, 2023. The increase was primarily due to the Company incurring higher payroll, technology, and stock-based compensation expenses associated with growth of the Company.</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9.6% for the three months ended June 30, 2024 compared to 9.2% for the three months ended June 30, 2023. Excluding the impact of expenses relating to transactions, stock-based compensation, catastrophe bonds, and amortization of intangibles, other underwriting expenses as a percentage of gross earned premiums were 7.3% for the three months ended June 30, 2024 compared to 6.9% for the three months ended June 30, 2023. Other underwriting expenses as a percentage of gross earned premiums may fluctuate period over period based on timing of certain expenses relative to premium growth.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Net investment income increased $2.4 million, or 43.7%, to $8.0 million for the three months ended June 30, 2024 from $5.5 million for the three months ended June 30, 2023. The increase was primarily due to a higher average balance of investments during the three months ended June 30, 2024 and higher yields on invested assets.</w:t>
      </w:r>
    </w:p>
    <w:p>
      <w:pPr>
        <w:spacing w:after="0" w:line="17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incurred insignificant net realized and unrealized gains on investments for the three months ended June 30, 2024 compared to $1.1 million of net realized and unrealized gains for the three months ended June 30, 2023 In both periods, the balance was primarily driven by unrealized gains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7,626</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management fees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5,541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7,992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increased $2.2 million to $7.6 million for the three months ended June 30, 2024 from $5.5 million for the three months ended June 30, 2023 due to higher pre-tax income for the period ended June 30, 2024. During the three months ended June 30, 2024, our income tax rate of</w:t>
      </w:r>
    </w:p>
    <w:p>
      <w:pPr>
        <w:spacing w:after="0"/>
        <w:rPr>
          <w:sz w:val="20"/>
          <w:szCs w:val="20"/>
          <w:color w:val="auto"/>
        </w:rPr>
      </w:pPr>
      <w:r>
        <w:rPr>
          <w:rFonts w:ascii="Times New Roman" w:cs="Times New Roman" w:eastAsia="Times New Roman" w:hAnsi="Times New Roman"/>
          <w:sz w:val="18"/>
          <w:szCs w:val="18"/>
          <w:color w:val="auto"/>
        </w:rPr>
        <w:t>22.9% was higher than the statutory rate of 21% due primarily to non-deductible executive compensation expense. During the three months ended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our income tax rate of 23.7% was higher than the statutory rate of 21% also due primarily to non-deductible executive compensation expense.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for the six months ended June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2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753,262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524,407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228,855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(437,352)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(339,453)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(97,899)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written premiums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315,910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184,954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130,956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230,151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166,347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63,804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9"/>
        </w:trPr>
        <w:tc>
          <w:tcPr>
            <w:tcW w:w="584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color w:val="auto"/>
              </w:rPr>
              <w:t xml:space="preserve">Total underwriting revenue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231,471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167,663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63,808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57,268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18,711</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67,604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51,736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15,868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56,036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41,572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14,464</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9"/>
        </w:trPr>
        <w:tc>
          <w:tcPr>
            <w:tcW w:w="584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color w:val="auto"/>
              </w:rPr>
              <w:t xml:space="preserve">Underwriting income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50,563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35,798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3,034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0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67,730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45,648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22,082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15,619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10,774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4,845</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52,111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17,237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584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Adjusted net income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59,775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42,234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17,541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Key Financial and Operating Metrics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Annualized adjusted return on equity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ratio</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combined ratio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Diluted adjusted earnings per share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2.34</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6,800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Catastrophe loss ratio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combined ratio excluding catastrophe losses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underwriting income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62,086</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45,288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16,798</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2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Non-GAAP Financial Measures” for a reconciliation of the non-GAAP financial measures to their most directly comparable financial measures prepared in accordance with GAAP.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Gross written premiums increased $228.9 million, or 43.6% to $753.3 million for the six months ended June 30, 2024 compared to $524.4 million for the six months ended June 30, 2023.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Product </w:t>
            </w:r>
            <w:r>
              <w:rPr>
                <w:rFonts w:ascii="Times New Roman" w:cs="Times New Roman" w:eastAsia="Times New Roman" w:hAnsi="Times New Roman"/>
                <w:sz w:val="24"/>
                <w:szCs w:val="24"/>
                <w:b w:val="1"/>
                <w:bCs w:val="1"/>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Earthquake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240,759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201,424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39,335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Fronting</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171,479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19,248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Inland Marine and Other Property</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170,329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122,484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Casualty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110,539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82,007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Crop</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40,908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40,420</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753,262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524,407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228,855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5"/>
        </w:trPr>
        <w:tc>
          <w:tcPr>
            <w:tcW w:w="3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firstLine="656"/>
        <w:spacing w:after="0" w:line="266"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Beginning in 2024,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Fronting premiums represent premium where we subsequently cede the majority of the premium and risk in exchange for a fronting fee, which is our primary source of profit in the arrangement. The volume of fronting premiums written each period may vary due to the timing of entering new fronting partnerships and terminations of existing fronting partnerships.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gross written premiums by insurance subsidiary: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416,366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310,550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PESIC</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313,603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213,857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99,746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Laulima</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23,293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753,262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228,855</w:t>
            </w:r>
          </w:p>
        </w:tc>
        <w:tc>
          <w:tcPr>
            <w:tcW w:w="13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413"/>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Ceded written premiums increased $97.9 million, or 28.8%, to $437.4 million for the six months ended June 30, 2024 from $339.5 million for the six months ended June 30, 2023. The increase was primarily due to increased premium ceded under quota share and fronting agreements due to growth in fronting premiums written and growth in the volume of written premiums subject to quota shares. In addition, we incurred increased XOL reinsurance expense due to growth in exposure, in addition to higher rates on XOL reinsurance.</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Although our volume of ceded written premiums increased, ceded written premiums as a percentage of gross written premiums decreased</w:t>
      </w:r>
    </w:p>
    <w:p>
      <w:pPr>
        <w:spacing w:after="0" w:line="27"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to 58.1% for the six months ended June 30, 2024 from 64.7% for the six months ended June 30, 2023. This percentage decrease was driven by changes in our composition of business whereby premiums written in the current period were subject to lower quota share or XOL cession percentages compared to premiums written in the prior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Net written premiums increased $131.0 million, or 70.8%, to $315.9 million for the six months ended June 30, 2024 from $185.0 million for the six months ended June 30, 2023. The increase was primarily due to an increase in gross written premiums, primarily in our Casualty and Inland Marine and Other Property lines, partially offset by increased ceded written premiums.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earned premiums increased $63.8 million, or 38.4%, to $230.2 million for the six months ended June 30, 2024 from $166.3 million for the six months ended June 30, 2023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6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earned premiums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629,835</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467,432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162,403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Ceded earned premiums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(399,684)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(301,085)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(98,599)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230,151</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166,347</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63,804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earned premium ratio</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net earned premium ratio increased due to changes in our composition of business whereby premiums earned in the current period were subject to lower quota share or XOL cessions compared to premiums earned in the prior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Commission and other income was $1.3 million both for the six months ended June 30, 2024 and the six months ended June 30, 2023. While increased premiums drove higher commissions and policy related fees, this was offset by changes in mix of business to lines with lower commissions and policy related fees.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Losses and loss adjustment expenses increased $18.7 million to $57.3 million for the six months ended June 30, 2024 from $38.6 million for the six months ended June 30, 2023. Losses and loss adjustment expenses consisted of the following elements during the respective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6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6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0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6,800</w:t>
            </w:r>
          </w:p>
        </w:tc>
        <w:tc>
          <w:tcPr>
            <w:tcW w:w="10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2,835</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Non-catastrophe losses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50,468</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34,592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15,876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losses and loss adjustment expenses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57,268</w:t>
            </w:r>
          </w:p>
        </w:tc>
        <w:tc>
          <w:tcPr>
            <w:tcW w:w="10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38,557</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18,711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catastrophe loss ratio was 3.0% and 2.4% for the six months ended June 30, 2024 and June 30, 2023, respectively. Catastrophe losses were related to floods occurring during the first quarter and severe convective storms occurring during the second quarter for both years.</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non-catastrophe loss ratio was 21.9% for the six months ended June 30, 2024 compared to 20.8% during the six months ended June 30, 2023. Non-catastrophe losses increased due mainly to higher attritional losses on lines of business subject to attritional losses such as Casualty and Inland Marine and Other Property due to premium growth in these lines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Acquisition expenses increased $15.9 million, or 30.7%, to $67.6 million for the six months ended June 30, 2024 from $51.7 million for the six months ended June 30, 2023. The increase was primarily due to higher commissions and premium-related taxes resulting from higher gross earned premiums. This was partially offset by higher earned ceding commissions and fronting fees due to an increase in premiums subject to a quota share or fronting agreement. Acquisition expenses as a percentage of gross earned premiums were 10.7% for the six months ended June 30, 2024 compared</w:t>
      </w:r>
    </w:p>
    <w:p>
      <w:pPr>
        <w:spacing w:after="0" w:line="3"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to 11.1% for the six months ended June 30, 2023. Acquisition expenses as a percentage of gross earned premiums decreased due to the recognition of higher ceding commission and fronting fee income as a percentage of gross earned premiums due to changes in mix of business produced.</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Other underwriting expenses increased $14.5 million, or 34.8%, to $56.0 million for the six months ended June 30, 2024 from $41.6 million for the six months ended June 30, 2023. The increase was primarily due to the Company incurring higher payroll, technology, stock-based compensation, and professional fees expenses associated with growth of the Company.</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8.9% for the six months ended June 30, 2024 compared to 8.9% for the six months ended June 30, 2023. Excluding the impact of expenses relating to transactions, stock-based compensation, amortization of intangibles, and catastrophe bonds, other underwriting expenses as a percentage of gross earned premiums were 7.1% for the six months ended June 30, 2024 compared to 6.9% for the six months ended June 30, 2023. Other underwriting expenses as a percentage of gross earned premiums may fluctuate period over period based on timing of certain expenses relative to premium growth.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Net investment income increased $4.4 million, or 41.6%, to $15.1 million for the six months ended June 30, 2024 from $10.7 million for the six months ended June 30, 2023. The increase was primarily due to a higher average balance of investments during the six months ended June 30, 2024 and higher yields on invested assets.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incurred $3.0 million of net realized and unrealized gains on investments for the six months ended June 30, 2024 compared to $1.3 million of net realized and unrealized gains for the six months ended June 30, 2023 due primarily to higher gains on our equity securities during the period ended June 30, 2024 compared to the period ended June 30, 2023.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14,952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management fees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15,098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10,661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18,132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11,934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increased $4.8 million or 45.0% to $15.6 million for the six months ended June 30, 2024 from $10.8 million for the six months ended June 30, 2023 due to higher pre-tax income and a higher effective tax rate during the six months ended June 30, 2024. During the six months ended June 30, 2024, our income tax rate of 23.1% was higher than the statutory rate of 21% due primarily to non-deductible executive compensation expense. For the six months ended June 30, 2023 our income tax rate of 23.6% was higher than the statutory rate also due primarily to non-deductible executive compensation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GAAP Financial Measures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Revenue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calculated in accordance with GAAP reconciles to underwriting revenue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131,069</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90,396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249,603</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179,597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123,077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83,728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231,471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167,663</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Income and Adjusted Underwriting Income</w:t>
      </w:r>
    </w:p>
    <w:p>
      <w:pPr>
        <w:spacing w:after="0" w:line="229" w:lineRule="exact"/>
        <w:rPr>
          <w:sz w:val="20"/>
          <w:szCs w:val="20"/>
          <w:color w:val="auto"/>
        </w:rPr>
      </w:pPr>
    </w:p>
    <w:p>
      <w:pPr>
        <w:ind w:right="160" w:firstLine="648"/>
        <w:spacing w:after="0" w:line="220" w:lineRule="exact"/>
        <w:rPr>
          <w:sz w:val="20"/>
          <w:szCs w:val="20"/>
          <w:color w:val="auto"/>
        </w:rPr>
      </w:pPr>
      <w:r>
        <w:rPr>
          <w:rFonts w:ascii="Times New Roman" w:cs="Times New Roman" w:eastAsia="Times New Roman" w:hAnsi="Times New Roman"/>
          <w:sz w:val="18"/>
          <w:szCs w:val="18"/>
          <w:color w:val="auto"/>
        </w:rPr>
        <w:t>We define underwriting income as income before income taxes excluding net investment income, net realized and unrealized gains and losses on investments, and interest expense. Underwriting income represents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income calculated in accordance with GAAP, and other companies may define underwriting income differently.</w:t>
      </w:r>
    </w:p>
    <w:p>
      <w:pPr>
        <w:spacing w:after="0" w:line="201" w:lineRule="exact"/>
        <w:rPr>
          <w:sz w:val="20"/>
          <w:szCs w:val="20"/>
          <w:color w:val="auto"/>
        </w:rPr>
      </w:pPr>
    </w:p>
    <w:p>
      <w:pPr>
        <w:ind w:right="100" w:firstLine="648"/>
        <w:spacing w:after="0" w:line="220" w:lineRule="exact"/>
        <w:rPr>
          <w:sz w:val="20"/>
          <w:szCs w:val="20"/>
          <w:color w:val="auto"/>
        </w:rPr>
      </w:pPr>
      <w:r>
        <w:rPr>
          <w:rFonts w:ascii="Times New Roman" w:cs="Times New Roman" w:eastAsia="Times New Roman" w:hAnsi="Times New Roman"/>
          <w:sz w:val="18"/>
          <w:szCs w:val="18"/>
          <w:color w:val="auto"/>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income calculated in accordance with GAAP. Other companies may define adjusted underwriting income differently.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Income before income taxes calculated in accordance with GAAP reconciles to underwriting income and adjusted underwriting income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33,374</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23,020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67,730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45,648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25,607</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17,416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50,563</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35,798</w:t>
            </w:r>
          </w:p>
        </w:tc>
      </w:tr>
      <w:tr>
        <w:trPr>
          <w:trHeight w:val="196"/>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472</w:t>
            </w: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1,640</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underwriting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32,919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23,092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62,086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45,288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229"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sectPr>
          <w:pgSz w:w="11900" w:h="16838" w:orient="portrait"/>
          <w:cols w:equalWidth="0" w:num="1">
            <w:col w:w="11240"/>
          </w:cols>
          <w:pgMar w:left="320" w:top="121" w:right="339"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3"/>
        </w:trPr>
        <w:tc>
          <w:tcPr>
            <w:tcW w:w="76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Net income calculated in accordance with GAAP reconciles to adjusted net income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25,729</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17,562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52,111</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34,874</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7,147</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impact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3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31,980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21,794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59,775</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42,234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Adjusted Return on Equity</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define annualized adjusted return on equity as adjusted net income expressed on an annualized basis as 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Annualized adjusted return on equity is calculated as follows: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0"/>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194"/>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adjusted 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127,920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87,176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119,550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84,468</w:t>
            </w: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Average stockholders'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517,131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409,178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501,928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399,230</w:t>
            </w:r>
          </w:p>
        </w:tc>
      </w:tr>
      <w:tr>
        <w:trPr>
          <w:trHeight w:val="209"/>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adjusted return on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Adjusted combined ratio is calculated as follows: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98"/>
        </w:trPr>
        <w:tc>
          <w:tcPr>
            <w:tcW w:w="5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 expenses,</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96,678</w:t>
            </w: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65,691</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179,588</w:t>
            </w: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130,549</w:t>
            </w:r>
          </w:p>
        </w:tc>
        <w:tc>
          <w:tcPr>
            <w:tcW w:w="0" w:type="dxa"/>
            <w:vAlign w:val="bottom"/>
          </w:tcPr>
          <w:p>
            <w:pPr>
              <w:spacing w:after="0"/>
              <w:rPr>
                <w:sz w:val="1"/>
                <w:szCs w:val="1"/>
                <w:color w:val="auto"/>
              </w:rPr>
            </w:pPr>
          </w:p>
        </w:tc>
      </w:tr>
      <w:tr>
        <w:trPr>
          <w:trHeight w:val="221"/>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 underwriting expenses, net of commission and other income</w:t>
            </w:r>
          </w:p>
        </w:tc>
        <w:tc>
          <w:tcPr>
            <w:tcW w:w="2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122,285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83,107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230,151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166,347</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0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numerator: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(7,147)</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combined ratio</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Adjusted Earnings Per Share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 adjusted earnings per share is calculated as follows: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7"/>
        </w:trPr>
        <w:tc>
          <w:tcPr>
            <w:tcW w:w="5980" w:type="dxa"/>
            <w:vAlign w:val="bottom"/>
          </w:tcPr>
          <w:p>
            <w:pPr>
              <w:spacing w:after="0"/>
              <w:rPr>
                <w:sz w:val="16"/>
                <w:szCs w:val="16"/>
                <w:color w:val="auto"/>
              </w:rPr>
            </w:pPr>
          </w:p>
        </w:tc>
        <w:tc>
          <w:tcPr>
            <w:tcW w:w="1260" w:type="dxa"/>
            <w:vAlign w:val="bottom"/>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360" w:type="dxa"/>
            <w:vAlign w:val="bottom"/>
            <w:gridSpan w:val="3"/>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2"/>
              </w:rPr>
              <w:t>except per share</w:t>
            </w:r>
          </w:p>
        </w:tc>
        <w:tc>
          <w:tcPr>
            <w:tcW w:w="100" w:type="dxa"/>
            <w:vAlign w:val="bottom"/>
          </w:tcPr>
          <w:p>
            <w:pPr>
              <w:spacing w:after="0"/>
              <w:rPr>
                <w:sz w:val="16"/>
                <w:szCs w:val="16"/>
                <w:color w:val="auto"/>
              </w:rPr>
            </w:pPr>
          </w:p>
        </w:tc>
        <w:tc>
          <w:tcPr>
            <w:tcW w:w="1220" w:type="dxa"/>
            <w:vAlign w:val="bottom"/>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320" w:type="dxa"/>
            <w:vAlign w:val="bottom"/>
            <w:gridSpan w:val="3"/>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2"/>
              </w:rPr>
              <w:t>except per share</w:t>
            </w:r>
          </w:p>
        </w:tc>
      </w:tr>
      <w:tr>
        <w:trPr>
          <w:trHeight w:val="238"/>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data)</w:t>
            </w:r>
          </w:p>
        </w:tc>
        <w:tc>
          <w:tcPr>
            <w:tcW w:w="96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31,980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21,794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59,775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42,234</w:t>
            </w:r>
          </w:p>
        </w:tc>
      </w:tr>
      <w:tr>
        <w:trPr>
          <w:trHeight w:val="210"/>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25,617,916</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25,309,526</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25,554,445</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25,384,409</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earnings per share</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Loss Ratio</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53"/>
        </w:trPr>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Loss ratio and catastrophe loss ratio are calculated as follows: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Losses and loss adjustment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30,431</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17,905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57,268</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38,557</w:t>
            </w: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1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122,285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83,107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230,151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166,347</w:t>
            </w:r>
          </w:p>
        </w:tc>
      </w:tr>
      <w:tr>
        <w:trPr>
          <w:trHeight w:val="209"/>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09"/>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Catastrophe losses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3,441</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6,800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3,965</w:t>
            </w: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0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122,285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83,107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230,151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166,347</w:t>
            </w:r>
          </w:p>
        </w:tc>
      </w:tr>
      <w:tr>
        <w:trPr>
          <w:trHeight w:val="209"/>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 ratio</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 Excluding Catastrophe Losses</w:t>
      </w:r>
    </w:p>
    <w:p>
      <w:pPr>
        <w:spacing w:after="0" w:line="229"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combined ratio excluding catastrophe losses is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98"/>
        </w:trPr>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 expenses,</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96,678</w:t>
            </w: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65,691</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179,588</w:t>
            </w: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130,549</w:t>
            </w:r>
          </w:p>
        </w:tc>
        <w:tc>
          <w:tcPr>
            <w:tcW w:w="0" w:type="dxa"/>
            <w:vAlign w:val="bottom"/>
          </w:tcPr>
          <w:p>
            <w:pPr>
              <w:spacing w:after="0"/>
              <w:rPr>
                <w:sz w:val="1"/>
                <w:szCs w:val="1"/>
                <w:color w:val="auto"/>
              </w:rPr>
            </w:pPr>
          </w:p>
        </w:tc>
      </w:tr>
      <w:tr>
        <w:trPr>
          <w:trHeight w:val="221"/>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 underwriting expenses, net of commission and other income</w:t>
            </w:r>
          </w:p>
        </w:tc>
        <w:tc>
          <w:tcPr>
            <w:tcW w:w="2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122,285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83,107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230,151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166,347</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numerator: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(3,965)</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Adjusted combined ratio excluding catastrophe losses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equity calculated in accordance with GAAP reconciles to tangible stockholders’ equity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3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3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532,606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471,252</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(12,315)</w:t>
            </w:r>
          </w:p>
        </w:tc>
      </w:tr>
      <w:tr>
        <w:trPr>
          <w:trHeight w:val="25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stockholders' equity</w:t>
            </w:r>
          </w:p>
        </w:tc>
        <w:tc>
          <w:tcPr>
            <w:tcW w:w="4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521,069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458,937</w:t>
            </w:r>
          </w:p>
        </w:tc>
      </w:tr>
      <w:tr>
        <w:trPr>
          <w:trHeight w:val="412"/>
        </w:trPr>
        <w:tc>
          <w:tcPr>
            <w:tcW w:w="3880" w:type="dxa"/>
            <w:vAlign w:val="bottom"/>
            <w:tcBorders>
              <w:top w:val="single" w:sz="8" w:color="CCEEFF"/>
            </w:tcBorders>
          </w:tcPr>
          <w:p>
            <w:pPr>
              <w:spacing w:after="0"/>
              <w:rPr>
                <w:sz w:val="24"/>
                <w:szCs w:val="24"/>
                <w:color w:val="auto"/>
              </w:rPr>
            </w:pPr>
          </w:p>
        </w:tc>
        <w:tc>
          <w:tcPr>
            <w:tcW w:w="412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Company’s U.S. insurance company subsidiaries, PSIC and PESIC, are restricted by the statutes as to the amount of dividends that they may pay without prior approval by state insurance commissioners.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California and Oregon statute which govern PSIC, dividends paid in a consecutive twelve month period cannot exceed the greater of</w:t>
      </w:r>
    </w:p>
    <w:p>
      <w:pPr>
        <w:spacing w:after="0" w:line="27" w:lineRule="exact"/>
        <w:rPr>
          <w:sz w:val="20"/>
          <w:szCs w:val="20"/>
          <w:color w:val="auto"/>
        </w:rPr>
      </w:pPr>
    </w:p>
    <w:p>
      <w:pPr>
        <w:ind w:right="40" w:firstLine="8"/>
        <w:spacing w:after="0" w:line="253" w:lineRule="auto"/>
        <w:tabs>
          <w:tab w:leader="none" w:pos="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$96.0 million in 2024 without approval by the California and Oregon Insurance Commissioners.</w:t>
      </w:r>
    </w:p>
    <w:p>
      <w:pPr>
        <w:spacing w:after="0" w:line="18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$1.5 million in 2024 without approval of the Arizona Insurance Commissioner.</w:t>
      </w:r>
    </w:p>
    <w:p>
      <w:pPr>
        <w:spacing w:after="0" w:line="180"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has not caused the insurer to fail to meet its relevant margins.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Further, under the Companies Act,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Pursuant to Bermuda regulations, the maximum amount of dividends and return of capital available to be paid by a reinsurer is determined pursuant to a formula. Under this formula, the maximum amount of dividends and return of capital available from PSRE during 2024 is calculated to be approximately $4.1 million. However, this dividend amount is subject to annual enhanced solvency requirement calculations.</w:t>
      </w:r>
    </w:p>
    <w:p>
      <w:pPr>
        <w:spacing w:after="0" w:line="176"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w:t>
      </w:r>
    </w:p>
    <w:p>
      <w:pPr>
        <w:spacing w:after="0" w:line="135"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Our cash flows from operations may differ substantially from our net income due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or due to changes in balance sheet accounts.</w:t>
      </w:r>
    </w:p>
    <w:p>
      <w:pPr>
        <w:spacing w:after="0" w:line="26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that our current liquidity and cash receipts from written premiums, investment income, proceeds from investment sales and redemptions, and reinsurance recoveries, if necessary, are sufficient to cover cash outflows for each of the Company’s insurance subsidiaries in the foreseeable future.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2024 and 2023:</w:t>
            </w: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3240" w:type="dxa"/>
            <w:vAlign w:val="bottom"/>
            <w:gridSpan w:val="5"/>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88,252</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23,203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(45,003)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(47,082)</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20,144</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r>
    </w:tbl>
    <w:p>
      <w:pPr>
        <w:spacing w:after="0" w:line="19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cash flow from operating activities was positive during the six months ended June 30, 2024 and 2023 due to net income and a decrease in net operating assets in each period.</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2024 and 2023 related primarily to purchases of fixed maturity securities in excess of sales and maturities in each period.</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for six months ended June 30, 2024 was related to $52.6 million in payments on our lines of credit, offset by the receipt of $4.0 million in proceeds from stock option exercises, the receipt of $0.4 million in proceeds from our employee stock purchase plan and the receipt of $1.1 million in proceeds from policy holder contributions of surplus. Cash provided by financing activities for six months ended June 30, 2023 was related to $35.0 million in borrowings from our FHLB line of credit, the receipt of $0.3 million in proceeds from stock option exercises and the receipt of $0.4 million in proceeds from our employee stock purchase plan, offset by the repurchase of $15.6 million of our common stock.</w:t>
      </w:r>
    </w:p>
    <w:p>
      <w:pPr>
        <w:spacing w:after="0" w:line="183" w:lineRule="exact"/>
        <w:rPr>
          <w:sz w:val="20"/>
          <w:szCs w:val="20"/>
          <w:color w:val="auto"/>
        </w:rPr>
      </w:pPr>
    </w:p>
    <w:p>
      <w:pPr>
        <w:jc w:val="both"/>
        <w:ind w:right="160" w:firstLine="648"/>
        <w:spacing w:after="0" w:line="226" w:lineRule="exact"/>
        <w:rPr>
          <w:sz w:val="20"/>
          <w:szCs w:val="20"/>
          <w:color w:val="auto"/>
        </w:rPr>
      </w:pPr>
      <w:r>
        <w:rPr>
          <w:rFonts w:ascii="Times New Roman" w:cs="Times New Roman" w:eastAsia="Times New Roman" w:hAnsi="Times New Roman"/>
          <w:sz w:val="18"/>
          <w:szCs w:val="18"/>
          <w:color w:val="auto"/>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$777.9 million in cash and investment securities available at June 30, 2024. We also have the ability to access additional capital through pursuing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borrowings, sales of our equity or debt securities or entrance into a reinsurance arrangement.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previously implemented a share repurchase plan and have used and may use our cash in the future to purchase outstanding shares of our common stock. Under our previous share repurchase program, shares were repurchased from time to time in the open market or negotiated transactions at prevailing market rates, or by other means in accordance with federal securities laws.</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program ended on March 31, 2024 and no shares have been repurchased in 2024. The Company accounts for share repurchases by charging the excess of repurchase price over the common stock’s par value entirely to retained earnings. All repurchased shares are retired and become authorized but unissued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the ability to access additional capital through multiple credit agreements.</w:t>
      </w:r>
    </w:p>
    <w:p>
      <w:pPr>
        <w:spacing w:after="0" w:line="225"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 Currently, $15 million of the borrowing capacity of the Credit Agreement is pledged as collateral and not able to be utilized.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we had no borrowings outstanding through the Credit Agreement.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predetermined term and the interest rate varies based on the term of the advance.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we had no borrowings outstanding through the FHLB line of credit.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229" w:lineRule="exact"/>
        <w:rPr>
          <w:sz w:val="20"/>
          <w:szCs w:val="20"/>
          <w:color w:val="auto"/>
        </w:rPr>
      </w:pPr>
    </w:p>
    <w:p>
      <w:pPr>
        <w:ind w:right="560" w:firstLine="648"/>
        <w:spacing w:after="0" w:line="289" w:lineRule="auto"/>
        <w:rPr>
          <w:sz w:val="20"/>
          <w:szCs w:val="20"/>
          <w:color w:val="auto"/>
        </w:rPr>
      </w:pPr>
      <w:r>
        <w:rPr>
          <w:rFonts w:ascii="Times New Roman" w:cs="Times New Roman" w:eastAsia="Times New Roman" w:hAnsi="Times New Roman"/>
          <w:sz w:val="17"/>
          <w:szCs w:val="17"/>
          <w:color w:val="auto"/>
        </w:rPr>
        <w:t>At June 30, 2024 total stockholders’ equity was $532.6 million and tangible stockholders’ equity was $521.1 million, compared to total stockholders’ equity of $471.3 million and tangible stockholders’ equity of $458.9 million as of December 31, 2023. Stockholder’s equity increased primarily due to net income earned for the period, activity related to stock-based compensation, and unrealized gains on fixed maturity securities.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ind w:right="200" w:firstLine="648"/>
        <w:spacing w:after="0" w:line="245" w:lineRule="exact"/>
        <w:rPr>
          <w:sz w:val="20"/>
          <w:szCs w:val="20"/>
          <w:color w:val="auto"/>
        </w:rPr>
      </w:pPr>
      <w:r>
        <w:rPr>
          <w:rFonts w:ascii="Times New Roman" w:cs="Times New Roman" w:eastAsia="Times New Roman" w:hAnsi="Times New Roman"/>
          <w:sz w:val="18"/>
          <w:szCs w:val="18"/>
          <w:color w:val="auto"/>
        </w:rPr>
        <w:t>Tangible stockholders’ equity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stockholders’ equity in accordance with GAAP to tangible stockholders’ equity.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229" w:lineRule="exact"/>
        <w:rPr>
          <w:sz w:val="20"/>
          <w:szCs w:val="20"/>
          <w:color w:val="auto"/>
        </w:rPr>
      </w:pPr>
    </w:p>
    <w:p>
      <w:pPr>
        <w:ind w:right="80" w:firstLine="648"/>
        <w:spacing w:after="0" w:line="218" w:lineRule="exact"/>
        <w:rPr>
          <w:sz w:val="20"/>
          <w:szCs w:val="20"/>
          <w:color w:val="auto"/>
        </w:rPr>
      </w:pPr>
      <w:r>
        <w:rPr>
          <w:rFonts w:ascii="Times New Roman" w:cs="Times New Roman" w:eastAsia="Times New Roman" w:hAnsi="Times New Roman"/>
          <w:sz w:val="18"/>
          <w:szCs w:val="18"/>
          <w:color w:val="auto"/>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approves our investment guidelines in compliance with applicable regulatory restrictions on asset type, quality and concentration. Our current investment guidelines allow us to invest in taxable and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exempt fixed maturities, as well as publicly traded mutual funds and common stock of individual companies. Our cash and invested assets consist of cash and cash equivalents, fixed maturity securities, and equity securities. As of June 30, 2024, the majority of our investment portfolio, or $687.1 million, was comprised of fixed maturity securities that are classified as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and carried at fair value with unrealized gains and losses on these securities, net of applicable taxes, reported as a separate component of accumulated other comprehensive income. Also included in our investment portfolio were $37.8 million of equity securities, $2.4 million of equity method investments and $2.6 million of investments in limited partnerships. In addition, we maintained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restricted cash and cash equivalent balance of $47.8 million at June 30, 2024. Our fixed maturity securities, including cash equivalents, had a weighted average effective duration of 3.73 and 3.48 years and an average rating of “A1/A+” and “Aa3/A+” at June 30, 2024 and December 31, 2023, respectively. Our fixed income investment portfolio had a book yield of 4.30% as of June 30, 2024, compared to 4.07% as of December 31, 2023.</w:t>
      </w:r>
    </w:p>
    <w:p>
      <w:pPr>
        <w:spacing w:after="0" w:line="159"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At June 30, 2024 and December 31, 2023 the amortized cost and fair value on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 or Cost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34,818</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27,480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357,193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337,956</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290,364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278,317</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723,940</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687,138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 or Cost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40,836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9,902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29,511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316,590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300,239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274,550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264,727</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5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675,130</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643,799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13"/>
        </w:trPr>
        <w:tc>
          <w:tcPr>
            <w:tcW w:w="50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jc w:val="right"/>
              <w:ind w:right="39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115"/>
        </w:trPr>
        <w:tc>
          <w:tcPr>
            <w:tcW w:w="50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86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53"/>
        </w:trPr>
        <w:tc>
          <w:tcPr>
            <w:tcW w:w="1014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tables provide the credit quality of investment securities as of June 30, 2024 and December 31, 2023:</w:t>
            </w:r>
          </w:p>
        </w:tc>
        <w:tc>
          <w:tcPr>
            <w:tcW w:w="1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7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1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7"/>
              </w:rPr>
              <w:t>($ in thousands)</w:t>
            </w:r>
          </w:p>
        </w:tc>
        <w:tc>
          <w:tcPr>
            <w:tcW w:w="110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AAA</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95,195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225,943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203,743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152,525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CCC &amp; Below</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1280" w:type="dxa"/>
            <w:vAlign w:val="bottom"/>
            <w:shd w:val="clear" w:color="auto" w:fill="CCEEFF"/>
          </w:tcPr>
          <w:p>
            <w:pPr>
              <w:spacing w:after="0"/>
              <w:rPr>
                <w:sz w:val="21"/>
                <w:szCs w:val="21"/>
                <w:color w:val="auto"/>
              </w:rPr>
            </w:pPr>
          </w:p>
        </w:tc>
        <w:tc>
          <w:tcPr>
            <w:tcW w:w="65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687,138</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390"/>
        </w:trPr>
        <w:tc>
          <w:tcPr>
            <w:tcW w:w="1280" w:type="dxa"/>
            <w:vAlign w:val="bottom"/>
            <w:tcBorders>
              <w:top w:val="single" w:sz="8" w:color="CCEEFF"/>
            </w:tcBorders>
          </w:tcPr>
          <w:p>
            <w:pPr>
              <w:spacing w:after="0"/>
              <w:rPr>
                <w:sz w:val="24"/>
                <w:szCs w:val="24"/>
                <w:color w:val="auto"/>
              </w:rPr>
            </w:pPr>
          </w:p>
        </w:tc>
        <w:tc>
          <w:tcPr>
            <w:tcW w:w="65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7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1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7"/>
              </w:rPr>
              <w:t>($ in thousands)</w:t>
            </w:r>
          </w:p>
        </w:tc>
        <w:tc>
          <w:tcPr>
            <w:tcW w:w="110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AAA</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98,823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211,354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205,162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119,016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CCC &amp; Below</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1280" w:type="dxa"/>
            <w:vAlign w:val="bottom"/>
            <w:shd w:val="clear" w:color="auto" w:fill="CCEEFF"/>
          </w:tcPr>
          <w:p>
            <w:pPr>
              <w:spacing w:after="0"/>
              <w:rPr>
                <w:sz w:val="19"/>
                <w:szCs w:val="19"/>
                <w:color w:val="auto"/>
              </w:rPr>
            </w:pPr>
          </w:p>
        </w:tc>
        <w:tc>
          <w:tcPr>
            <w:tcW w:w="65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643,799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157" w:lineRule="exact"/>
        <w:rPr>
          <w:sz w:val="20"/>
          <w:szCs w:val="20"/>
          <w:color w:val="auto"/>
        </w:rPr>
      </w:pPr>
    </w:p>
    <w:p>
      <w:pPr>
        <w:ind w:right="80" w:firstLine="648"/>
        <w:spacing w:after="0" w:line="245" w:lineRule="exact"/>
        <w:rPr>
          <w:sz w:val="20"/>
          <w:szCs w:val="20"/>
          <w:color w:val="auto"/>
        </w:rPr>
      </w:pPr>
      <w:r>
        <w:rPr>
          <w:rFonts w:ascii="Times New Roman" w:cs="Times New Roman" w:eastAsia="Times New Roman" w:hAnsi="Times New Roman"/>
          <w:sz w:val="18"/>
          <w:szCs w:val="18"/>
          <w:color w:val="auto"/>
        </w:rPr>
        <w:t>The amortized cost and fair value of our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in fixed maturity securities summarized by contractual maturity as of June 30, 2024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67,474</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65,042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174,285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166,790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142,476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132,119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44,870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290,364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278,317</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10"/>
        </w:trPr>
        <w:tc>
          <w:tcPr>
            <w:tcW w:w="62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723,940</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687,138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540" w:right="1460" w:hanging="4877"/>
        <w:spacing w:after="0" w:line="53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spacing w:after="0" w:line="194"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the Company has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the Company also closed a $200 million 144A catastrophe bond which became effective June 1, 2023. This catastrophe bond was also completed through Torrey Pines Re Ltd and provides indemnity-based reinsurance covering earthquake events through June 1, 2026. During the second quarter of 2024, the Company also closed a $420 million 144A catastrophe bond which became effective June 1, 2024. This catastrophe bond was also completed through Torrey Pines Re Ltd and provides indemnity-based reinsurance covering earthquake events through June 1, 2027.</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catastrophe event retention is $20 million for earthquake events and $15.5 million for hurricane events and all other perils. Our reinsurance coverage exhausts at $3.06 billion for earthquake events, $735 million for Hawaii hurricane events, and $117.5 million for continental U.S. hurricane events, providing coverage in excess of our 1 in 250-year peak zone PML and in excess of our A.M. Best requirement. In addition, we maintain reinsurance coverage equivalent to or better than the 1 in 250-year PML for our other lines.</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2023 Annual Report on Form 10-K.</w:t>
      </w:r>
    </w:p>
    <w:p>
      <w:pPr>
        <w:spacing w:after="0" w:line="19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as compared to the critical accounting policies and estimates disclosed in Management’s Discussion and Analysis of Financial Condition and Operations included in our 2023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76.5% rated “A−” or better. At June 30, 2024, 1.3%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139" w:lineRule="exact"/>
        <w:rPr>
          <w:sz w:val="20"/>
          <w:szCs w:val="20"/>
          <w:color w:val="auto"/>
        </w:rPr>
      </w:pPr>
    </w:p>
    <w:p>
      <w:pPr>
        <w:ind w:right="160" w:firstLine="648"/>
        <w:spacing w:after="0" w:line="231" w:lineRule="exact"/>
        <w:rPr>
          <w:sz w:val="20"/>
          <w:szCs w:val="20"/>
          <w:color w:val="auto"/>
        </w:rPr>
      </w:pPr>
      <w:r>
        <w:rPr>
          <w:rFonts w:ascii="Times New Roman" w:cs="Times New Roman" w:eastAsia="Times New Roman" w:hAnsi="Times New Roman"/>
          <w:sz w:val="18"/>
          <w:szCs w:val="18"/>
          <w:color w:val="auto"/>
        </w:rPr>
        <w:t>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we carried out an evaluation, under the supervision and with the participation of our management, including our CEO and CFO, of the effectiveness of the design and operation of our disclosure controls and procedures defined under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Based upon this evaluation, our CEO and CFO concluded that our disclosure controls and procedures were effective.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88" w:lineRule="exact"/>
        <w:rPr>
          <w:sz w:val="20"/>
          <w:szCs w:val="20"/>
          <w:color w:val="auto"/>
        </w:rPr>
      </w:pPr>
    </w:p>
    <w:p>
      <w:pPr>
        <w:ind w:right="40" w:firstLine="648"/>
        <w:spacing w:after="0" w:line="245" w:lineRule="exact"/>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occurred during the quarter ended June 30, 2024 that have materially affected, or are reasonably likely to materially affect, our internal control over financial reporting.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condensed consolidated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these risks include, but are not limited to, the following: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Industry:</w:t>
      </w:r>
    </w:p>
    <w:p>
      <w:pPr>
        <w:spacing w:after="0" w:line="227" w:lineRule="exact"/>
        <w:rPr>
          <w:sz w:val="20"/>
          <w:szCs w:val="20"/>
          <w:color w:val="auto"/>
        </w:rPr>
      </w:pPr>
    </w:p>
    <w:p>
      <w:pPr>
        <w:ind w:left="660" w:right="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unpredictable and severe catastrophe events, including those caused by global climate change, could reduce or eliminate our earnings and stockholders' equity, and limit our ability to underwrite new insurance policies;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may not pay claims on a timely basis, or at all, which may materially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loss reserves are established based on estimates and may be inadequate to cover actual incurred losses which could have a material adverse impact on our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and loss limitation methods, including estimates and models, may fail to adequately manage our exposure to losses from catastrophe events and our losses could be materially higher than our expectations;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we are exposed more significantly to California loss activity and regulatory environments;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group of brokers and program administrators, and such relationships may not continue;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intense competition for business in our industry;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Economic Environment:</w:t>
      </w:r>
    </w:p>
    <w:p>
      <w:pPr>
        <w:spacing w:after="0" w:line="227" w:lineRule="exact"/>
        <w:rPr>
          <w:sz w:val="20"/>
          <w:szCs w:val="20"/>
          <w:color w:val="auto"/>
        </w:rPr>
      </w:pPr>
    </w:p>
    <w:p>
      <w:pPr>
        <w:ind w:left="660" w:right="1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including recession, inflation, periods of high unemployment or lower economic activity could affect our growth and profitability;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Technology:</w:t>
      </w:r>
    </w:p>
    <w:p>
      <w:pPr>
        <w:spacing w:after="0" w:line="227" w:lineRule="exact"/>
        <w:rPr>
          <w:sz w:val="20"/>
          <w:szCs w:val="20"/>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information technology and telecommunications systems could adversely affect our business;</w:t>
      </w:r>
    </w:p>
    <w:p>
      <w:pPr>
        <w:spacing w:after="0" w:line="225" w:lineRule="exact"/>
        <w:rPr>
          <w:rFonts w:ascii="Times New Roman" w:cs="Times New Roman" w:eastAsia="Times New Roman" w:hAnsi="Times New Roman"/>
          <w:sz w:val="18"/>
          <w:szCs w:val="18"/>
          <w:color w:val="auto"/>
        </w:rPr>
      </w:pPr>
    </w:p>
    <w:p>
      <w:pPr>
        <w:ind w:left="380" w:hanging="197"/>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cyber-attacks could expose us to liability and damage our reputation and business;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Laws and Regulations:</w:t>
      </w:r>
    </w:p>
    <w:p>
      <w:pPr>
        <w:spacing w:after="0" w:line="22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may adversely affect our ability to achieve our business objectives;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interpretation of our coverage or provisions, including loss limitations and exclusions, in our policies could have a material adverse effect on our financial condition or results of operations;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operating as a public company, and our management is required to devote substantial time to complying with public company regulations; 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Ownership of our Common Stock:</w:t>
      </w:r>
    </w:p>
    <w:p>
      <w:pPr>
        <w:spacing w:after="0" w:line="227" w:lineRule="exact"/>
        <w:rPr>
          <w:sz w:val="20"/>
          <w:szCs w:val="20"/>
          <w:color w:val="auto"/>
        </w:rPr>
      </w:pPr>
    </w:p>
    <w:p>
      <w:pPr>
        <w:ind w:left="660" w:right="1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stock price may be volatile, or may decline regardless of our operating performance, and holders of our common stock could lose all or part of their investment.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arising from unpredictable and severe catastrophe events, including those caused by global climate change, could reduce or eliminate our earnings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and limit our ability to underwrite new insurance policies.</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insurance operations expose us to claims arising from unpredictable catastrophe events, such as earthquakes, hurricanes, windstorms, floods and other severe events. We have incurred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reinsurance coverage currently exhausts at $3.06 billion for earthquake events, $735 million for Hawaii hurricane events, and $117.5 million for continental U.S. hurricane events, with coverage in excess of our estimated peak zone 1 in 250-year PML event and in excess of our A.M. Best threshold. Our catastrophe event retention is $20 million for earthquake events and $15.5 million for hurricane events and all other perils. In addition to our event retention, we may also incur additional reinsurance expenses upon a catastrophe event. While we only select reinsurers whom we believe to have acceptable credit, if our reinsurers are unable to pay the claims for which they are responsible, we retain primary liability. Our earthquake policies do not provide coverage for fire damage arising from an earthquake. Catastrophe events which cause our reinsurers to incur losses may increase the cost of reinsurance in future periods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reinsurers may not pay claims on a timely basis, or at all, which may materially adversely affect our business, financial condition, and results of operations.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 program is designed to limit our risk retention, in the event of a major catastrophe, our reinsurers may not pay claims made by us on a timely basis, or they may not pay some or all these claims.</w:t>
      </w:r>
    </w:p>
    <w:p>
      <w:pPr>
        <w:spacing w:after="0" w:line="18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catastrophe event were to occur and our reinsurers were unable to 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 As of June 30, 2024, we had $381.1 million of aggregate reinsurance recoverables.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loss reserves are established based on estimates which may be inadequate to cover actual incurred losses and could have a material adverse impact on our results of operations and financial condition.</w:t>
      </w:r>
    </w:p>
    <w:p>
      <w:pPr>
        <w:spacing w:after="0" w:line="15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catastrophe events often involve a significant number of claims and ultimate cost of settling all claims is inherently difficult to predict upon the event’s occurrence.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spacing w:after="0" w:line="17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on our loss reserving methodology, see “Management’s Discussion and Analysis-Critical Accounting Policies and Estimates- Reserve for Losses and Loss Adjustment Expenses” in our 2023 Annual Report on Form 10-K.</w:t>
      </w: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75" w:lineRule="exact"/>
        <w:rPr>
          <w:sz w:val="20"/>
          <w:szCs w:val="20"/>
          <w:color w:val="auto"/>
        </w:rPr>
      </w:pPr>
    </w:p>
    <w:p>
      <w:pPr>
        <w:ind w:right="240" w:firstLine="648"/>
        <w:spacing w:after="0" w:line="289" w:lineRule="auto"/>
        <w:rPr>
          <w:sz w:val="20"/>
          <w:szCs w:val="20"/>
          <w:color w:val="auto"/>
        </w:rPr>
      </w:pPr>
      <w:r>
        <w:rPr>
          <w:rFonts w:ascii="Times New Roman" w:cs="Times New Roman" w:eastAsia="Times New Roman" w:hAnsi="Times New Roman"/>
          <w:sz w:val="17"/>
          <w:szCs w:val="17"/>
          <w:color w:val="auto"/>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spacing w:after="0" w:line="15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buy multiple types of reinsurance including treaty excess of loss (“XOL”) coverage and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spacing w:after="0" w:line="18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we have historically incorporated collateralized protection from the insurance linked securities market via catastrophe bonds. During the first quarter of 2021, we closed a $400 million 144A catastrophe bond which became effective June 1, 2021. The catastrophe bond was completed through Torrey Pines Re Pte. Ltd. (“Torrey Pines Re Pte.”). Torrey Pines Re Pte. is a special purpose reinsurance vehicle incorporated in Singapore that provided Palomar with indemnity-based reinsurance covering earthquake events through June 1, 2024. During the second quarter of 2022, we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we also closed a $200 million 144A catastrophe bond which became effective June 1, 2023. This catastrophe bond was also completed through Torrey Pines Re Ltd and provides indemnity-based reinsurance covering earthquake events through June 1, 2026. During the second quarter of 2024, the Company also closed a $420 million 144A catastrophe bond which became effective June 1, 2024. This catastrophe bond was also completed through Torrey Pines Re Ltd and provides indemnity-based reinsurance covering earthquake events through June 1, 2027.</w:t>
      </w:r>
    </w:p>
    <w:p>
      <w:pPr>
        <w:spacing w:after="0" w:line="19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may seek similar catastrophe bond offerings in the future. However, there can be no assurance that we will be able to complete such offerings on acceptable terms, if at all.</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renew our expiring reinsurance contracts on acceptable terms or expand our reinsurance coverage through traditional reinsurers, catastrophe bonds, or otherwise,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addition, as we grow our written premiums and enter new lines of business, we will seek new types of reinsurance and will need to purchase reinsurance on commercially acceptable terms in order to reduce the risk associated with entering new lines of business. The inability to purchase appropriate reinsurance for new lines of business could negatively impact our ability to grow our written premiums and maintain our desired level of profitability.</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spacing w:after="0" w:line="17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utilize several risk management and loss limitation methods, including relying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a number of methods designed to minimize risk, including underwriting specialization, modeling and data systems, data quality control, strategic use of policy deductibles, regular review of aggregate exposure and probable maximum loss reports, which report the maximum amount of expected losses based on computer or actuarial modeling techniques. These estimates, models, data, and scenarios may not produce accurate predictions; consequently, we could incur losses both in the risks we underwrite and to the value of our investment portfolio due to the overall impact on financial markets from the occurrence of catastrophe events.</w:t>
      </w:r>
    </w:p>
    <w:p>
      <w:pPr>
        <w:spacing w:after="0" w:line="18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incur from an actual catastrophe could be materially higher than our expectation of losses generated from modeled catastrophe scenarios, and our business, financial condition, and results of operations could be materially adversely affected.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spacing w:after="0" w:line="19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run many model simulations to understand the impact of these assumptions on a catastrophe’s loss potential. Furthermore, there are risks associated with catastrophe events, which are either poorly represented or not represented at all by catastrophe models. Each modeling assumption or un-modeled risk introduces uncertainty into probable maximum loss estimates that management must consider. These uncertainties can include, but are not limited to, the following:</w:t>
      </w:r>
    </w:p>
    <w:p>
      <w:pPr>
        <w:spacing w:after="0" w:line="180"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do not address all the possible hazard characteristics of a catastrophe peril (e.g., the precise path and wind speed of a hurricane);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true frequency or severity of events;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a risk’s vulnerability or susceptibility to damage for a given event characteristic;</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account for unusual or unprecedented catastrophe events;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adequately consider the impact of inflation on the magnitude of modeled losses;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represent loss potential to insurance or reinsurance contract coverage limits, terms and conditions; and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impact on the economy of the area affected or the financial, judicial, political, or regulatory impacts on insurance claim payments during or following a catastrophe event.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factors and contingencies, our reliance on assumptions and data used to evaluate our entire risk portfolio and specifically to estimate a probable maximum loss is subject to a high degree of uncertainty that could result in actual losses that are materially different from our probable maximum loss estimates and could adversely impact our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adversely affect the amount of business we write and impact compliance with our debt covenants.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June 30, 2024, A.M. Best has assigned a financial strength rating of “A−” (Excellent) (Outlook Positive) to our insurance company subsidiaries, Palomar Specialty Insurance Company (“PSIC”) and Palomar Excess and Surplus Insurance Company (“PESIC”). 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spacing w:after="0" w:line="19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A.M. Best’s rating;</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w:t>
      </w:r>
    </w:p>
    <w:p>
      <w:pPr>
        <w:spacing w:after="0" w:line="25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These and other factors could result in a downgrade of our financial strength rating. A downgrade or withdrawal of our rating could result in any of the following consequences, among others:</w:t>
      </w:r>
    </w:p>
    <w:p>
      <w:pPr>
        <w:spacing w:after="0" w:line="162" w:lineRule="exact"/>
        <w:rPr>
          <w:sz w:val="20"/>
          <w:szCs w:val="20"/>
          <w:color w:val="auto"/>
        </w:rPr>
      </w:pPr>
    </w:p>
    <w:p>
      <w:pPr>
        <w:ind w:left="5540" w:right="2160" w:hanging="4884"/>
        <w:spacing w:after="0" w:line="563" w:lineRule="auto"/>
        <w:tabs>
          <w:tab w:leader="none" w:pos="9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current and future distribution partners and insureds to choose other, more highly rated competitors;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cost or reducing the availability of reinsurance to us;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limiting or preventing us from writing new and renewal insurance contracts;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be out of compliance with the financial covenants in our credit agreement.</w:t>
      </w:r>
    </w:p>
    <w:p>
      <w:pPr>
        <w:spacing w:after="0" w:line="25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customers could be negatively and adversely impacted by pandemics, disease outbreaks and other public health crises, such as the COVID-19 pandemic.</w:t>
      </w:r>
    </w:p>
    <w:p>
      <w:pPr>
        <w:spacing w:after="0" w:line="15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extent of the impact of a pandemic, disease outbreak or other public health crisis on our operational and financial performance depends on several factors, including the ultimate duration and severity of the event, the emergence and severity of variant strains, actions taken and restrictions imposed by the government and health officials in response, the effectiveness and adoption of vaccines and therapeutics, the ability for our customers to continue to pay premiums, contraction of the insurance and reinsurance markets, and the ability for reinsurers to satisfy claims, all of which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Global health crises have historically contributed to financial market volatility, supply chain disruptions, price inflation, and material and labor shortages, all of which may have a negative impact on our business. Furthermore, since our results of operations are partially dependent on the performance of our investment portfolio, a global health crisis' impact on the economy and financial markets could reduce our net investment income and result in realized investment losses in future periods. The macroeconomic effects of a global health crisis may persist for an indefinite period, even after it has subsided. We cannot anticipate all the ways in which global health crises could adversely impact our business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we are exposed more significantly to California loss activity and regulatory environments.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policyholders and insurance risks are currently concentrated in California, which generated 53% of our gross written premiums for the year ended December 31, 2023 and 45% for the six months ended June 30, 2024. We are exposed to business, economic, political, judicial and regulatory risks due to this concentration that are greater than the risks faced by insurance companies with a lower concentration of their premiums in California. Any single, major catastrophe event, series of events or other condition causing significant losses in California could materially adversely affect our business, financial condition and results of operations. Additionally, unfavorable business, economic or regulatory conditions in California may result in a significant reduction of our premiums or increase our loss exposure. Changes to insurance-related laws or regulations in California could also have a negative impact on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of one or more key executives or by an inability to attract and retain qualified personnel.</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depend on our ability to attract and retain experienced personnel and seasoned key executives who are knowledgeable about our business. The pool of talent from which we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Recently, companies have had issues with employee turnover and finding, hiring, and retaining qualified employees. These challenges may continue for the foreseeable future.</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particular, our future success is substantially dependent on the continued service of our Founder, Chief Executive Officer and Chairman, Mac Armstrong, and our Chief Financial Officer, Christopher Uchida.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select group of brokers and program administrators, and such relationships may not continue.</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Hawaii Hurricane, and Fronting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spacing w:after="0" w:line="18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our largest program administrator distributed $394.1 million or 34.5% of our gross written premiums and our second largest program administrator distributed $152.4 million, or 13.3% of our gross written premiums. There were no other program administrators which distributed greater than 10% of our gross written premiums for the year ended December 31, 2023.</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our largest program administrator distributed $193.9 million or 25.7% of our gross written premiums and our second largest program administrator distributed $91.4 million, or 12.1% of our gross written premiums. There were no other program administrators which distributed greater than 10% of our gross written premiums for the six months ended June 30, 2024.</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largest program administrator, Arrowhead General Insurance Agency, distributes our Value Select Residential Earthquake program, which represents the majority of our Residential Earthquake premium and is administered through a mutually exclusive agreement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spacing w:after="0" w:line="143" w:lineRule="exact"/>
        <w:rPr>
          <w:sz w:val="20"/>
          <w:szCs w:val="20"/>
          <w:color w:val="auto"/>
        </w:rPr>
      </w:pPr>
    </w:p>
    <w:p>
      <w:pPr>
        <w:ind w:right="68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Because we provide our program administrators with specific quoting and binding authority, if any of them fail to comply with pre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established guidelines, our results of operations could be adversely affected.</w:t>
      </w:r>
    </w:p>
    <w:p>
      <w:pPr>
        <w:spacing w:after="0" w:line="19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depends on insurance brokers and program administrators, we are exposed to certain risks arising out of our reliance on these distribution channels that could adversely affect our results.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spacing w:after="0" w:line="188"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Because the possibility of these events occurring depends in large part upon the financial condition and internal operations of our brokers, we regularly meet and communicate with our brokers, monitor broker behavior, and review broker financial information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needed basis. If we are unable to collect premiums from our brokers in the future, our underwriting profits may decline, and our financial condition and results of operations could be materially and adversely affected.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business in our industry is intense.</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technology systems and processes that are competitive with the systems and processes of these larger companies.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which may further increase competition.</w:t>
      </w:r>
    </w:p>
    <w:p>
      <w:pPr>
        <w:spacing w:after="0" w:line="180"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Certain new, proposed or potential industry or legislative developments could further increase competition in our industry. For example, an increase in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policies do not meet expectations, our written premium in future years and our future results of operations could be materially adversely affected.</w:t>
      </w:r>
    </w:p>
    <w:p>
      <w:pPr>
        <w:spacing w:after="0" w:line="118" w:lineRule="exact"/>
        <w:rPr>
          <w:sz w:val="20"/>
          <w:szCs w:val="20"/>
          <w:color w:val="auto"/>
        </w:rPr>
      </w:pPr>
    </w:p>
    <w:p>
      <w:pPr>
        <w:ind w:right="80" w:firstLine="648"/>
        <w:spacing w:after="0" w:line="228" w:lineRule="exact"/>
        <w:rPr>
          <w:sz w:val="20"/>
          <w:szCs w:val="20"/>
          <w:color w:val="auto"/>
        </w:rPr>
      </w:pPr>
      <w:r>
        <w:rPr>
          <w:rFonts w:ascii="Times New Roman" w:cs="Times New Roman" w:eastAsia="Times New Roman" w:hAnsi="Times New Roman"/>
          <w:sz w:val="18"/>
          <w:szCs w:val="18"/>
          <w:color w:val="auto"/>
        </w:rPr>
        <w:t>Most of our insurance policies are written for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in future periods due to the timing of entering large fronting partnerships and terminations of large fronting partnerships.</w:t>
      </w:r>
    </w:p>
    <w:p>
      <w:pPr>
        <w:spacing w:after="0" w:line="19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and timely evaluate and pay claims could materially and adversely affect our business, financial condition, results of operations, and prospects.</w:t>
      </w:r>
    </w:p>
    <w:p>
      <w:pPr>
        <w:spacing w:after="0" w:line="1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must accurately and timely evaluate and pay claims that are made under our policies. Many factors affect our ability to pay claims accurately and timely, including the training and experience of our claims representatives, including our third-party claims administrators (“TPAs”), the effectiveness of our management, our ability to develop or select and implement appropriate procedures and systems to support our claims functions, and other factors.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18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addition, if we do not manage our TPAs effectively, or if our TPAs are unable to effectively manage our volume of claims, our ability to manage our claims workload could be adversely affected. In addition to potentially requiring that growth be slowed in the affected markets, our business could suffer from decreased quality of claims work which, in turn, could adversely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act based on inaccurate or incomplete information regarding the accounts we underwrite.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rely on information provided by insureds or their representatives when underwriting insurance policies. While we may make inquiries and take other steps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our strategy without stockholder approval.</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could take excessive risks, which could negatively affect our financial condition and business.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may only be available on unfavorable terms.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only available on unfavorable terms. Equity financings would result in dilution to our stockholders. Debt financings could subject us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w:t>
      </w:r>
    </w:p>
    <w:p>
      <w:pPr>
        <w:spacing w:after="0" w:line="229"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We intend to grow our business in the future, which could require additional capital, technology development, and skilled personnel. To grow effectively, we must be able to meet our capital needs and expand our systems, technology, and internal controls effectively. We also must allocate our human resources optimally, including identifying, hiring, and retaining qualified employees, and effectively incorporating the components of any businesses we may acquire in our effort to achieve growth. The failure to manage our growth effectively could have a material adverse effect on our business, financial condition and results of operations.</w:t>
      </w:r>
    </w:p>
    <w:p>
      <w:pPr>
        <w:spacing w:after="0" w:line="179" w:lineRule="exact"/>
        <w:rPr>
          <w:sz w:val="20"/>
          <w:szCs w:val="20"/>
          <w:color w:val="auto"/>
        </w:rPr>
      </w:pPr>
    </w:p>
    <w:p>
      <w:pPr>
        <w:ind w:left="160" w:hanging="16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evaluation of potential acquisitions, the integration of acquired businesses, and the introduction of new products, lines of business, and markets.</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we may make acquisitions, including acquisitions in lines of business that are natural adjacencies. The success of our acquisition strategy is dependent upon our ability to identify appropriate acquisition targets, negotiate transactions on favorable terms, complete transactions, have adequate access to financing and the ability to finance acquisitions on acceptable terms, and successfully integrate them into our existing businesses.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acquisitions are made, we may not realize the anticipated benefits of such acquisitions, including, but not limited to, revenue growth, operational efficiencies, or expected synergies. Many of the businesses and assets that we have acquired or may acquire have unaudited historical financial statements or records that have been, or will be, prepared by the management of such companies and have not been, or will not be, independently reviewed or audited. We cannot be certain that the financial statements or records of companies or assets we have acquired or may acquire would not, or will not, be materially different if such statements were independently reviewed or audited. If such statements were to be materially different, the tangible and intangible assets we acquire may be more susceptible to impairment charges, which could have a material adverse effect on us.</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many of the businesses that we acquire and develop will likely have smaller scales of operations prior to the implementation of our growth strategy. If we are not able to manage the growing complexity of these businesses, including improving, refining, or revising our systems and operational practices, enlarging the scale and scope of the businesses, and integrating the new business into our culture and operations, our business may be adversely affected.</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either through acquisitions or internal development, we enter new distribution channels or lines of business or offer new products and services within existing lines of business. These new distribution channels, lines of business, or new products and services present additional risks, particularly in instances where the markets are not fully developed. Such risks include the investment of significant time and resources to recruit, hire, and retain personnel and develop the products, the risks involved with the management of the integration process and development of new processes and systems to accommodate complex programs, and the risk of financial guarantees and additional liabilities associated with these efforts.</w:t>
      </w:r>
    </w:p>
    <w:p>
      <w:pPr>
        <w:spacing w:after="0" w:line="18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Failure to manage these risks arising from acquisitions or development of new businesses could materially and adversely affect our business, results of operations, and financial condition.</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Our operating results have in the past varied from quarter to quarter and may not be indicative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term prospects.</w:t>
      </w:r>
    </w:p>
    <w:p>
      <w:pPr>
        <w:spacing w:after="0" w:line="26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volatility in investment performance, including gains and losses on our equity securities, and the cost of reinsurance coverage.</w:t>
      </w:r>
    </w:p>
    <w:p>
      <w:pPr>
        <w:spacing w:after="0" w:line="183" w:lineRule="exact"/>
        <w:rPr>
          <w:sz w:val="20"/>
          <w:szCs w:val="20"/>
          <w:color w:val="auto"/>
        </w:rPr>
      </w:pPr>
    </w:p>
    <w:p>
      <w:pPr>
        <w:jc w:val="both"/>
        <w:ind w:right="160" w:firstLine="360"/>
        <w:spacing w:after="0" w:line="266" w:lineRule="auto"/>
        <w:rPr>
          <w:sz w:val="20"/>
          <w:szCs w:val="20"/>
          <w:color w:val="auto"/>
        </w:rPr>
      </w:pPr>
      <w:r>
        <w:rPr>
          <w:rFonts w:ascii="Times New Roman" w:cs="Times New Roman" w:eastAsia="Times New Roman" w:hAnsi="Times New Roman"/>
          <w:sz w:val="18"/>
          <w:szCs w:val="18"/>
          <w:color w:val="auto"/>
        </w:rPr>
        <w:t>In addition, the insurance and reinsurance business historically has been a cyclical industry characterized by periods of intense price competition due to excess underwriting capacity (soft market cycle) as well as periods when shortages of capacity increase premium levels (hard market cycle). We expect our business and results of operations to be continuously impacted by these market cycles.</w:t>
      </w:r>
    </w:p>
    <w:p>
      <w:pPr>
        <w:spacing w:after="0" w:line="176" w:lineRule="exact"/>
        <w:rPr>
          <w:sz w:val="20"/>
          <w:szCs w:val="20"/>
          <w:color w:val="auto"/>
        </w:rPr>
      </w:pPr>
    </w:p>
    <w:p>
      <w:pPr>
        <w:ind w:right="420" w:firstLine="648"/>
        <w:spacing w:after="0" w:line="227" w:lineRule="exact"/>
        <w:rPr>
          <w:sz w:val="20"/>
          <w:szCs w:val="20"/>
          <w:color w:val="auto"/>
        </w:rPr>
      </w:pPr>
      <w:r>
        <w:rPr>
          <w:rFonts w:ascii="Times New Roman" w:cs="Times New Roman" w:eastAsia="Times New Roman" w:hAnsi="Times New Roman"/>
          <w:sz w:val="18"/>
          <w:szCs w:val="18"/>
          <w:color w:val="auto"/>
        </w:rPr>
        <w:t>We seek to underwrite products and make investments to achieve favorable returns on tangible stockholders’ equity over the long term. Our opportunistic nature and focus on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in tangible equity may result in fluctuations in gross written premiums, reinsurance expenses, loss expenses, and other underwriting expenses from period to period as we concentrate on underwriting contracts that we believe will generate better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rather than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Accordingly, our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of operations may not be indicative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prospects.</w:t>
      </w:r>
    </w:p>
    <w:p>
      <w:pPr>
        <w:spacing w:after="0" w:line="16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certain lenders which provides a revolving credit facility of up to $100.0 million. Borrowings under the Credit Agreement may impact our business and financial condition by:</w:t>
      </w:r>
    </w:p>
    <w:p>
      <w:pPr>
        <w:spacing w:after="0" w:line="162" w:lineRule="exact"/>
        <w:rPr>
          <w:sz w:val="20"/>
          <w:szCs w:val="20"/>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flows from operations to service our debt, thereby reducing the amount of expected cash flows available for other purposes, including investing, and paying claims and operating expenses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interest rate risk since the interest rate in the credit agreement is a variable rate.</w:t>
      </w:r>
    </w:p>
    <w:p>
      <w:pPr>
        <w:sectPr>
          <w:pgSz w:w="11900" w:h="16838" w:orient="portrait"/>
          <w:cols w:equalWidth="0" w:num="1">
            <w:col w:w="11240"/>
          </w:cols>
          <w:pgMar w:left="320" w:top="121" w:right="339" w:bottom="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the Credit Agreement contains financial covenants, restrictions on indebtedness, liens, investments, mergers, dispositions, prepayment of other indebtedness and dividends and other distributions. The financial covenants in the Credit agreement require the Company not to exceed a maximum leverage ratio and maintain a minimum net worth at the end of each quarter. The Company’s insurance subsidiaries are also required to maintain a minimum Risk-Based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the Economic Environment</w:t>
      </w:r>
    </w:p>
    <w:p>
      <w:pPr>
        <w:spacing w:after="0" w:line="22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could be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spacing w:after="0" w:line="19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underwrite a significant portion of our insurance in California. An economic downturn which particularly impacts California could have an adverse effect on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our investment portfolio is subject to a variety of investment risks that may adversely affect our financial results.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Board of Directors. Our investments are subject to general economic conditions and market risks as well as risks inherent to particular securities.</w:t>
      </w:r>
    </w:p>
    <w:p>
      <w:pPr>
        <w:spacing w:after="0" w:line="176" w:lineRule="exact"/>
        <w:rPr>
          <w:sz w:val="20"/>
          <w:szCs w:val="20"/>
          <w:color w:val="auto"/>
        </w:rPr>
      </w:pPr>
    </w:p>
    <w:p>
      <w:pPr>
        <w:ind w:right="80" w:firstLine="648"/>
        <w:spacing w:after="0" w:line="224" w:lineRule="exact"/>
        <w:rPr>
          <w:sz w:val="20"/>
          <w:szCs w:val="20"/>
          <w:color w:val="auto"/>
        </w:rPr>
      </w:pPr>
      <w:r>
        <w:rPr>
          <w:rFonts w:ascii="Times New Roman" w:cs="Times New Roman" w:eastAsia="Times New Roman" w:hAnsi="Times New Roman"/>
          <w:sz w:val="18"/>
          <w:szCs w:val="18"/>
          <w:color w:val="auto"/>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rate environments. Other fixed maturity securities, such as mortgage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and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 carry prepayment risk or, in a rising interest rate environment, may not prepay as quickly as expected.</w:t>
      </w:r>
    </w:p>
    <w:p>
      <w:pPr>
        <w:spacing w:after="0" w:line="17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80"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We also invest in marketable equity securities. These securities are carried on the balance sheet at fair market value and are subject to potential losses and declines in market value based on the performance of equity markets. Our equity invested assets totaled $37.8 million as of June 30, 2024.</w:t>
      </w:r>
    </w:p>
    <w:p>
      <w:pPr>
        <w:spacing w:after="0" w:line="14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the Oregon Division of Financial Regulation and the California and Arizona Departments of Insurance.</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may, in certain circumstances, invest in private companies or limited partnerships which we believe provide strategic opportunities. We do not intend to devote a significant portion of our investment portfolio to these types of investments. These types of investments are typically illiquid, and we have limited ability to take actions that protect or increase the value of this type of investment. Net losses from these investments or impairment of these investments may negatively impact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losses and loss adjustment reserves, a significant catastrophe event,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our information technology and telecommunications systems could adversely affect our business.</w:t>
      </w:r>
    </w:p>
    <w:p>
      <w:pPr>
        <w:spacing w:after="0" w:line="229"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systems not located on our premises or under our control. Events such as natural catastrophes, pandemics,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or cyber-attacks could expose us to liability and damage our reputation and business.</w:t>
      </w:r>
    </w:p>
    <w:p>
      <w:pPr>
        <w:spacing w:after="0" w:line="229" w:lineRule="exact"/>
        <w:rPr>
          <w:sz w:val="20"/>
          <w:szCs w:val="20"/>
          <w:color w:val="auto"/>
        </w:rPr>
      </w:pPr>
    </w:p>
    <w:p>
      <w:pPr>
        <w:jc w:val="both"/>
        <w:ind w:right="480" w:firstLine="648"/>
        <w:spacing w:after="0" w:line="232" w:lineRule="exact"/>
        <w:rPr>
          <w:sz w:val="20"/>
          <w:szCs w:val="20"/>
          <w:color w:val="auto"/>
        </w:rPr>
      </w:pPr>
      <w:r>
        <w:rPr>
          <w:rFonts w:ascii="Times New Roman" w:cs="Times New Roman" w:eastAsia="Times New Roman" w:hAnsi="Times New Roman"/>
          <w:sz w:val="18"/>
          <w:szCs w:val="18"/>
          <w:color w:val="auto"/>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or other disruptions.</w:t>
      </w:r>
    </w:p>
    <w:p>
      <w:pPr>
        <w:spacing w:after="0" w:line="171"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spacing w:after="0" w:line="187" w:lineRule="exact"/>
        <w:rPr>
          <w:sz w:val="20"/>
          <w:szCs w:val="20"/>
          <w:color w:val="auto"/>
        </w:rPr>
      </w:pPr>
    </w:p>
    <w:p>
      <w:pPr>
        <w:ind w:right="200" w:firstLine="648"/>
        <w:spacing w:after="0" w:line="219" w:lineRule="exact"/>
        <w:rPr>
          <w:sz w:val="20"/>
          <w:szCs w:val="20"/>
          <w:color w:val="auto"/>
        </w:rPr>
      </w:pPr>
      <w:r>
        <w:rPr>
          <w:rFonts w:ascii="Times New Roman" w:cs="Times New Roman" w:eastAsia="Times New Roman" w:hAnsi="Times New Roman"/>
          <w:sz w:val="18"/>
          <w:szCs w:val="18"/>
          <w:color w:val="auto"/>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 or inappropriate access, or other developments will not compromise or breach the technology or other security measures protecting the networks and systems used in connection with our business.</w:t>
      </w:r>
    </w:p>
    <w:p>
      <w:pPr>
        <w:spacing w:after="0" w:line="162" w:lineRule="exact"/>
        <w:rPr>
          <w:sz w:val="20"/>
          <w:szCs w:val="20"/>
          <w:color w:val="auto"/>
        </w:rPr>
      </w:pPr>
    </w:p>
    <w:p>
      <w:pPr>
        <w:ind w:right="12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We employ third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party licensed software for use in our business, and the inability to maintain these licenses, problems with the software we license, or increases to the cost of software licenses could adversely affect our business.</w:t>
      </w:r>
    </w:p>
    <w:p>
      <w:pPr>
        <w:spacing w:after="0" w:line="158" w:lineRule="exact"/>
        <w:rPr>
          <w:sz w:val="20"/>
          <w:szCs w:val="20"/>
          <w:color w:val="auto"/>
        </w:rPr>
      </w:pPr>
    </w:p>
    <w:p>
      <w:pPr>
        <w:ind w:right="40" w:firstLine="648"/>
        <w:spacing w:after="0" w:line="228" w:lineRule="exact"/>
        <w:rPr>
          <w:sz w:val="20"/>
          <w:szCs w:val="20"/>
          <w:color w:val="auto"/>
        </w:rPr>
      </w:pPr>
      <w:r>
        <w:rPr>
          <w:rFonts w:ascii="Times New Roman" w:cs="Times New Roman" w:eastAsia="Times New Roman" w:hAnsi="Times New Roman"/>
          <w:sz w:val="18"/>
          <w:szCs w:val="18"/>
          <w:color w:val="auto"/>
        </w:rPr>
        <w:t>Multiple areas of our business rely on certain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obtained under licenses from other companies. We anticipate that we will continue to rely on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in the future. Unforeseen issues may arise in third-party software platforms which may have an adverse impact on our operations. Integration of new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cannot be eliminated, and these risks could negatively affect our business.</w:t>
      </w:r>
    </w:p>
    <w:p>
      <w:pPr>
        <w:spacing w:after="0" w:line="175" w:lineRule="exact"/>
        <w:rPr>
          <w:sz w:val="20"/>
          <w:szCs w:val="20"/>
          <w:color w:val="auto"/>
        </w:rPr>
      </w:pPr>
    </w:p>
    <w:p>
      <w:pPr>
        <w:ind w:right="320" w:firstLine="648"/>
        <w:spacing w:after="0" w:line="219" w:lineRule="exact"/>
        <w:rPr>
          <w:sz w:val="20"/>
          <w:szCs w:val="20"/>
          <w:color w:val="auto"/>
        </w:rPr>
      </w:pPr>
      <w:r>
        <w:rPr>
          <w:rFonts w:ascii="Times New Roman" w:cs="Times New Roman" w:eastAsia="Times New Roman" w:hAnsi="Times New Roman"/>
          <w:sz w:val="18"/>
          <w:szCs w:val="18"/>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control weakness or failure in cloud-based software could adversely affect our business.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use cloud-based third-party software to host applications and for key financial and operational systems and we expect to expand their use in the future. We will increasingly rely on third-party software providers to maintain appropriate controls and safeguards to protect the integrity of our data and any information we transmit, including personal, personally identifiable, sensitive, confidential or proprietary information. While we conduct due diligence on these cloud providers with respect to their security and business controls, we may not have the visibility to effectively monitor the implementation and efficacy of these controls. If these controls do not operate effectively, we may not be able to rely on their software and cyber attackers may be able to exploit vulnerabilities, resulting in operational disruption, data loss, defects or a cybersecurity event. Migrating our software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maintain our accounting function, or otherwise operate our business. Any such event or failure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growth and evolution of artificial intelligence may impact our business and operations</w:t>
      </w:r>
    </w:p>
    <w:p>
      <w:pPr>
        <w:spacing w:after="0" w:line="22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In the future, we may seek to deploy and/or further rely on technologies such as artificial intelligence or machine learning in operating our business. If we are unable to deploy this technology effectively or if our competitors are better able to deploy this technology our business may be adversely impacted. Our third-party software vendors and service providers are increasing incorporating artificial intelligence into their processes and this may expose us to additional risks should they not be able to incorporate the technology effectively. The evolution and increased reliance on artificial intelligence may exacerbate our information technology and cybersecurity risks. Furthermore, regulations around artificial intelligence continue to evolve and we may be subject to increased regulation around artificial intelligence in the future.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2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PSIC is subject to extensive regulation in Oregon, its state of domicile, California, where it is commercially domiciled, and to a lesser degree, the other states in which it operates. PESIC is subject to extensive regulation in Arizona, its state of domicile, and to a lesser degree, the other states in which it writes business. Our Bermuda based reinsurance subsidiary, Palomar Specialty Reinsurance Company Bermuda Ltd. (“PSRE”), is subject to regulation in Bermuda.</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U.S. insurance subsidiaries are part of an “insurance holding company system” within the meaning of applicable California, Oregon and Arizona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California Department of Insurance, the Oregon Division of Financial Regulation, or the Arizona Department of Insurance, as applicable, at least 30 days prior to engaging in the transaction and the California Department of Insurance, the Oregon Division of Financial Regulation, or the Arizona Department of Insurance, as applicable,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in California, Oregon or Arizona, as applicable, we may be subject to significant fines and penalties and our working relationship with the California Department of Insurance, the Oregon Division of Financial Regulation, or the Arizona Department of Insurance, as applicable, may be impaired.</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151" w:lineRule="exact"/>
        <w:rPr>
          <w:sz w:val="20"/>
          <w:szCs w:val="20"/>
          <w:color w:val="auto"/>
        </w:rPr>
      </w:pPr>
    </w:p>
    <w:p>
      <w:pPr>
        <w:ind w:right="40" w:firstLine="648"/>
        <w:spacing w:after="0" w:line="225" w:lineRule="exact"/>
        <w:rPr>
          <w:sz w:val="20"/>
          <w:szCs w:val="20"/>
          <w:color w:val="auto"/>
        </w:rPr>
      </w:pPr>
      <w:r>
        <w:rPr>
          <w:rFonts w:ascii="Times New Roman" w:cs="Times New Roman" w:eastAsia="Times New Roman" w:hAnsi="Times New Roman"/>
          <w:sz w:val="18"/>
          <w:szCs w:val="18"/>
          <w:color w:val="auto"/>
        </w:rPr>
        <w:t>Our U.S. insurance subsidiaries are subject to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capital requirements, based upon the “risk-based capital model” adopted by the NAIC, and other minimum capital and surplus restrictions imposed under Arizona, Oregon and California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spacing w:after="0" w:line="19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PSRE is subject to regulation from the European Union. The European Union adopted the Economic Substance Act 2018 and the Economic Substance Regulations 2018 (together, the “ES Requirements”). As an insurance company, our Bermuda subsidiary conducts a relevant activity and is subject to the ES Requirements. As a result, our Bermuda subsidiary may be required to change or increase our business operations in Bermuda to meet these requirements.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Laulima is subject to regulation from the Hawaii Department of Commerce and Consumer Affairs, Hawaii Insurance Division which requires that Laulima comply with Hawaii Statutes and Insurance Code. If Laulima is unable to comply with the applicable insurance regulations in Hawaii, it may be subject to significant fines and penalties and its working relationship with the Hawaii Department of Commerce and Consumer Affairs, Hawaii Insurance Division may be impaired.</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18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including additional regulation around cybersecurity, which may have a material adverse impact on our business.</w:t>
      </w:r>
    </w:p>
    <w:p>
      <w:pPr>
        <w:spacing w:after="0" w:line="159"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Our business could be adversely affected by changes in state laws, including those relating to asset and reserve valuation requirements, surplus requirements, limitations on investments and dividends, enterprise risk and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Any government mandates and/or legislative changes related to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Additionally, in response to the growing threat of cyber-attacks in the insurance industry, cybersecurity regulations have been adopted, which, among other things,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We are required to abide by the provisions of and file compliance certifications pertaining to this legislation.</w:t>
      </w:r>
    </w:p>
    <w:p>
      <w:pPr>
        <w:spacing w:after="0" w:line="183"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While we have implemented cybersecurity policies and procedures, there is no guarantee our policies and procedures will protect our systems against all attacks or comply with all provisions of these evolving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as a result of the enactment of tax legislation could impact our operations and profitability.</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states increase the assessments that we are required to pay, our business, financial condition and results of operations would suffer.</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PSIC is licensed to conduct insurance operations on an admitted basis in 42 states. As PSIC grows, its share of any assessments in each state in which it underwrites business on an admitted basis may increase. PSIC paid assessments of $0.2 million in 2023 and paid $5.0 million of assessments for the six months ended June 30, 2024.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holding company and substantially all our operations are conducted by our insurance subsidiaries, our ability to pay dividends depends on our ability to obtain cash dividends or other permitted payments from our insurance subsidiaries.</w:t>
      </w:r>
    </w:p>
    <w:p>
      <w:pPr>
        <w:spacing w:after="0" w:line="159"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and PSRE. State insurance laws, including the laws of Oregon, California, Arizona, and the laws of Bermuda restrict the ability of our subsidiaries to declare stockholder dividends. State insurance regulators require insurance companies to maintain specified levels of statutory capital and surplus. The maximum dividend distribution absent the approval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disapproval of the insurance regulatory authority in Oregon, California and Arizona is limited by Oregon law at ORS 732.576, California law at Cal. Ins. Code 1215.5(g) and Arizona Revised Statute 20-481.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and PESIC may in the future adopt statutory provisions more restrictive than those currently in effect.</w:t>
      </w:r>
    </w:p>
    <w:p>
      <w:pPr>
        <w:spacing w:after="0" w:line="20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spacing w:after="0" w:line="183"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litigation on our business are uncertain and could have an adverse effect on our business.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59"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201" w:lineRule="exact"/>
        <w:rPr>
          <w:sz w:val="20"/>
          <w:szCs w:val="20"/>
          <w:color w:val="auto"/>
        </w:rPr>
      </w:pPr>
    </w:p>
    <w:p>
      <w:pPr>
        <w:ind w:right="80" w:firstLine="648"/>
        <w:spacing w:after="0" w:line="224" w:lineRule="exact"/>
        <w:rPr>
          <w:sz w:val="20"/>
          <w:szCs w:val="20"/>
          <w:color w:val="auto"/>
        </w:rPr>
      </w:pPr>
      <w:r>
        <w:rPr>
          <w:rFonts w:ascii="Times New Roman" w:cs="Times New Roman" w:eastAsia="Times New Roman" w:hAnsi="Times New Roman"/>
          <w:sz w:val="18"/>
          <w:szCs w:val="18"/>
          <w:color w:val="auto"/>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divert the attention of our management and key personnel from our business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to compliance with GAAP on a consolidated basis, PSIC, PESIC, PSRE and Laulima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18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public company, and our management is required to devote substantial time to complying with public company regulations.</w:t>
      </w:r>
    </w:p>
    <w:p>
      <w:pPr>
        <w:spacing w:after="0" w:line="159" w:lineRule="exact"/>
        <w:rPr>
          <w:sz w:val="20"/>
          <w:szCs w:val="20"/>
          <w:color w:val="auto"/>
        </w:rPr>
      </w:pPr>
    </w:p>
    <w:p>
      <w:pPr>
        <w:ind w:right="40" w:firstLine="648"/>
        <w:spacing w:after="0" w:line="218" w:lineRule="exact"/>
        <w:rPr>
          <w:sz w:val="20"/>
          <w:szCs w:val="20"/>
          <w:color w:val="auto"/>
        </w:rPr>
      </w:pPr>
      <w:r>
        <w:rPr>
          <w:rFonts w:ascii="Times New Roman" w:cs="Times New Roman" w:eastAsia="Times New Roman" w:hAnsi="Times New Roman"/>
          <w:sz w:val="18"/>
          <w:szCs w:val="18"/>
          <w:color w:val="auto"/>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spacing w:after="0" w:line="162" w:lineRule="exact"/>
        <w:rPr>
          <w:sz w:val="20"/>
          <w:szCs w:val="20"/>
          <w:color w:val="auto"/>
        </w:rPr>
      </w:pPr>
    </w:p>
    <w:p>
      <w:pPr>
        <w:ind w:right="540" w:firstLine="648"/>
        <w:spacing w:after="0" w:line="238" w:lineRule="exact"/>
        <w:rPr>
          <w:sz w:val="20"/>
          <w:szCs w:val="20"/>
          <w:color w:val="auto"/>
        </w:rPr>
      </w:pPr>
      <w:r>
        <w:rPr>
          <w:rFonts w:ascii="Times New Roman" w:cs="Times New Roman" w:eastAsia="Times New Roman" w:hAnsi="Times New Roman"/>
          <w:sz w:val="18"/>
          <w:szCs w:val="18"/>
          <w:color w:val="auto"/>
        </w:rPr>
        <w:t>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as well as new rules subsequently implemented by the SEC and Nasdaq, have increased regulation of, and imposed enhanced disclosure and corporate governance requirements on, public companies. We expect disclosure requirements to increase in the future and expand to areas such as climate change and greenhouse gas emissions. Our efforts to comply with these evolving laws, regulations and standards increases our operating costs and divert management’s time and attention from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generating activities.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spacing w:after="0" w:line="183" w:lineRule="exact"/>
        <w:rPr>
          <w:sz w:val="20"/>
          <w:szCs w:val="20"/>
          <w:color w:val="auto"/>
        </w:rPr>
      </w:pPr>
    </w:p>
    <w:p>
      <w:pPr>
        <w:ind w:left="980" w:right="6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periodic reports and distribute other stockholder communications, in compliance with the federal securities laws and requirements of Nasdaq;</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and expand the roles and the duties of our Board of Directors and its committees;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comprehensive compliance and investor relations functions; and</w:t>
      </w:r>
    </w:p>
    <w:p>
      <w:pPr>
        <w:spacing w:after="0" w:line="252"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maintain our system of internal control over financial reporting, and report on management’s assessment thereof, in compliance with rules and regulations of the SEC and the Public Company Accounting Oversight Board.</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spacing w:after="0" w:line="143" w:lineRule="exact"/>
        <w:rPr>
          <w:sz w:val="20"/>
          <w:szCs w:val="20"/>
          <w:color w:val="auto"/>
        </w:rPr>
      </w:pPr>
    </w:p>
    <w:p>
      <w:pPr>
        <w:ind w:right="140"/>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19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w:t>
      </w:r>
    </w:p>
    <w:p>
      <w:pPr>
        <w:spacing w:after="0" w:line="22" w:lineRule="exact"/>
        <w:rPr>
          <w:sz w:val="20"/>
          <w:szCs w:val="20"/>
          <w:color w:val="auto"/>
        </w:rPr>
      </w:pPr>
    </w:p>
    <w:p>
      <w:pPr>
        <w:jc w:val="both"/>
        <w:ind w:right="160"/>
        <w:spacing w:after="0" w:line="218" w:lineRule="exact"/>
        <w:rPr>
          <w:sz w:val="20"/>
          <w:szCs w:val="20"/>
          <w:color w:val="auto"/>
        </w:rPr>
      </w:pPr>
      <w:r>
        <w:rPr>
          <w:rFonts w:ascii="Times New Roman" w:cs="Times New Roman" w:eastAsia="Times New Roman" w:hAnsi="Times New Roman"/>
          <w:sz w:val="18"/>
          <w:szCs w:val="18"/>
          <w:color w:val="auto"/>
        </w:rPr>
        <w:t>requirements of Section 404(b)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over financial reporting may also divert management’s attention from other matters that are important to the operation of our business. We may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able to conclude on an ongoing basis that we have effective internal control over financial reporting in accordance with Section 404(b) of</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If we conclude that our internal control over financial reporting is not effective, the cost and scope of remediation actions and their effect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operations may be significant. Moreover, any material weaknesses or other deficiencies in our internal control over financial reporting may impede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file timely and accurate reports with the SEC. Any of the above could cause investors to lose confidence in our reported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our common stock listing on Nasdaq to be suspended or terminated, which could have a negative effect on the trading price of our common stock.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229"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Under applicable Oregon, California and Arizona insurance laws and regulations,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competitive results that may arise from the consummation of the acquisition of control. Oregon, California and Arizona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Oregon, California and Arizona insurance laws and regulations, absent a disclaimer of control filing and its acceptance by the Oregon, California and Arizona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spacing w:after="0" w:line="19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transactions where we raise capital may negatively affect our stock price.</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or may decline regardless of our operating performance, and holders of our common stock could lose all or part of their investment.</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spacing w:after="0" w:line="19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analysis and investors;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us, our competitors or our acquisition targets;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 including by our directors, executive officers and principal stockholders;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in our Board or Directors, senior management or other key personnel;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may incur or securities we may issue in the future;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and credit market risks that adversely affect our investment portfolio or our capital resources;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tax rates;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or exchange rate fluctuations;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natural disasters, war, pandemics, acts of terrorism, cyber-attacks or responses to these events.</w:t>
      </w:r>
    </w:p>
    <w:p>
      <w:pPr>
        <w:spacing w:after="0" w:line="2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takeover provisions in our organizational documents could delay a change in management and limit our share price.</w:t>
      </w:r>
    </w:p>
    <w:p>
      <w:pPr>
        <w:spacing w:after="0" w:line="266"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35" w:lineRule="exact"/>
        <w:rPr>
          <w:sz w:val="20"/>
          <w:szCs w:val="20"/>
          <w:color w:val="auto"/>
        </w:rPr>
      </w:pPr>
    </w:p>
    <w:p>
      <w:pPr>
        <w:ind w:firstLine="648"/>
        <w:spacing w:after="0" w:line="259" w:lineRule="exact"/>
        <w:rPr>
          <w:sz w:val="20"/>
          <w:szCs w:val="20"/>
          <w:color w:val="auto"/>
        </w:rPr>
      </w:pPr>
      <w:r>
        <w:rPr>
          <w:rFonts w:ascii="Times New Roman" w:cs="Times New Roman" w:eastAsia="Times New Roman" w:hAnsi="Times New Roman"/>
          <w:sz w:val="18"/>
          <w:szCs w:val="18"/>
          <w:color w:val="auto"/>
        </w:rPr>
        <w:t>Our charter documents contain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that will hinder takeover attempts and could reduce the market value of our common stock or prevent sale at a premium. Our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w:t>
      </w:r>
    </w:p>
    <w:p>
      <w:pPr>
        <w:spacing w:after="0" w:line="171"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252"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through 2027, that our Board of Directors are classified into three classes with staggered, three year terms and that directors may only be removed for cause;</w:t>
      </w:r>
    </w:p>
    <w:p>
      <w:pPr>
        <w:spacing w:after="0" w:line="120"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majority voting to amend provisions in our certificate of incorporation and bylaws;</w:t>
      </w:r>
    </w:p>
    <w:p>
      <w:pPr>
        <w:spacing w:after="0" w:line="252" w:lineRule="exact"/>
        <w:rPr>
          <w:rFonts w:ascii="Times New Roman" w:cs="Times New Roman" w:eastAsia="Times New Roman" w:hAnsi="Times New Roman"/>
          <w:sz w:val="18"/>
          <w:szCs w:val="18"/>
          <w:color w:val="auto"/>
        </w:rPr>
      </w:pPr>
    </w:p>
    <w:p>
      <w:pPr>
        <w:jc w:val="both"/>
        <w:ind w:left="980" w:right="140" w:hanging="324"/>
        <w:spacing w:after="0" w:line="245" w:lineRule="exact"/>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blank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52"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other than unanimous written consent;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252"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13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employees.</w:t>
      </w:r>
    </w:p>
    <w:p>
      <w:pPr>
        <w:spacing w:after="0" w:line="17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exclusive forum for the following civil actions:</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by any of our directors, officers, employees or agents or our stockholders;</w:t>
      </w:r>
    </w:p>
    <w:p>
      <w:pPr>
        <w:spacing w:after="0" w:line="252"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our certificate of incorporation or bylaws or as to which the DGCL confers jurisdiction on the Court of Chancery of the State of Delaware;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our bylaws;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January 2022, the Company's Board of Directors approved a share repurchase program which replaced the existing program and authorized the repurchase of up to $100 million of outstanding shares of common stock. The program ended on March 31, 2024 and no shares have been repurchased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On June 10, 2024, Chris Uchida, our Chief Financial Officer, entered a trading plan intended to satisfy the affirmative defense conditions of</w:t>
      </w:r>
    </w:p>
    <w:p>
      <w:pPr>
        <w:spacing w:after="0" w:line="27" w:lineRule="exact"/>
        <w:rPr>
          <w:sz w:val="20"/>
          <w:szCs w:val="20"/>
          <w:color w:val="auto"/>
        </w:rPr>
      </w:pPr>
    </w:p>
    <w:p>
      <w:pPr>
        <w:ind w:left="160"/>
        <w:spacing w:after="0" w:line="260" w:lineRule="auto"/>
        <w:rPr>
          <w:sz w:val="20"/>
          <w:szCs w:val="20"/>
          <w:color w:val="auto"/>
        </w:rPr>
      </w:pPr>
      <w:r>
        <w:rPr>
          <w:rFonts w:ascii="Times New Roman" w:cs="Times New Roman" w:eastAsia="Times New Roman" w:hAnsi="Times New Roman"/>
          <w:sz w:val="18"/>
          <w:szCs w:val="18"/>
          <w:color w:val="auto"/>
        </w:rPr>
        <w:t>Rule 10b5-1c under the Exchange Act, providing for the exercise and sale of up to 1,156 shares of Company stock options and sale of up to 13,445 shares of the Company’s common stock. Pursuant to this plan, Mr. Uchida may sell shares beginning September 8, 2024 and ending February 28, 2025.</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June 7, 2024, Jon Christianson, our President, entered a trading plan intended to satisfy the affirmative defense conditions of Rule 10b5-</w:t>
      </w:r>
    </w:p>
    <w:p>
      <w:pPr>
        <w:spacing w:after="0" w:line="27" w:lineRule="exact"/>
        <w:rPr>
          <w:sz w:val="20"/>
          <w:szCs w:val="20"/>
          <w:color w:val="auto"/>
        </w:rPr>
      </w:pPr>
    </w:p>
    <w:p>
      <w:pPr>
        <w:ind w:left="160" w:right="120"/>
        <w:spacing w:after="0" w:line="260" w:lineRule="auto"/>
        <w:rPr>
          <w:sz w:val="20"/>
          <w:szCs w:val="20"/>
          <w:color w:val="auto"/>
        </w:rPr>
      </w:pPr>
      <w:r>
        <w:rPr>
          <w:rFonts w:ascii="Times New Roman" w:cs="Times New Roman" w:eastAsia="Times New Roman" w:hAnsi="Times New Roman"/>
          <w:sz w:val="18"/>
          <w:szCs w:val="18"/>
          <w:color w:val="auto"/>
        </w:rPr>
        <w:t>1c under the Exchange Act, providing for the exercise and sale of up to 18,000 shares of Company stock options. Pursuant to this plan, Mr. Christianson may sell shares beginning September 8, 2024 and ending February 28, 2025.</w:t>
      </w:r>
    </w:p>
    <w:p>
      <w:pPr>
        <w:spacing w:after="0" w:line="181" w:lineRule="exact"/>
        <w:rPr>
          <w:sz w:val="20"/>
          <w:szCs w:val="20"/>
          <w:color w:val="auto"/>
        </w:rPr>
      </w:pPr>
    </w:p>
    <w:p>
      <w:pPr>
        <w:ind w:left="160" w:right="20"/>
        <w:spacing w:after="0" w:line="266" w:lineRule="auto"/>
        <w:rPr>
          <w:sz w:val="20"/>
          <w:szCs w:val="20"/>
          <w:color w:val="auto"/>
        </w:rPr>
      </w:pPr>
      <w:r>
        <w:rPr>
          <w:rFonts w:ascii="Times New Roman" w:cs="Times New Roman" w:eastAsia="Times New Roman" w:hAnsi="Times New Roman"/>
          <w:sz w:val="18"/>
          <w:szCs w:val="18"/>
          <w:color w:val="auto"/>
        </w:rPr>
        <w:t>None of our other directors or officers (as defined in Rule 16a-1(f) of the Securities Exchange Act of 1934) adopted, terminated or modified a Rule 10b5-1 trading arrangement or non-Rule 10b5-1 trading arrangement (as such terms are defined in Item 408 of Regulation S-K) during the quarter ended June 30,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696"/>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1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4"/>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601"/>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Sarbanes-Oxley Act of 2002</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Section 302 of the Sarbanes-Oxley Act of 2002</w:t>
            </w:r>
          </w:p>
        </w:tc>
        <w:tc>
          <w:tcPr>
            <w:tcW w:w="25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Certifications pursuant to Section 906 of the Sarbanes-Oxley Act of 2002</w:t>
            </w:r>
          </w:p>
        </w:tc>
        <w:tc>
          <w:tcPr>
            <w:tcW w:w="2600" w:type="dxa"/>
            <w:vAlign w:val="bottom"/>
            <w:gridSpan w:val="2"/>
          </w:tcPr>
          <w:p>
            <w:pPr>
              <w:spacing w:after="0"/>
              <w:rPr>
                <w:sz w:val="17"/>
                <w:szCs w:val="17"/>
                <w:color w:val="auto"/>
              </w:rPr>
            </w:pPr>
          </w:p>
        </w:tc>
      </w:tr>
      <w:tr>
        <w:trPr>
          <w:trHeight w:val="65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5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600" w:type="dxa"/>
            <w:vAlign w:val="bottom"/>
            <w:gridSpan w:val="3"/>
          </w:tcPr>
          <w:p>
            <w:pPr>
              <w:spacing w:after="0"/>
              <w:rPr>
                <w:sz w:val="24"/>
                <w:szCs w:val="24"/>
                <w:color w:val="auto"/>
              </w:rPr>
            </w:pP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5540" w:right="3360" w:hanging="5532"/>
        <w:spacing w:after="0" w:line="511" w:lineRule="auto"/>
        <w:tabs>
          <w:tab w:leader="none" w:pos="13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(formatted as Inline XBRL and contained in Exhibit 101)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Palomar Holdings, Inc.</w:t>
            </w:r>
          </w:p>
        </w:tc>
      </w:tr>
      <w:tr>
        <w:trPr>
          <w:trHeight w:val="86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Mac Armstrong</w:t>
            </w:r>
          </w:p>
        </w:tc>
      </w:tr>
      <w:tr>
        <w:trPr>
          <w:trHeight w:val="191"/>
        </w:trPr>
        <w:tc>
          <w:tcPr>
            <w:tcW w:w="3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Mac Armstrong</w:t>
            </w:r>
          </w:p>
        </w:tc>
      </w:tr>
      <w:tr>
        <w:trPr>
          <w:trHeight w:val="216"/>
        </w:trPr>
        <w:tc>
          <w:tcPr>
            <w:tcW w:w="3540" w:type="dxa"/>
            <w:vAlign w:val="bottom"/>
          </w:tcPr>
          <w:p>
            <w:pPr>
              <w:spacing w:after="0"/>
              <w:rPr>
                <w:sz w:val="18"/>
                <w:szCs w:val="18"/>
                <w:color w:val="auto"/>
              </w:rPr>
            </w:pPr>
          </w:p>
        </w:tc>
        <w:tc>
          <w:tcPr>
            <w:tcW w:w="77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4"/>
        </w:trPr>
        <w:tc>
          <w:tcPr>
            <w:tcW w:w="3540" w:type="dxa"/>
            <w:vAlign w:val="bottom"/>
          </w:tcPr>
          <w:p>
            <w:pPr>
              <w:spacing w:after="0"/>
              <w:rPr>
                <w:sz w:val="20"/>
                <w:szCs w:val="20"/>
                <w:color w:val="auto"/>
              </w:rPr>
            </w:pPr>
          </w:p>
        </w:tc>
        <w:tc>
          <w:tcPr>
            <w:tcW w:w="77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T. Christopher Uchida</w:t>
            </w:r>
          </w:p>
        </w:tc>
      </w:tr>
      <w:tr>
        <w:trPr>
          <w:trHeight w:val="191"/>
        </w:trPr>
        <w:tc>
          <w:tcPr>
            <w:tcW w:w="3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 Christopher Uchida</w:t>
            </w:r>
          </w:p>
        </w:tc>
      </w:tr>
      <w:tr>
        <w:trPr>
          <w:trHeight w:val="216"/>
        </w:trPr>
        <w:tc>
          <w:tcPr>
            <w:tcW w:w="3540" w:type="dxa"/>
            <w:vAlign w:val="bottom"/>
          </w:tcPr>
          <w:p>
            <w:pPr>
              <w:spacing w:after="0"/>
              <w:rPr>
                <w:sz w:val="18"/>
                <w:szCs w:val="18"/>
                <w:color w:val="auto"/>
              </w:rPr>
            </w:pPr>
          </w:p>
        </w:tc>
        <w:tc>
          <w:tcPr>
            <w:tcW w:w="77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40" w:type="dxa"/>
            <w:vAlign w:val="bottom"/>
          </w:tcPr>
          <w:p>
            <w:pPr>
              <w:spacing w:after="0"/>
              <w:rPr>
                <w:sz w:val="20"/>
                <w:szCs w:val="20"/>
                <w:color w:val="auto"/>
              </w:rPr>
            </w:pPr>
          </w:p>
        </w:tc>
        <w:tc>
          <w:tcPr>
            <w:tcW w:w="77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540" w:type="dxa"/>
            <w:vAlign w:val="bottom"/>
          </w:tcPr>
          <w:p>
            <w:pPr>
              <w:spacing w:after="0"/>
              <w:rPr>
                <w:sz w:val="24"/>
                <w:szCs w:val="24"/>
                <w:color w:val="auto"/>
              </w:rPr>
            </w:pPr>
          </w:p>
        </w:tc>
        <w:tc>
          <w:tcPr>
            <w:tcW w:w="23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72</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Mac Armstrong,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Palomar Holdings, Inc.;</w:t>
      </w:r>
    </w:p>
    <w:p>
      <w:pPr>
        <w:spacing w:after="0" w:line="23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57"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w:t>
      </w:r>
    </w:p>
    <w:p>
      <w:pPr>
        <w:spacing w:after="0" w:line="9" w:lineRule="exact"/>
        <w:rPr>
          <w:rFonts w:ascii="Times New Roman" w:cs="Times New Roman" w:eastAsia="Times New Roman" w:hAnsi="Times New Roman"/>
          <w:sz w:val="18"/>
          <w:szCs w:val="18"/>
          <w:color w:val="auto"/>
        </w:rPr>
      </w:pPr>
    </w:p>
    <w:p>
      <w:pPr>
        <w:ind w:left="130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57"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2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right="460" w:hanging="320"/>
        <w:spacing w:after="0" w:line="250"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right="140" w:hanging="320"/>
        <w:spacing w:after="0" w:line="250"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right="4260" w:hanging="5615"/>
        <w:spacing w:after="0" w:line="273" w:lineRule="auto"/>
        <w:tabs>
          <w:tab w:leader="none" w:pos="560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7"/>
          <w:szCs w:val="17"/>
          <w:color w:val="auto"/>
        </w:rPr>
        <w:t>/s/ Mac Armstrong Mac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-144780</wp:posOffset>
            </wp:positionV>
            <wp:extent cx="3566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ertification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302 </w:t>
      </w:r>
      <w:r>
        <w:rPr>
          <w:rFonts w:ascii="Times New Roman" w:cs="Times New Roman" w:eastAsia="Times New Roman" w:hAnsi="Times New Roman"/>
          <w:sz w:val="12"/>
          <w:szCs w:val="12"/>
          <w:b w:val="1"/>
          <w:bCs w:val="1"/>
          <w:color w:val="auto"/>
        </w:rPr>
        <w:t>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arbanes</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xley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Uchida,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Palomar Holdings, Inc.;</w:t>
      </w:r>
    </w:p>
    <w:p>
      <w:pPr>
        <w:spacing w:after="0" w:line="23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57"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w:t>
      </w:r>
    </w:p>
    <w:p>
      <w:pPr>
        <w:spacing w:after="0" w:line="9" w:lineRule="exact"/>
        <w:rPr>
          <w:rFonts w:ascii="Times New Roman" w:cs="Times New Roman" w:eastAsia="Times New Roman" w:hAnsi="Times New Roman"/>
          <w:sz w:val="18"/>
          <w:szCs w:val="18"/>
          <w:color w:val="auto"/>
        </w:rPr>
      </w:pPr>
    </w:p>
    <w:p>
      <w:pPr>
        <w:ind w:left="130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57"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2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right="460" w:hanging="320"/>
        <w:spacing w:after="0" w:line="260"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18"/>
          <w:szCs w:val="18"/>
          <w:color w:val="auto"/>
        </w:rPr>
      </w:pPr>
    </w:p>
    <w:p>
      <w:pPr>
        <w:ind w:left="1300" w:right="140" w:hanging="320"/>
        <w:spacing w:after="0" w:line="261"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7"/>
          <w:szCs w:val="17"/>
          <w:color w:val="auto"/>
        </w:rPr>
        <w:t>/s/ T. Christopher Uchida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T. Christopher Uchida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Palomar Holdings, Inc. (the “Company”) for the quarter ended June 30, 2024,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as applicable, of the 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27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Mac Armstrong</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16"/>
                <w:szCs w:val="16"/>
                <w:color w:val="auto"/>
              </w:rPr>
            </w:pPr>
          </w:p>
        </w:tc>
        <w:tc>
          <w:tcPr>
            <w:tcW w:w="276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Mac Armstrong</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7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27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Uchida</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16"/>
                <w:szCs w:val="16"/>
                <w:color w:val="auto"/>
              </w:rPr>
            </w:pPr>
          </w:p>
        </w:tc>
        <w:tc>
          <w:tcPr>
            <w:tcW w:w="276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 Christopher Uchida</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7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16"/>
        </w:trPr>
        <w:tc>
          <w:tcPr>
            <w:tcW w:w="352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lowerRoman"/>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lvl w:ilvl="1">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04"/>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5"/>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2"/>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5"/>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2024-08-06T16:14:43Z</dcterms:created>
  <dcterms:modified xsi:type="dcterms:W3CDTF">2024-08-06T16:14:43Z</dcterms:modified>
</cp:coreProperties>
</file>