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Palomar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001-38873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83-3972551</w:t>
            </w:r>
          </w:p>
        </w:tc>
      </w:tr>
      <w:tr>
        <w:trPr>
          <w:trHeight w:val="149"/>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7979 Ivanhoe Avenue, Suite 500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619 567-5290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On May 21, 2026, the Board of Directors (the “Board”) of Palomar Holdings, Inc. (the “Company”) appointed Scott Beiser as a Class I director of the Company effective immediately, to serve until the Company’s 2029 Annual Meeting of Stockholders, and until his successor has been duly elected and qualified, or until his earlier death, resignation or removal. Mr. Beiser was appointed to serve on the Audit Committee, Compensation Committee, and Investment Committee of the Board.</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were no arrangements or understandings between Mr. Beiser and any other persons pursuant to which he was elected as a director, and there are no related persons transactions (within the meaning of Item 404(a) of Regulation S-K promulgated by the Securities and Exchange Commission) between Mr. Beiser and the Company required to be disclosed herein.</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Upon appointment, Mr. Beiser was granted an initial equity award, consisting of (i) an award granted in 2026 covering 869 restricted stock units (“RSUs”) and (ii) an additional award with a grant date value of $50,000 to be granted in 2027, in each case subject to Mr. Beiser’s continued service through the applicable grant date. The RSUs will vest in full on the first anniversary of the applicable grant date.</w:t>
      </w:r>
    </w:p>
    <w:p>
      <w:pPr>
        <w:spacing w:after="0" w:line="176"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As a non-employee director, Mr. Beiser will receive compensation in the same manner as the Company’s other non-employee directors. The Company previously disclosed the terms of non-employee director compensation in its definitive proxy statement on Schedule 14A, filed with the Securities and Exchange Commission on April 10, 2026.</w:t>
      </w:r>
    </w:p>
    <w:p>
      <w:pPr>
        <w:spacing w:after="0" w:line="176"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has entered into an indemnification agreement with Mr. Beiser, consistent with the form of the Company’s indemnity agreement entered into with its other directors and filed as an exhibit to the Company’s Registration Statements on Form S-1 filed with the Securities and Exchange Commission on March 15,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Palomar Holdings, Inc. (the “Company”) held its 2026 annual meeting of stockholders (the “Annual Meeting”) on May 21, 2026. At the Annual Meeting, the Company’s stockholders voted on three proposals, as described below. Each of the proposals was described in detail in the Company’s definitive proxy statement on Schedule 14A filed with the U.S. Securities and Exchange Commission on April 10, 2026.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two Class I Directors to hold office until the 2029 annual meeting of stockholders or until their successors are duly elected and qualified.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0" w:type="dxa"/>
            <w:vAlign w:val="bottom"/>
          </w:tcPr>
          <w:p>
            <w:pPr>
              <w:spacing w:after="0"/>
              <w:rPr>
                <w:sz w:val="18"/>
                <w:szCs w:val="18"/>
                <w:color w:val="auto"/>
              </w:rPr>
            </w:pPr>
          </w:p>
        </w:tc>
        <w:tc>
          <w:tcPr>
            <w:tcW w:w="16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3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7"/>
        </w:trPr>
        <w:tc>
          <w:tcPr>
            <w:tcW w:w="1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r>
      <w:tr>
        <w:trPr>
          <w:trHeight w:val="216"/>
        </w:trPr>
        <w:tc>
          <w:tcPr>
            <w:tcW w:w="290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Daryl Bradley</w:t>
            </w:r>
          </w:p>
        </w:tc>
        <w:tc>
          <w:tcPr>
            <w:tcW w:w="26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22,017,793</w:t>
            </w:r>
          </w:p>
        </w:tc>
        <w:tc>
          <w:tcPr>
            <w:tcW w:w="2100" w:type="dxa"/>
            <w:vAlign w:val="bottom"/>
            <w:gridSpan w:val="2"/>
            <w:shd w:val="clear" w:color="auto" w:fill="CFF0FC"/>
          </w:tcPr>
          <w:p>
            <w:pPr>
              <w:jc w:val="center"/>
              <w:ind w:left="810"/>
              <w:spacing w:after="0"/>
              <w:rPr>
                <w:sz w:val="20"/>
                <w:szCs w:val="20"/>
                <w:color w:val="auto"/>
              </w:rPr>
            </w:pPr>
            <w:r>
              <w:rPr>
                <w:rFonts w:ascii="Times New Roman" w:cs="Times New Roman" w:eastAsia="Times New Roman" w:hAnsi="Times New Roman"/>
                <w:sz w:val="18"/>
                <w:szCs w:val="18"/>
                <w:color w:val="auto"/>
              </w:rPr>
              <w:t>806,927</w:t>
            </w:r>
          </w:p>
        </w:tc>
        <w:tc>
          <w:tcPr>
            <w:tcW w:w="2920" w:type="dxa"/>
            <w:vAlign w:val="bottom"/>
            <w:gridSpan w:val="2"/>
            <w:shd w:val="clear" w:color="auto" w:fill="CFF0FC"/>
          </w:tcPr>
          <w:p>
            <w:pPr>
              <w:jc w:val="center"/>
              <w:ind w:left="1390"/>
              <w:spacing w:after="0"/>
              <w:rPr>
                <w:sz w:val="20"/>
                <w:szCs w:val="20"/>
                <w:color w:val="auto"/>
              </w:rPr>
            </w:pPr>
            <w:r>
              <w:rPr>
                <w:rFonts w:ascii="Times New Roman" w:cs="Times New Roman" w:eastAsia="Times New Roman" w:hAnsi="Times New Roman"/>
                <w:sz w:val="18"/>
                <w:szCs w:val="18"/>
                <w:color w:val="auto"/>
                <w:w w:val="99"/>
              </w:rPr>
              <w:t>1,429,109</w:t>
            </w:r>
          </w:p>
        </w:tc>
        <w:tc>
          <w:tcPr>
            <w:tcW w:w="700" w:type="dxa"/>
            <w:vAlign w:val="bottom"/>
            <w:shd w:val="clear" w:color="auto" w:fill="CFF0FC"/>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90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Thomas Bradley</w:t>
            </w:r>
          </w:p>
        </w:tc>
        <w:tc>
          <w:tcPr>
            <w:tcW w:w="26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22,315,644</w:t>
            </w:r>
          </w:p>
        </w:tc>
        <w:tc>
          <w:tcPr>
            <w:tcW w:w="2100" w:type="dxa"/>
            <w:vAlign w:val="bottom"/>
            <w:gridSpan w:val="2"/>
            <w:shd w:val="clear" w:color="auto" w:fill="CFF0FC"/>
          </w:tcPr>
          <w:p>
            <w:pPr>
              <w:jc w:val="center"/>
              <w:ind w:left="810"/>
              <w:spacing w:after="0"/>
              <w:rPr>
                <w:sz w:val="20"/>
                <w:szCs w:val="20"/>
                <w:color w:val="auto"/>
              </w:rPr>
            </w:pPr>
            <w:r>
              <w:rPr>
                <w:rFonts w:ascii="Times New Roman" w:cs="Times New Roman" w:eastAsia="Times New Roman" w:hAnsi="Times New Roman"/>
                <w:sz w:val="18"/>
                <w:szCs w:val="18"/>
                <w:color w:val="auto"/>
              </w:rPr>
              <w:t>509,076</w:t>
            </w:r>
          </w:p>
        </w:tc>
        <w:tc>
          <w:tcPr>
            <w:tcW w:w="2920" w:type="dxa"/>
            <w:vAlign w:val="bottom"/>
            <w:gridSpan w:val="2"/>
            <w:shd w:val="clear" w:color="auto" w:fill="CFF0FC"/>
          </w:tcPr>
          <w:p>
            <w:pPr>
              <w:jc w:val="center"/>
              <w:ind w:left="1390"/>
              <w:spacing w:after="0"/>
              <w:rPr>
                <w:sz w:val="20"/>
                <w:szCs w:val="20"/>
                <w:color w:val="auto"/>
              </w:rPr>
            </w:pPr>
            <w:r>
              <w:rPr>
                <w:rFonts w:ascii="Times New Roman" w:cs="Times New Roman" w:eastAsia="Times New Roman" w:hAnsi="Times New Roman"/>
                <w:sz w:val="18"/>
                <w:szCs w:val="18"/>
                <w:color w:val="auto"/>
                <w:w w:val="99"/>
              </w:rPr>
              <w:t>1,429,109</w:t>
            </w:r>
          </w:p>
        </w:tc>
        <w:tc>
          <w:tcPr>
            <w:tcW w:w="7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stockholders approved the advisory resolution to approve the compensation of the Company’s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17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7"/>
        </w:trPr>
        <w:tc>
          <w:tcPr>
            <w:tcW w:w="10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r>
      <w:tr>
        <w:trPr>
          <w:trHeight w:val="216"/>
        </w:trPr>
        <w:tc>
          <w:tcPr>
            <w:tcW w:w="2740" w:type="dxa"/>
            <w:vAlign w:val="bottom"/>
            <w:gridSpan w:val="3"/>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21,123,368</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1,680,514</w:t>
            </w:r>
          </w:p>
        </w:tc>
        <w:tc>
          <w:tcPr>
            <w:tcW w:w="9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20,838</w:t>
            </w:r>
          </w:p>
        </w:tc>
        <w:tc>
          <w:tcPr>
            <w:tcW w:w="8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1,429,109</w:t>
            </w:r>
          </w:p>
        </w:tc>
        <w:tc>
          <w:tcPr>
            <w:tcW w:w="7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2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34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36"/>
        </w:trPr>
        <w:tc>
          <w:tcPr>
            <w:tcW w:w="15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5080" w:type="dxa"/>
            <w:vAlign w:val="bottom"/>
            <w:gridSpan w:val="3"/>
            <w:shd w:val="clear" w:color="auto" w:fill="CFF0FC"/>
          </w:tcPr>
          <w:p>
            <w:pPr>
              <w:jc w:val="right"/>
              <w:ind w:right="2800"/>
              <w:spacing w:after="0"/>
              <w:rPr>
                <w:sz w:val="20"/>
                <w:szCs w:val="20"/>
                <w:color w:val="auto"/>
              </w:rPr>
            </w:pPr>
            <w:r>
              <w:rPr>
                <w:rFonts w:ascii="Times New Roman" w:cs="Times New Roman" w:eastAsia="Times New Roman" w:hAnsi="Times New Roman"/>
                <w:sz w:val="18"/>
                <w:szCs w:val="18"/>
                <w:color w:val="auto"/>
              </w:rPr>
              <w:t>23,696,932</w:t>
            </w:r>
          </w:p>
        </w:tc>
        <w:tc>
          <w:tcPr>
            <w:tcW w:w="10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108,911</w:t>
            </w:r>
          </w:p>
        </w:tc>
        <w:tc>
          <w:tcPr>
            <w:tcW w:w="27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447,986</w:t>
            </w:r>
          </w:p>
        </w:tc>
        <w:tc>
          <w:tcPr>
            <w:tcW w:w="1420" w:type="dxa"/>
            <w:vAlign w:val="bottom"/>
            <w:shd w:val="clear" w:color="auto" w:fill="CFF0FC"/>
          </w:tcPr>
          <w:p>
            <w:pPr>
              <w:spacing w:after="0"/>
              <w:rPr>
                <w:sz w:val="18"/>
                <w:szCs w:val="18"/>
                <w:color w:val="auto"/>
              </w:rPr>
            </w:pPr>
          </w:p>
        </w:tc>
      </w:tr>
      <w:tr>
        <w:trPr>
          <w:trHeight w:val="979"/>
        </w:trPr>
        <w:tc>
          <w:tcPr>
            <w:tcW w:w="1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 copy of the Press Release announcing the appointment of Mr. Beiser is furnished herewith as Exhibit 99.1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6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-10795</wp:posOffset>
            </wp:positionV>
            <wp:extent cx="1586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PALOMAR HOLDINGS, INC.</w:t>
            </w:r>
          </w:p>
        </w:tc>
      </w:tr>
      <w:tr>
        <w:trPr>
          <w:trHeight w:val="58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218"/>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Christopher Uchida</w:t>
            </w:r>
          </w:p>
        </w:tc>
      </w:tr>
      <w:tr>
        <w:trPr>
          <w:trHeight w:val="229"/>
        </w:trPr>
        <w:tc>
          <w:tcPr>
            <w:tcW w:w="3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6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156845</wp:posOffset>
            </wp:positionV>
            <wp:extent cx="15773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3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004261"/>
        </w:rPr>
        <w:t>Palomar Holdings, Inc. Appoints Scott Beiser to its Board of Directors</w:t>
      </w:r>
    </w:p>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20"/>
          <w:szCs w:val="20"/>
          <w:color w:val="004261"/>
        </w:rPr>
        <w:t>LA JOLLA, CA., May 26, 2026 – Palomar Holdings, Inc. (NASDAQ: PLMR) (the “Company”) today announced that Scott Beiser has been appointed to the Company's Board of Directors, effective May 21, 2026.</w:t>
      </w:r>
    </w:p>
    <w:p>
      <w:pPr>
        <w:spacing w:after="0" w:line="47"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004261"/>
        </w:rPr>
        <w:t>Mr. Beiser currently serves as Co-Chairman of Houlihan Lokey (NYSE:HLI), a publicly traded global investment bank, after serving as Chief Executive Officer from 2003 to 2024. He joined Houlihan Lokey in 1984 and held several senior leadership positions throughout his tenure, including Chief Operating Officer and Chief Executive Officer. As Chief Executive Officer, Mr. Beiser led the firm's initial public offering in 2015 and oversaw its transformation into a leading independent investment banking firm.</w:t>
      </w:r>
    </w:p>
    <w:p>
      <w:pPr>
        <w:spacing w:after="0" w:line="67"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004261"/>
        </w:rPr>
        <w:t>Mr. Beiser brings decades of executive leadership and public company experience, with deep expertise in strategic planning, corporate governance, capital allocation, and driving long-term shareholder value creation. He has served on Houlihan Lokey’s Board of Directors since 1991 and also brings extensive public and private company board experience. Scott holds both a Bachelor of Science and a Master of Science in Finance from the College of Business and Economics at California State University, Northridge.</w:t>
      </w:r>
    </w:p>
    <w:p>
      <w:pPr>
        <w:spacing w:after="0" w:line="67"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004261"/>
        </w:rPr>
        <w:t>“We are pleased to welcome Scott to Palomar’s Board of Directors," commented Mac Armstrong, Chairman and Chief Executive Officer of Palomar. "Scott brings a wealth of leadership experience to our Board, along with a strong track record of delivering sustained growth and creating shareholder value at Houlihan Lokey. His accomplishments are both exemplary and aspirational, and I am confident he will play an important role in the continued execution of Palomar 2X.”</w:t>
      </w:r>
    </w:p>
    <w:p>
      <w:pPr>
        <w:spacing w:after="0" w:line="6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004261"/>
        </w:rPr>
        <w:t>Mr. Beiser added, “I am excited to join Palomar's Board and support the Company's continued growth and strategic objectives. I look forward to working with the management team and Board to help drive profitable growth and create long-term value for shareholders.”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4261"/>
        </w:rPr>
        <w:t>About Palomar Holdings, Inc.</w:t>
      </w:r>
    </w:p>
    <w:p>
      <w:pPr>
        <w:spacing w:after="0" w:line="94"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004261"/>
        </w:rPr>
        <w:t>Palomar Holdings, Inc. is the holding company of subsidiaries Palomar Specialty Insurance Company (“PSIC”), Palomar Specialty Reinsurance Company Bermuda Ltd. (“PSRE”), Palomar Insurance Agency, Inc., Palomar Excess and Surplus Insurance Company (“PESIC”), Palomar Underwriters Exchange Organization, Inc. (“PUEO”), First Indemnity of America Insurance Co. (“FIA”), Palomar Crop Insurance Services, Inc. (“PCIS”), and Palomar Casualty and Surety Company (“PCSC”). Palomar’s consolidated results also include Laulima Exchange (“Laulima”), a variable interest entity for which the Company is the primary beneficiary. Palomar is an innovative specialty insurer serving residential and commercial clients in five product categories: Earthquake, Inland Marine and Property, Casualty, Surety &amp; Credit, and Crop. Palomar’s insurance subsidiaries, PSIC, PSRE, PESIC, and FIA have a financial strength rating of “A” (Excellent) from A.M. Best and PCSC has a financial strength rating of “A-” (Excellent) from A.M. Best.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04261"/>
        </w:rPr>
        <w:t xml:space="preserve">To learn more, visit </w:t>
      </w:r>
      <w:r>
        <w:rPr>
          <w:rFonts w:ascii="Arial" w:cs="Arial" w:eastAsia="Arial" w:hAnsi="Arial"/>
          <w:sz w:val="20"/>
          <w:szCs w:val="20"/>
          <w:color w:val="000000"/>
        </w:rPr>
        <w:t>PLMR.com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004261"/>
        </w:rPr>
        <w:t>Follow Palomar on LinkedIn: @PLMRInsurance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004261"/>
        </w:rPr>
        <w:t>7979 Ivanhoe Avenue, Suite 500, La Jolla, CA 92037</w:t>
      </w:r>
      <w:r>
        <w:rPr>
          <w:sz w:val="20"/>
          <w:szCs w:val="20"/>
          <w:color w:val="auto"/>
        </w:rPr>
        <w:tab/>
      </w:r>
      <w:r>
        <w:rPr>
          <w:rFonts w:ascii="Arial" w:cs="Arial" w:eastAsia="Arial" w:hAnsi="Arial"/>
          <w:sz w:val="16"/>
          <w:szCs w:val="16"/>
          <w:color w:val="004261"/>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004261"/>
        </w:rPr>
        <w:t>Contact</w:t>
      </w:r>
    </w:p>
    <w:p>
      <w:pPr>
        <w:spacing w:after="0" w:line="229" w:lineRule="auto"/>
        <w:rPr>
          <w:sz w:val="20"/>
          <w:szCs w:val="20"/>
          <w:color w:val="auto"/>
        </w:rPr>
      </w:pPr>
      <w:r>
        <w:rPr>
          <w:rFonts w:ascii="Arial" w:cs="Arial" w:eastAsia="Arial" w:hAnsi="Arial"/>
          <w:sz w:val="20"/>
          <w:szCs w:val="20"/>
          <w:color w:val="004261"/>
        </w:rPr>
        <w:t>Media Inquiries</w:t>
      </w:r>
    </w:p>
    <w:p>
      <w:pPr>
        <w:spacing w:after="0" w:line="226" w:lineRule="auto"/>
        <w:rPr>
          <w:sz w:val="20"/>
          <w:szCs w:val="20"/>
          <w:color w:val="auto"/>
        </w:rPr>
      </w:pPr>
      <w:r>
        <w:rPr>
          <w:rFonts w:ascii="Arial" w:cs="Arial" w:eastAsia="Arial" w:hAnsi="Arial"/>
          <w:sz w:val="20"/>
          <w:szCs w:val="20"/>
          <w:color w:val="004261"/>
        </w:rPr>
        <w:t>Lindsay Conner</w:t>
      </w:r>
    </w:p>
    <w:p>
      <w:pPr>
        <w:spacing w:after="0" w:line="225" w:lineRule="auto"/>
        <w:rPr>
          <w:sz w:val="20"/>
          <w:szCs w:val="20"/>
          <w:color w:val="auto"/>
        </w:rPr>
      </w:pPr>
      <w:r>
        <w:rPr>
          <w:rFonts w:ascii="Arial" w:cs="Arial" w:eastAsia="Arial" w:hAnsi="Arial"/>
          <w:sz w:val="20"/>
          <w:szCs w:val="20"/>
          <w:color w:val="004261"/>
        </w:rPr>
        <w:t>1-551-206-6217</w:t>
      </w:r>
    </w:p>
    <w:p>
      <w:pPr>
        <w:spacing w:after="0"/>
        <w:rPr>
          <w:sz w:val="20"/>
          <w:szCs w:val="20"/>
          <w:color w:val="auto"/>
        </w:rPr>
      </w:pPr>
      <w:r>
        <w:rPr>
          <w:rFonts w:ascii="Arial" w:cs="Arial" w:eastAsia="Arial" w:hAnsi="Arial"/>
          <w:sz w:val="20"/>
          <w:szCs w:val="20"/>
          <w:color w:val="808285"/>
        </w:rPr>
        <w:t>lconner@plmr.com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004261"/>
        </w:rPr>
        <w:t>Investor Relations</w:t>
      </w:r>
    </w:p>
    <w:p>
      <w:pPr>
        <w:spacing w:after="0" w:line="229" w:lineRule="auto"/>
        <w:rPr>
          <w:sz w:val="20"/>
          <w:szCs w:val="20"/>
          <w:color w:val="auto"/>
        </w:rPr>
      </w:pPr>
      <w:r>
        <w:rPr>
          <w:rFonts w:ascii="Arial" w:cs="Arial" w:eastAsia="Arial" w:hAnsi="Arial"/>
          <w:sz w:val="20"/>
          <w:szCs w:val="20"/>
          <w:color w:val="004261"/>
        </w:rPr>
        <w:t>Jamie Lillis</w:t>
      </w:r>
    </w:p>
    <w:p>
      <w:pPr>
        <w:spacing w:after="0" w:line="226" w:lineRule="auto"/>
        <w:rPr>
          <w:sz w:val="20"/>
          <w:szCs w:val="20"/>
          <w:color w:val="auto"/>
        </w:rPr>
      </w:pPr>
      <w:r>
        <w:rPr>
          <w:rFonts w:ascii="Arial" w:cs="Arial" w:eastAsia="Arial" w:hAnsi="Arial"/>
          <w:sz w:val="20"/>
          <w:szCs w:val="20"/>
          <w:color w:val="004261"/>
        </w:rPr>
        <w:t>1-203-428-3223</w:t>
      </w:r>
    </w:p>
    <w:p>
      <w:pPr>
        <w:spacing w:after="0" w:line="225" w:lineRule="auto"/>
        <w:rPr>
          <w:sz w:val="20"/>
          <w:szCs w:val="20"/>
          <w:color w:val="auto"/>
        </w:rPr>
      </w:pPr>
      <w:r>
        <w:rPr>
          <w:rFonts w:ascii="Arial" w:cs="Arial" w:eastAsia="Arial" w:hAnsi="Arial"/>
          <w:sz w:val="20"/>
          <w:szCs w:val="20"/>
          <w:color w:val="7F7F7F"/>
        </w:rPr>
        <w:t>investors@plmr.com</w:t>
      </w:r>
    </w:p>
    <w:p>
      <w:pPr>
        <w:spacing w:after="0"/>
        <w:rPr>
          <w:sz w:val="20"/>
          <w:szCs w:val="20"/>
          <w:color w:val="auto"/>
        </w:rPr>
      </w:pPr>
      <w:r>
        <w:rPr>
          <w:rFonts w:ascii="Arial" w:cs="Arial" w:eastAsia="Arial" w:hAnsi="Arial"/>
          <w:sz w:val="20"/>
          <w:szCs w:val="20"/>
          <w:color w:val="004261"/>
        </w:rPr>
        <w:t>Source: Palomar Holdings, Inc.</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color w:val="004261"/>
        </w:rPr>
        <w:t xml:space="preserve">Page </w:t>
      </w:r>
      <w:r>
        <w:rPr>
          <w:rFonts w:ascii="Arial" w:cs="Arial" w:eastAsia="Arial" w:hAnsi="Arial"/>
          <w:sz w:val="16"/>
          <w:szCs w:val="16"/>
          <w:color w:val="1A9CAA"/>
        </w:rPr>
        <w:t>|</w:t>
      </w:r>
      <w:r>
        <w:rPr>
          <w:rFonts w:ascii="Arial" w:cs="Arial" w:eastAsia="Arial" w:hAnsi="Arial"/>
          <w:sz w:val="16"/>
          <w:szCs w:val="16"/>
          <w:color w:val="004261"/>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115697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6970" cy="163195"/>
                    </a:xfrm>
                    <a:prstGeom prst="rect">
                      <a:avLst/>
                    </a:prstGeom>
                    <a:noFill/>
                  </pic:spPr>
                </pic:pic>
              </a:graphicData>
            </a:graphic>
          </wp:anchor>
        </w:drawing>
      </w:r>
    </w:p>
    <w:p>
      <w:pPr>
        <w:sectPr>
          <w:pgSz w:w="11900" w:h="16838" w:orient="portrait"/>
          <w:cols w:equalWidth="0" w:num="1">
            <w:col w:w="11180"/>
          </w:cols>
          <w:pgMar w:left="320" w:top="833" w:right="39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2026-05-26T15:40:34Z</dcterms:created>
  <dcterms:modified xsi:type="dcterms:W3CDTF">2026-05-26T15:40:34Z</dcterms:modified>
</cp:coreProperties>
</file>