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lmr20230816_10q.htm"/>
      <w:bookmarkStart w:id="1" w:name="ksplmr20230816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(Mark One)</w:t>
      </w:r>
    </w:p>
    <w:tbl>
      <w:tblPr>
        <w:tblW w:w="9640" w:type="dxa"/>
        <w:jc w:val="left"/>
        <w:tblInd w:w="0" w:type="dxa"/>
        <w:tblLayout w:type="fixed"/>
        <w:tblCellMar>
          <w:top w:w="0" w:type="dxa"/>
          <w:left w:w="0" w:type="dxa"/>
          <w:bottom w:w="0" w:type="dxa"/>
          <w:right w:w="0" w:type="dxa"/>
        </w:tblCellMar>
      </w:tblPr>
      <w:tblGrid>
        <w:gridCol w:w="60"/>
        <w:gridCol w:w="290"/>
        <w:gridCol w:w="9290"/>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pPr>
            <w:r>
              <w:rPr/>
              <w:t xml:space="preserve">☒ </w:t>
            </w:r>
          </w:p>
        </w:tc>
        <w:tc>
          <w:tcPr>
            <w:tcW w:w="929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900" w:right="0" w:hanging="0"/>
        <w:jc w:val="left"/>
        <w:rPr>
          <w:rFonts w:ascii="Times New Roman" w:hAnsi="Times New Roman"/>
          <w:caps w:val="false"/>
          <w:smallCaps w:val="false"/>
          <w:sz w:val="18"/>
        </w:rPr>
      </w:pPr>
      <w:r>
        <w:rPr>
          <w:rFonts w:ascii="Times New Roman" w:hAnsi="Times New Roman"/>
          <w:caps w:val="false"/>
          <w:smallCaps w:val="false"/>
          <w:sz w:val="18"/>
        </w:rPr>
        <w:t>For the quarterly period ended September 30, 2023</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or</w:t>
      </w:r>
    </w:p>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60"/>
        <w:gridCol w:w="290"/>
        <w:gridCol w:w="9290"/>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both"/>
              <w:rPr/>
            </w:pPr>
            <w:r>
              <w:rPr/>
              <w:t xml:space="preserve">☐ </w:t>
            </w:r>
          </w:p>
        </w:tc>
        <w:tc>
          <w:tcPr>
            <w:tcW w:w="9290" w:type="dxa"/>
            <w:tcBorders/>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900" w:right="0" w:hanging="0"/>
        <w:jc w:val="left"/>
        <w:rPr>
          <w:rFonts w:ascii="Times New Roman" w:hAnsi="Times New Roman"/>
          <w:caps w:val="false"/>
          <w:smallCaps w:val="false"/>
          <w:sz w:val="18"/>
        </w:rPr>
      </w:pPr>
      <w:r>
        <w:rPr>
          <w:rFonts w:ascii="Times New Roman" w:hAnsi="Times New Roman"/>
          <w:caps w:val="false"/>
          <w:smallCaps w:val="false"/>
          <w:sz w:val="18"/>
        </w:rPr>
        <w:t>For the transition period from ___________ to 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Commission File Number: 001-38873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0"/>
        </w:rPr>
      </w:pPr>
      <w:r>
        <w:rPr>
          <w:rFonts w:ascii="Times New Roman" w:hAnsi="Times New Roman"/>
          <w:b/>
          <w:caps w:val="false"/>
          <w:smallCaps w:val="false"/>
          <w:sz w:val="40"/>
        </w:rPr>
        <w:t>Palomar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28" w:type="dxa"/>
          <w:right w:w="0" w:type="dxa"/>
        </w:tblCellMar>
      </w:tblPr>
      <w:tblGrid>
        <w:gridCol w:w="2825"/>
        <w:gridCol w:w="60"/>
        <w:gridCol w:w="2585"/>
      </w:tblGrid>
      <w:tr>
        <w:trPr/>
        <w:tc>
          <w:tcPr>
            <w:tcW w:w="28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Delaware</w:t>
            </w:r>
          </w:p>
        </w:tc>
        <w:tc>
          <w:tcPr>
            <w:tcW w:w="60" w:type="dxa"/>
            <w:tcBorders/>
            <w:tcMar>
              <w:bottom w:w="0" w:type="dxa"/>
            </w:tcMar>
            <w:vAlign w:val="center"/>
          </w:tcPr>
          <w:p>
            <w:pPr>
              <w:pStyle w:val="TableContents"/>
              <w:bidi w:val="0"/>
              <w:spacing w:before="0" w:after="283"/>
              <w:jc w:val="left"/>
              <w:rPr/>
            </w:pPr>
            <w:r>
              <w:rPr/>
              <w:t> </w:t>
            </w:r>
          </w:p>
        </w:tc>
        <w:tc>
          <w:tcPr>
            <w:tcW w:w="258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83-3972551</w:t>
            </w:r>
          </w:p>
        </w:tc>
      </w:tr>
      <w:tr>
        <w:trPr/>
        <w:tc>
          <w:tcPr>
            <w:tcW w:w="282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(State or other jurisdiction of</w:t>
            </w:r>
          </w:p>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58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(I.R.S. Employer Identification No.)</w:t>
            </w:r>
          </w:p>
        </w:tc>
      </w:tr>
      <w:tr>
        <w:trPr/>
        <w:tc>
          <w:tcPr>
            <w:tcW w:w="28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85" w:type="dxa"/>
            <w:tcBorders/>
            <w:tcMar>
              <w:bottom w:w="0" w:type="dxa"/>
            </w:tcMar>
            <w:vAlign w:val="center"/>
          </w:tcPr>
          <w:p>
            <w:pPr>
              <w:pStyle w:val="TableContents"/>
              <w:bidi w:val="0"/>
              <w:spacing w:before="0" w:after="283"/>
              <w:jc w:val="left"/>
              <w:rPr/>
            </w:pPr>
            <w:r>
              <w:rPr/>
              <w:t> </w:t>
            </w:r>
          </w:p>
        </w:tc>
      </w:tr>
      <w:tr>
        <w:trPr/>
        <w:tc>
          <w:tcPr>
            <w:tcW w:w="28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7979 Ivanhoe Avenue, Suite 500</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La Jolla, California</w:t>
            </w:r>
          </w:p>
        </w:tc>
        <w:tc>
          <w:tcPr>
            <w:tcW w:w="60" w:type="dxa"/>
            <w:tcBorders/>
            <w:tcMar>
              <w:bottom w:w="0" w:type="dxa"/>
            </w:tcMar>
            <w:vAlign w:val="center"/>
          </w:tcPr>
          <w:p>
            <w:pPr>
              <w:pStyle w:val="TableContents"/>
              <w:bidi w:val="0"/>
              <w:spacing w:before="0" w:after="283"/>
              <w:jc w:val="left"/>
              <w:rPr/>
            </w:pPr>
            <w:r>
              <w:rPr/>
              <w:t> </w:t>
            </w:r>
          </w:p>
        </w:tc>
        <w:tc>
          <w:tcPr>
            <w:tcW w:w="258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92037</w:t>
            </w:r>
          </w:p>
        </w:tc>
      </w:tr>
      <w:tr>
        <w:trPr/>
        <w:tc>
          <w:tcPr>
            <w:tcW w:w="282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258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(619) 567-5290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93" w:type="dxa"/>
        <w:jc w:val="left"/>
        <w:tblInd w:w="-7" w:type="dxa"/>
        <w:tblLayout w:type="fixed"/>
        <w:tblCellMar>
          <w:top w:w="28" w:type="dxa"/>
          <w:left w:w="28" w:type="dxa"/>
          <w:bottom w:w="28" w:type="dxa"/>
          <w:right w:w="28" w:type="dxa"/>
        </w:tblCellMar>
      </w:tblPr>
      <w:tblGrid>
        <w:gridCol w:w="3256"/>
        <w:gridCol w:w="1426"/>
        <w:gridCol w:w="3211"/>
      </w:tblGrid>
      <w:tr>
        <w:trPr/>
        <w:tc>
          <w:tcPr>
            <w:tcW w:w="325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Title of each class</w:t>
            </w:r>
          </w:p>
        </w:tc>
        <w:tc>
          <w:tcPr>
            <w:tcW w:w="142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Trading Symbol(s)</w:t>
            </w:r>
          </w:p>
        </w:tc>
        <w:tc>
          <w:tcPr>
            <w:tcW w:w="3211"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Name of each exchange on which registered</w:t>
            </w:r>
          </w:p>
        </w:tc>
      </w:tr>
      <w:tr>
        <w:trPr/>
        <w:tc>
          <w:tcPr>
            <w:tcW w:w="325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par value $0.0001 per share</w:t>
            </w:r>
          </w:p>
        </w:tc>
        <w:tc>
          <w:tcPr>
            <w:tcW w:w="1426"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PLMR</w:t>
            </w:r>
          </w:p>
        </w:tc>
        <w:tc>
          <w:tcPr>
            <w:tcW w:w="3211"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2225"/>
        <w:gridCol w:w="2165"/>
      </w:tblGrid>
      <w:tr>
        <w:trPr/>
        <w:tc>
          <w:tcPr>
            <w:tcW w:w="2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Large accelerated filer ☒</w:t>
            </w:r>
          </w:p>
        </w:tc>
        <w:tc>
          <w:tcPr>
            <w:tcW w:w="21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Accelerated filer ☐</w:t>
            </w:r>
          </w:p>
        </w:tc>
      </w:tr>
      <w:tr>
        <w:trPr/>
        <w:tc>
          <w:tcPr>
            <w:tcW w:w="2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Non-accelerated filer ☐  </w:t>
            </w:r>
          </w:p>
        </w:tc>
        <w:tc>
          <w:tcPr>
            <w:tcW w:w="21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Smaller reporting company ☐</w:t>
            </w:r>
          </w:p>
        </w:tc>
      </w:tr>
      <w:tr>
        <w:trPr/>
        <w:tc>
          <w:tcPr>
            <w:tcW w:w="2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Emerging growth company ☐ </w:t>
            </w:r>
          </w:p>
        </w:tc>
        <w:tc>
          <w:tcPr>
            <w:tcW w:w="21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Rule 12b-2 of the Act).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18"/>
        </w:rPr>
      </w:pPr>
      <w:r>
        <w:rPr>
          <w:rFonts w:ascii="Times New Roman" w:hAnsi="Times New Roman"/>
          <w:caps w:val="false"/>
          <w:smallCaps w:val="false"/>
          <w:sz w:val="18"/>
        </w:rPr>
        <w:t>Number of shares of the registrant’s common shares outstanding at October 31, 2023: 24,731,300</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2" w:name="toc"/>
      <w:bookmarkEnd w:id="2"/>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9025"/>
        <w:gridCol w:w="455"/>
      </w:tblGrid>
      <w:tr>
        <w:trPr/>
        <w:tc>
          <w:tcPr>
            <w:tcW w:w="725"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283"/>
              <w:jc w:val="left"/>
              <w:rPr/>
            </w:pPr>
            <w:r>
              <w:rPr/>
              <w:t> </w:t>
            </w:r>
          </w:p>
        </w:tc>
        <w:tc>
          <w:tcPr>
            <w:tcW w:w="4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Page</w:t>
            </w:r>
          </w:p>
        </w:tc>
      </w:tr>
      <w:tr>
        <w:trPr/>
        <w:tc>
          <w:tcPr>
            <w:tcW w:w="9750" w:type="dxa"/>
            <w:gridSpan w:val="2"/>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b/>
                  <w:caps w:val="false"/>
                  <w:smallCaps w:val="false"/>
                  <w:sz w:val="20"/>
                </w:rPr>
                <w:t>PART</w:t>
              </w:r>
            </w:hyperlink>
            <w:hyperlink w:anchor="parti">
              <w:r>
                <w:rPr>
                  <w:rStyle w:val="InternetLink"/>
                  <w:rFonts w:ascii="Times New Roman;Times;serif" w:hAnsi="Times New Roman;Times;serif"/>
                  <w:caps w:val="false"/>
                  <w:smallCaps w:val="false"/>
                  <w:sz w:val="20"/>
                </w:rPr>
                <w:t> </w:t>
              </w:r>
            </w:hyperlink>
            <w:hyperlink w:anchor="parti">
              <w:r>
                <w:rPr>
                  <w:rStyle w:val="InternetLink"/>
                  <w:rFonts w:ascii="Times New Roman;Times;serif" w:hAnsi="Times New Roman;Times;serif"/>
                  <w:b/>
                  <w:caps w:val="false"/>
                  <w:smallCaps w:val="false"/>
                  <w:sz w:val="20"/>
                </w:rPr>
                <w:t>I. FINANCIAL INFORMATION</w:t>
              </w:r>
            </w:hyperlink>
          </w:p>
        </w:tc>
        <w:tc>
          <w:tcPr>
            <w:tcW w:w="45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9025"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caps w:val="false"/>
                  <w:smallCaps w:val="false"/>
                  <w:sz w:val="20"/>
                </w:rPr>
                <w:t>Financial Statements</w:t>
              </w:r>
            </w:hyperlink>
          </w:p>
        </w:tc>
        <w:tc>
          <w:tcPr>
            <w:tcW w:w="45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caps w:val="false"/>
                  <w:smallCaps w:val="false"/>
                  <w:sz w:val="20"/>
                </w:rPr>
                <w:t>Condensed Consolidated Balance Sheets at September 30, 2023 (Unaudited) and December 31, 2022</w:t>
              </w:r>
            </w:hyperlink>
          </w:p>
        </w:tc>
        <w:tc>
          <w:tcPr>
            <w:tcW w:w="455"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3</w:t>
              </w:r>
            </w:hyperlink>
          </w:p>
        </w:tc>
      </w:tr>
      <w:tr>
        <w:trPr/>
        <w:tc>
          <w:tcPr>
            <w:tcW w:w="725"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0"/>
              <w:ind w:left="0" w:right="0" w:hanging="0"/>
              <w:jc w:val="left"/>
              <w:rPr/>
            </w:pPr>
            <w:hyperlink w:anchor="income">
              <w:r>
                <w:rPr>
                  <w:rStyle w:val="InternetLink"/>
                  <w:rFonts w:ascii="Times New Roman;Times;serif" w:hAnsi="Times New Roman;Times;serif"/>
                  <w:caps w:val="false"/>
                  <w:smallCaps w:val="false"/>
                  <w:sz w:val="20"/>
                </w:rPr>
                <w:t>Condensed Consolidated Statements of Income (Loss) and Comprehensive Income (Loss) (Unaudited) for the Three and Nine Months Ended September 30, 2023 and 2022</w:t>
              </w:r>
            </w:hyperlink>
          </w:p>
        </w:tc>
        <w:tc>
          <w:tcPr>
            <w:tcW w:w="455" w:type="dxa"/>
            <w:tcBorders/>
            <w:vAlign w:val="center"/>
          </w:tcPr>
          <w:p>
            <w:pPr>
              <w:pStyle w:val="TableContents"/>
              <w:bidi w:val="0"/>
              <w:spacing w:before="0" w:after="0"/>
              <w:ind w:left="0" w:right="0" w:hanging="0"/>
              <w:jc w:val="right"/>
              <w:rPr/>
            </w:pPr>
            <w:hyperlink w:anchor="income">
              <w:r>
                <w:rPr>
                  <w:rStyle w:val="InternetLink"/>
                  <w:rFonts w:ascii="Times New Roman;Times;serif" w:hAnsi="Times New Roman;Times;serif"/>
                  <w:caps w:val="false"/>
                  <w:smallCaps w:val="false"/>
                  <w:sz w:val="20"/>
                </w:rPr>
                <w:t>4</w:t>
              </w:r>
            </w:hyperlink>
          </w:p>
        </w:tc>
      </w:tr>
      <w:tr>
        <w:trPr/>
        <w:tc>
          <w:tcPr>
            <w:tcW w:w="725"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0"/>
              <w:ind w:left="0" w:right="0" w:hanging="0"/>
              <w:jc w:val="left"/>
              <w:rPr/>
            </w:pPr>
            <w:hyperlink w:anchor="she">
              <w:r>
                <w:rPr>
                  <w:rStyle w:val="InternetLink"/>
                  <w:rFonts w:ascii="Times New Roman;Times;serif" w:hAnsi="Times New Roman;Times;serif"/>
                  <w:caps w:val="false"/>
                  <w:smallCaps w:val="false"/>
                  <w:sz w:val="20"/>
                </w:rPr>
                <w:t>Condensed Consolidated Statements of Changes in Stockholders’ Equity (Unaudited) for the Three and Nine Months Ended September 30, 2023 and 2022</w:t>
              </w:r>
            </w:hyperlink>
          </w:p>
        </w:tc>
        <w:tc>
          <w:tcPr>
            <w:tcW w:w="455" w:type="dxa"/>
            <w:tcBorders/>
            <w:vAlign w:val="center"/>
          </w:tcPr>
          <w:p>
            <w:pPr>
              <w:pStyle w:val="TableContents"/>
              <w:bidi w:val="0"/>
              <w:spacing w:before="0" w:after="0"/>
              <w:ind w:left="0" w:right="0" w:hanging="0"/>
              <w:jc w:val="right"/>
              <w:rPr/>
            </w:pPr>
            <w:hyperlink w:anchor="she">
              <w:r>
                <w:rPr>
                  <w:rStyle w:val="InternetLink"/>
                  <w:rFonts w:ascii="Times New Roman;Times;serif" w:hAnsi="Times New Roman;Times;serif"/>
                  <w:caps w:val="false"/>
                  <w:smallCaps w:val="false"/>
                  <w:sz w:val="20"/>
                </w:rPr>
                <w:t>5</w:t>
              </w:r>
            </w:hyperlink>
          </w:p>
        </w:tc>
      </w:tr>
      <w:tr>
        <w:trPr/>
        <w:tc>
          <w:tcPr>
            <w:tcW w:w="725"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0"/>
              <w:ind w:left="0" w:right="0" w:hanging="0"/>
              <w:jc w:val="left"/>
              <w:rPr/>
            </w:pPr>
            <w:hyperlink w:anchor="cfs">
              <w:r>
                <w:rPr>
                  <w:rStyle w:val="InternetLink"/>
                  <w:rFonts w:ascii="Times New Roman;Times;serif" w:hAnsi="Times New Roman;Times;serif"/>
                  <w:caps w:val="false"/>
                  <w:smallCaps w:val="false"/>
                  <w:sz w:val="20"/>
                </w:rPr>
                <w:t>Condensed Consolidated Statements of Cash Flows (Unaudited) for the Nine Months Ended September 30, 2023 and 2022</w:t>
              </w:r>
            </w:hyperlink>
          </w:p>
        </w:tc>
        <w:tc>
          <w:tcPr>
            <w:tcW w:w="455" w:type="dxa"/>
            <w:tcBorders/>
            <w:vAlign w:val="center"/>
          </w:tcPr>
          <w:p>
            <w:pPr>
              <w:pStyle w:val="TableContents"/>
              <w:bidi w:val="0"/>
              <w:spacing w:before="0" w:after="0"/>
              <w:ind w:left="0" w:right="0" w:hanging="0"/>
              <w:jc w:val="right"/>
              <w:rPr/>
            </w:pPr>
            <w:hyperlink w:anchor="cfs">
              <w:r>
                <w:rPr>
                  <w:rStyle w:val="InternetLink"/>
                  <w:rFonts w:ascii="Times New Roman;Times;serif" w:hAnsi="Times New Roman;Times;serif"/>
                  <w:caps w:val="false"/>
                  <w:smallCaps w:val="false"/>
                  <w:sz w:val="20"/>
                </w:rPr>
                <w:t>6</w:t>
              </w:r>
            </w:hyperlink>
          </w:p>
        </w:tc>
      </w:tr>
      <w:tr>
        <w:trPr/>
        <w:tc>
          <w:tcPr>
            <w:tcW w:w="725"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caps w:val="false"/>
                  <w:smallCaps w:val="false"/>
                  <w:sz w:val="20"/>
                </w:rPr>
                <w:t>Notes to Condensed Consolidated Financial Statements (Unaudited)</w:t>
              </w:r>
            </w:hyperlink>
          </w:p>
        </w:tc>
        <w:tc>
          <w:tcPr>
            <w:tcW w:w="455" w:type="dxa"/>
            <w:tcBorders/>
            <w:vAlign w:val="center"/>
          </w:tcPr>
          <w:p>
            <w:pPr>
              <w:pStyle w:val="TableContents"/>
              <w:bidi w:val="0"/>
              <w:spacing w:before="0" w:after="0"/>
              <w:ind w:left="0" w:right="0" w:hanging="0"/>
              <w:jc w:val="right"/>
              <w:rPr/>
            </w:pPr>
            <w:hyperlink w:anchor="notes">
              <w:r>
                <w:rPr>
                  <w:rStyle w:val="InternetLink"/>
                  <w:rFonts w:ascii="Times New Roman;Times;serif" w:hAnsi="Times New Roman;Times;serif"/>
                  <w:caps w:val="false"/>
                  <w:smallCaps w:val="false"/>
                  <w:sz w:val="20"/>
                </w:rPr>
                <w:t>7</w:t>
              </w:r>
            </w:hyperlink>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9025" w:type="dxa"/>
            <w:tcBorders/>
            <w:vAlign w:val="center"/>
          </w:tcPr>
          <w:p>
            <w:pPr>
              <w:pStyle w:val="TableContents"/>
              <w:bidi w:val="0"/>
              <w:spacing w:before="0" w:after="0"/>
              <w:ind w:left="0" w:right="0" w:hanging="0"/>
              <w:jc w:val="left"/>
              <w:rPr/>
            </w:pPr>
            <w:hyperlink w:anchor="mda">
              <w:r>
                <w:rPr>
                  <w:rStyle w:val="InternetLink"/>
                  <w:rFonts w:ascii="Times New Roman;Times;serif" w:hAnsi="Times New Roman;Times;serif"/>
                  <w:caps w:val="false"/>
                  <w:smallCaps w:val="false"/>
                  <w:sz w:val="20"/>
                </w:rPr>
                <w:t>Management’s Discussion and Analysis of Financial Condition and Results of Operations</w:t>
              </w:r>
            </w:hyperlink>
          </w:p>
        </w:tc>
        <w:tc>
          <w:tcPr>
            <w:tcW w:w="455" w:type="dxa"/>
            <w:tcBorders/>
            <w:vAlign w:val="center"/>
          </w:tcPr>
          <w:p>
            <w:pPr>
              <w:pStyle w:val="TableContents"/>
              <w:bidi w:val="0"/>
              <w:spacing w:before="0" w:after="0"/>
              <w:ind w:left="0" w:right="0" w:hanging="0"/>
              <w:jc w:val="right"/>
              <w:rPr/>
            </w:pPr>
            <w:hyperlink w:anchor="mda">
              <w:r>
                <w:rPr>
                  <w:rStyle w:val="InternetLink"/>
                  <w:rFonts w:ascii="Times New Roman;Times;serif" w:hAnsi="Times New Roman;Times;serif"/>
                  <w:caps w:val="false"/>
                  <w:smallCaps w:val="false"/>
                  <w:sz w:val="20"/>
                </w:rPr>
                <w:t>20</w:t>
              </w:r>
            </w:hyperlink>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9025" w:type="dxa"/>
            <w:tcBorders/>
            <w:vAlign w:val="center"/>
          </w:tcPr>
          <w:p>
            <w:pPr>
              <w:pStyle w:val="TableContents"/>
              <w:bidi w:val="0"/>
              <w:spacing w:before="0" w:after="0"/>
              <w:ind w:left="0" w:right="0" w:hanging="0"/>
              <w:jc w:val="left"/>
              <w:rPr/>
            </w:pPr>
            <w:hyperlink w:anchor="qqdmr">
              <w:r>
                <w:rPr>
                  <w:rStyle w:val="InternetLink"/>
                  <w:rFonts w:ascii="Times New Roman;Times;serif" w:hAnsi="Times New Roman;Times;serif"/>
                  <w:caps w:val="false"/>
                  <w:smallCaps w:val="false"/>
                  <w:sz w:val="20"/>
                </w:rPr>
                <w:t>Quantitative and Qualitative Disclosures About Market Risk</w:t>
              </w:r>
            </w:hyperlink>
          </w:p>
        </w:tc>
        <w:tc>
          <w:tcPr>
            <w:tcW w:w="455" w:type="dxa"/>
            <w:tcBorders/>
            <w:vAlign w:val="center"/>
          </w:tcPr>
          <w:p>
            <w:pPr>
              <w:pStyle w:val="TableContents"/>
              <w:bidi w:val="0"/>
              <w:spacing w:before="0" w:after="0"/>
              <w:ind w:left="0" w:right="0" w:hanging="0"/>
              <w:jc w:val="right"/>
              <w:rPr/>
            </w:pPr>
            <w:hyperlink w:anchor="qqdmr">
              <w:r>
                <w:rPr>
                  <w:rStyle w:val="InternetLink"/>
                  <w:rFonts w:ascii="Times New Roman;Times;serif" w:hAnsi="Times New Roman;Times;serif"/>
                  <w:caps w:val="false"/>
                  <w:smallCaps w:val="false"/>
                  <w:sz w:val="20"/>
                </w:rPr>
                <w:t>45</w:t>
              </w:r>
            </w:hyperlink>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9025" w:type="dxa"/>
            <w:tcBorders/>
            <w:vAlign w:val="center"/>
          </w:tcPr>
          <w:p>
            <w:pPr>
              <w:pStyle w:val="TableContents"/>
              <w:bidi w:val="0"/>
              <w:spacing w:before="0" w:after="0"/>
              <w:ind w:left="0" w:right="0" w:hanging="0"/>
              <w:jc w:val="left"/>
              <w:rPr/>
            </w:pPr>
            <w:hyperlink w:anchor="cps">
              <w:r>
                <w:rPr>
                  <w:rStyle w:val="InternetLink"/>
                  <w:rFonts w:ascii="Times New Roman;Times;serif" w:hAnsi="Times New Roman;Times;serif"/>
                  <w:caps w:val="false"/>
                  <w:smallCaps w:val="false"/>
                  <w:sz w:val="20"/>
                </w:rPr>
                <w:t>Controls and Procedures</w:t>
              </w:r>
            </w:hyperlink>
          </w:p>
        </w:tc>
        <w:tc>
          <w:tcPr>
            <w:tcW w:w="455" w:type="dxa"/>
            <w:tcBorders/>
            <w:vAlign w:val="center"/>
          </w:tcPr>
          <w:p>
            <w:pPr>
              <w:pStyle w:val="TableContents"/>
              <w:bidi w:val="0"/>
              <w:spacing w:before="0" w:after="0"/>
              <w:ind w:left="0" w:right="0" w:hanging="0"/>
              <w:jc w:val="right"/>
              <w:rPr/>
            </w:pPr>
            <w:hyperlink w:anchor="cps">
              <w:r>
                <w:rPr>
                  <w:rStyle w:val="InternetLink"/>
                  <w:rFonts w:ascii="Times New Roman;Times;serif" w:hAnsi="Times New Roman;Times;serif"/>
                  <w:caps w:val="false"/>
                  <w:smallCaps w:val="false"/>
                  <w:sz w:val="20"/>
                </w:rPr>
                <w:t>46</w:t>
              </w:r>
            </w:hyperlink>
          </w:p>
        </w:tc>
      </w:tr>
      <w:tr>
        <w:trPr/>
        <w:tc>
          <w:tcPr>
            <w:tcW w:w="725"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9750" w:type="dxa"/>
            <w:gridSpan w:val="2"/>
            <w:tcBorders/>
            <w:vAlign w:val="center"/>
          </w:tcPr>
          <w:p>
            <w:pPr>
              <w:pStyle w:val="TableContents"/>
              <w:bidi w:val="0"/>
              <w:spacing w:before="0" w:after="0"/>
              <w:ind w:left="0" w:right="0" w:hanging="0"/>
              <w:jc w:val="left"/>
              <w:rPr/>
            </w:pPr>
            <w:hyperlink w:anchor="partii">
              <w:r>
                <w:rPr>
                  <w:rStyle w:val="InternetLink"/>
                  <w:rFonts w:ascii="Times New Roman;Times;serif" w:hAnsi="Times New Roman;Times;serif"/>
                  <w:b/>
                  <w:caps w:val="false"/>
                  <w:smallCaps w:val="false"/>
                  <w:sz w:val="20"/>
                </w:rPr>
                <w:t>PART</w:t>
              </w:r>
            </w:hyperlink>
            <w:hyperlink w:anchor="partii">
              <w:r>
                <w:rPr>
                  <w:rStyle w:val="InternetLink"/>
                  <w:rFonts w:ascii="Times New Roman;Times;serif" w:hAnsi="Times New Roman;Times;serif"/>
                  <w:caps w:val="false"/>
                  <w:smallCaps w:val="false"/>
                  <w:sz w:val="20"/>
                </w:rPr>
                <w:t> </w:t>
              </w:r>
            </w:hyperlink>
            <w:hyperlink w:anchor="partii">
              <w:r>
                <w:rPr>
                  <w:rStyle w:val="InternetLink"/>
                  <w:rFonts w:ascii="Times New Roman;Times;serif" w:hAnsi="Times New Roman;Times;serif"/>
                  <w:b/>
                  <w:caps w:val="false"/>
                  <w:smallCaps w:val="false"/>
                  <w:sz w:val="20"/>
                </w:rPr>
                <w:t>II. OTHER INFORMATION</w:t>
              </w:r>
            </w:hyperlink>
          </w:p>
        </w:tc>
        <w:tc>
          <w:tcPr>
            <w:tcW w:w="45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9025" w:type="dxa"/>
            <w:tcBorders/>
            <w:vAlign w:val="center"/>
          </w:tcPr>
          <w:p>
            <w:pPr>
              <w:pStyle w:val="TableContents"/>
              <w:bidi w:val="0"/>
              <w:spacing w:before="0" w:after="0"/>
              <w:ind w:left="0" w:right="0" w:hanging="0"/>
              <w:jc w:val="left"/>
              <w:rPr/>
            </w:pPr>
            <w:hyperlink w:anchor="legal">
              <w:r>
                <w:rPr>
                  <w:rStyle w:val="InternetLink"/>
                  <w:rFonts w:ascii="Times New Roman;Times;serif" w:hAnsi="Times New Roman;Times;serif"/>
                  <w:caps w:val="false"/>
                  <w:smallCaps w:val="false"/>
                  <w:sz w:val="20"/>
                </w:rPr>
                <w:t>Legal Proceedings</w:t>
              </w:r>
            </w:hyperlink>
          </w:p>
        </w:tc>
        <w:tc>
          <w:tcPr>
            <w:tcW w:w="455" w:type="dxa"/>
            <w:tcBorders/>
            <w:vAlign w:val="center"/>
          </w:tcPr>
          <w:p>
            <w:pPr>
              <w:pStyle w:val="TableContents"/>
              <w:bidi w:val="0"/>
              <w:spacing w:before="0" w:after="0"/>
              <w:ind w:left="0" w:right="0" w:hanging="0"/>
              <w:jc w:val="right"/>
              <w:rPr/>
            </w:pPr>
            <w:hyperlink w:anchor="legal">
              <w:r>
                <w:rPr>
                  <w:rStyle w:val="InternetLink"/>
                  <w:rFonts w:ascii="Times New Roman;Times;serif" w:hAnsi="Times New Roman;Times;serif"/>
                  <w:caps w:val="false"/>
                  <w:smallCaps w:val="false"/>
                  <w:sz w:val="20"/>
                </w:rPr>
                <w:t>47</w:t>
              </w:r>
            </w:hyperlink>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1A.</w:t>
            </w:r>
          </w:p>
        </w:tc>
        <w:tc>
          <w:tcPr>
            <w:tcW w:w="9025" w:type="dxa"/>
            <w:tcBorders/>
            <w:vAlign w:val="center"/>
          </w:tcPr>
          <w:p>
            <w:pPr>
              <w:pStyle w:val="TableContents"/>
              <w:bidi w:val="0"/>
              <w:spacing w:before="0" w:after="0"/>
              <w:ind w:left="0" w:right="0" w:hanging="0"/>
              <w:jc w:val="left"/>
              <w:rPr/>
            </w:pPr>
            <w:hyperlink w:anchor="item1a">
              <w:r>
                <w:rPr>
                  <w:rStyle w:val="InternetLink"/>
                  <w:rFonts w:ascii="Times New Roman;Times;serif" w:hAnsi="Times New Roman;Times;serif"/>
                  <w:caps w:val="false"/>
                  <w:smallCaps w:val="false"/>
                  <w:sz w:val="20"/>
                </w:rPr>
                <w:t>Risk Factors</w:t>
              </w:r>
            </w:hyperlink>
          </w:p>
        </w:tc>
        <w:tc>
          <w:tcPr>
            <w:tcW w:w="455" w:type="dxa"/>
            <w:tcBorders/>
            <w:vAlign w:val="center"/>
          </w:tcPr>
          <w:p>
            <w:pPr>
              <w:pStyle w:val="TableContents"/>
              <w:bidi w:val="0"/>
              <w:spacing w:before="0" w:after="0"/>
              <w:ind w:left="0" w:right="0" w:hanging="0"/>
              <w:jc w:val="right"/>
              <w:rPr/>
            </w:pPr>
            <w:hyperlink w:anchor="item1a">
              <w:r>
                <w:rPr>
                  <w:rStyle w:val="InternetLink"/>
                  <w:rFonts w:ascii="Times New Roman;Times;serif" w:hAnsi="Times New Roman;Times;serif"/>
                  <w:caps w:val="false"/>
                  <w:smallCaps w:val="false"/>
                  <w:sz w:val="20"/>
                </w:rPr>
                <w:t>47</w:t>
              </w:r>
            </w:hyperlink>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9025" w:type="dxa"/>
            <w:tcBorders/>
            <w:vAlign w:val="center"/>
          </w:tcPr>
          <w:p>
            <w:pPr>
              <w:pStyle w:val="TableContents"/>
              <w:bidi w:val="0"/>
              <w:spacing w:before="0" w:after="0"/>
              <w:ind w:left="0" w:right="0" w:hanging="0"/>
              <w:jc w:val="left"/>
              <w:rPr/>
            </w:pPr>
            <w:hyperlink w:anchor="uses">
              <w:r>
                <w:rPr>
                  <w:rStyle w:val="InternetLink"/>
                  <w:rFonts w:ascii="Times New Roman;Times;serif" w:hAnsi="Times New Roman;Times;serif"/>
                  <w:caps w:val="false"/>
                  <w:smallCaps w:val="false"/>
                  <w:sz w:val="20"/>
                </w:rPr>
                <w:t>Unregistered Sales of Equity Securities and Use of Proceeds</w:t>
              </w:r>
            </w:hyperlink>
          </w:p>
        </w:tc>
        <w:tc>
          <w:tcPr>
            <w:tcW w:w="455" w:type="dxa"/>
            <w:tcBorders/>
            <w:vAlign w:val="center"/>
          </w:tcPr>
          <w:p>
            <w:pPr>
              <w:pStyle w:val="TableContents"/>
              <w:bidi w:val="0"/>
              <w:spacing w:before="0" w:after="0"/>
              <w:ind w:left="0" w:right="0" w:hanging="0"/>
              <w:jc w:val="right"/>
              <w:rPr/>
            </w:pPr>
            <w:hyperlink w:anchor="uses">
              <w:r>
                <w:rPr>
                  <w:rStyle w:val="InternetLink"/>
                  <w:rFonts w:ascii="Times New Roman;Times;serif" w:hAnsi="Times New Roman;Times;serif"/>
                  <w:caps w:val="false"/>
                  <w:smallCaps w:val="false"/>
                  <w:sz w:val="20"/>
                </w:rPr>
                <w:t>70</w:t>
              </w:r>
            </w:hyperlink>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9025" w:type="dxa"/>
            <w:tcBorders/>
            <w:vAlign w:val="center"/>
          </w:tcPr>
          <w:p>
            <w:pPr>
              <w:pStyle w:val="TableContents"/>
              <w:bidi w:val="0"/>
              <w:spacing w:before="0" w:after="0"/>
              <w:ind w:left="0" w:right="0" w:hanging="0"/>
              <w:jc w:val="left"/>
              <w:rPr/>
            </w:pPr>
            <w:hyperlink w:anchor="duss">
              <w:r>
                <w:rPr>
                  <w:rStyle w:val="InternetLink"/>
                  <w:rFonts w:ascii="Times New Roman;Times;serif" w:hAnsi="Times New Roman;Times;serif"/>
                  <w:caps w:val="false"/>
                  <w:smallCaps w:val="false"/>
                  <w:sz w:val="20"/>
                </w:rPr>
                <w:t>Defaults Upon Senior Securities</w:t>
              </w:r>
            </w:hyperlink>
          </w:p>
        </w:tc>
        <w:tc>
          <w:tcPr>
            <w:tcW w:w="455" w:type="dxa"/>
            <w:tcBorders/>
            <w:vAlign w:val="center"/>
          </w:tcPr>
          <w:p>
            <w:pPr>
              <w:pStyle w:val="TableContents"/>
              <w:bidi w:val="0"/>
              <w:spacing w:before="0" w:after="0"/>
              <w:ind w:left="0" w:right="0" w:hanging="0"/>
              <w:jc w:val="right"/>
              <w:rPr/>
            </w:pPr>
            <w:hyperlink w:anchor="duss">
              <w:r>
                <w:rPr>
                  <w:rStyle w:val="InternetLink"/>
                  <w:rFonts w:ascii="Times New Roman;Times;serif" w:hAnsi="Times New Roman;Times;serif"/>
                  <w:caps w:val="false"/>
                  <w:smallCaps w:val="false"/>
                  <w:sz w:val="20"/>
                </w:rPr>
                <w:t>70</w:t>
              </w:r>
            </w:hyperlink>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9025" w:type="dxa"/>
            <w:tcBorders/>
            <w:vAlign w:val="center"/>
          </w:tcPr>
          <w:p>
            <w:pPr>
              <w:pStyle w:val="TableContents"/>
              <w:bidi w:val="0"/>
              <w:spacing w:before="0" w:after="0"/>
              <w:ind w:left="0" w:right="0" w:hanging="0"/>
              <w:jc w:val="left"/>
              <w:rPr/>
            </w:pPr>
            <w:hyperlink w:anchor="msd">
              <w:r>
                <w:rPr>
                  <w:rStyle w:val="InternetLink"/>
                  <w:rFonts w:ascii="Times New Roman;Times;serif" w:hAnsi="Times New Roman;Times;serif"/>
                  <w:caps w:val="false"/>
                  <w:smallCaps w:val="false"/>
                  <w:sz w:val="20"/>
                </w:rPr>
                <w:t>Mine Safety Disclosures</w:t>
              </w:r>
            </w:hyperlink>
          </w:p>
        </w:tc>
        <w:tc>
          <w:tcPr>
            <w:tcW w:w="455" w:type="dxa"/>
            <w:tcBorders/>
            <w:vAlign w:val="center"/>
          </w:tcPr>
          <w:p>
            <w:pPr>
              <w:pStyle w:val="TableContents"/>
              <w:bidi w:val="0"/>
              <w:spacing w:before="0" w:after="0"/>
              <w:ind w:left="0" w:right="0" w:hanging="0"/>
              <w:jc w:val="right"/>
              <w:rPr/>
            </w:pPr>
            <w:hyperlink w:anchor="msd">
              <w:r>
                <w:rPr>
                  <w:rStyle w:val="InternetLink"/>
                  <w:rFonts w:ascii="Times New Roman;Times;serif" w:hAnsi="Times New Roman;Times;serif"/>
                  <w:caps w:val="false"/>
                  <w:smallCaps w:val="false"/>
                  <w:sz w:val="20"/>
                </w:rPr>
                <w:t>70</w:t>
              </w:r>
            </w:hyperlink>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5.</w:t>
            </w:r>
          </w:p>
        </w:tc>
        <w:tc>
          <w:tcPr>
            <w:tcW w:w="9025" w:type="dxa"/>
            <w:tcBorders/>
            <w:vAlign w:val="center"/>
          </w:tcPr>
          <w:p>
            <w:pPr>
              <w:pStyle w:val="TableContents"/>
              <w:bidi w:val="0"/>
              <w:spacing w:before="0" w:after="0"/>
              <w:ind w:left="0" w:right="0" w:hanging="0"/>
              <w:jc w:val="left"/>
              <w:rPr/>
            </w:pPr>
            <w:hyperlink w:anchor="oi">
              <w:r>
                <w:rPr>
                  <w:rStyle w:val="InternetLink"/>
                  <w:rFonts w:ascii="Times New Roman;Times;serif" w:hAnsi="Times New Roman;Times;serif"/>
                  <w:caps w:val="false"/>
                  <w:smallCaps w:val="false"/>
                  <w:sz w:val="20"/>
                </w:rPr>
                <w:t>Other Information</w:t>
              </w:r>
            </w:hyperlink>
          </w:p>
        </w:tc>
        <w:tc>
          <w:tcPr>
            <w:tcW w:w="455" w:type="dxa"/>
            <w:tcBorders/>
            <w:vAlign w:val="center"/>
          </w:tcPr>
          <w:p>
            <w:pPr>
              <w:pStyle w:val="TableContents"/>
              <w:bidi w:val="0"/>
              <w:spacing w:before="0" w:after="0"/>
              <w:ind w:left="0" w:right="0" w:hanging="0"/>
              <w:jc w:val="right"/>
              <w:rPr/>
            </w:pPr>
            <w:hyperlink w:anchor="oi">
              <w:r>
                <w:rPr>
                  <w:rStyle w:val="InternetLink"/>
                  <w:rFonts w:ascii="Times New Roman;Times;serif" w:hAnsi="Times New Roman;Times;serif"/>
                  <w:caps w:val="false"/>
                  <w:smallCaps w:val="false"/>
                  <w:sz w:val="20"/>
                </w:rPr>
                <w:t>70</w:t>
              </w:r>
            </w:hyperlink>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9025" w:type="dxa"/>
            <w:tcBorders/>
            <w:vAlign w:val="center"/>
          </w:tcPr>
          <w:p>
            <w:pPr>
              <w:pStyle w:val="TableContents"/>
              <w:bidi w:val="0"/>
              <w:spacing w:before="0" w:after="0"/>
              <w:ind w:left="0" w:right="0" w:hanging="0"/>
              <w:jc w:val="left"/>
              <w:rPr/>
            </w:pPr>
            <w:hyperlink w:anchor="exs">
              <w:r>
                <w:rPr>
                  <w:rStyle w:val="InternetLink"/>
                  <w:rFonts w:ascii="Times New Roman;Times;serif" w:hAnsi="Times New Roman;Times;serif"/>
                  <w:caps w:val="false"/>
                  <w:smallCaps w:val="false"/>
                  <w:sz w:val="20"/>
                </w:rPr>
                <w:t>Exhibits</w:t>
              </w:r>
            </w:hyperlink>
          </w:p>
        </w:tc>
        <w:tc>
          <w:tcPr>
            <w:tcW w:w="455" w:type="dxa"/>
            <w:tcBorders/>
            <w:vAlign w:val="center"/>
          </w:tcPr>
          <w:p>
            <w:pPr>
              <w:pStyle w:val="TableContents"/>
              <w:bidi w:val="0"/>
              <w:spacing w:before="0" w:after="0"/>
              <w:ind w:left="0" w:right="0" w:hanging="0"/>
              <w:jc w:val="right"/>
              <w:rPr/>
            </w:pPr>
            <w:hyperlink w:anchor="exs">
              <w:r>
                <w:rPr>
                  <w:rStyle w:val="InternetLink"/>
                  <w:rFonts w:ascii="Times New Roman;Times;serif" w:hAnsi="Times New Roman;Times;serif"/>
                  <w:caps w:val="false"/>
                  <w:smallCaps w:val="false"/>
                  <w:sz w:val="20"/>
                </w:rPr>
                <w:t>71</w:t>
              </w:r>
            </w:hyperlink>
          </w:p>
        </w:tc>
      </w:tr>
      <w:tr>
        <w:trPr/>
        <w:tc>
          <w:tcPr>
            <w:tcW w:w="725"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caps w:val="false"/>
                  <w:smallCaps w:val="false"/>
                  <w:sz w:val="20"/>
                </w:rPr>
                <w:t>Signatures</w:t>
              </w:r>
            </w:hyperlink>
          </w:p>
        </w:tc>
        <w:tc>
          <w:tcPr>
            <w:tcW w:w="455" w:type="dxa"/>
            <w:tcBorders/>
            <w:vAlign w:val="center"/>
          </w:tcPr>
          <w:p>
            <w:pPr>
              <w:pStyle w:val="TableContents"/>
              <w:bidi w:val="0"/>
              <w:spacing w:before="0" w:after="0"/>
              <w:ind w:left="0" w:right="0" w:hanging="0"/>
              <w:jc w:val="right"/>
              <w:rPr/>
            </w:pPr>
            <w:hyperlink w:anchor="sigs">
              <w:r>
                <w:rPr>
                  <w:rStyle w:val="InternetLink"/>
                  <w:rFonts w:ascii="Times New Roman;Times;serif" w:hAnsi="Times New Roman;Times;serif"/>
                  <w:caps w:val="false"/>
                  <w:smallCaps w:val="false"/>
                  <w:sz w:val="20"/>
                </w:rPr>
                <w:t>72</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3" w:name="parti"/>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shares and par value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00"/>
        <w:gridCol w:w="60"/>
        <w:gridCol w:w="138"/>
        <w:gridCol w:w="934"/>
        <w:gridCol w:w="80"/>
        <w:gridCol w:w="60"/>
        <w:gridCol w:w="135"/>
        <w:gridCol w:w="916"/>
        <w:gridCol w:w="82"/>
      </w:tblGrid>
      <w:tr>
        <w:trPr/>
        <w:tc>
          <w:tcPr>
            <w:tcW w:w="7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2"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2"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Fixed maturity securities available for sale, at fair value (amortized cost: $647,579 in 2023; $561,580 in 2022)</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591,907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515,064</w:t>
            </w:r>
          </w:p>
        </w:tc>
        <w:tc>
          <w:tcPr>
            <w:tcW w:w="82" w:type="dxa"/>
            <w:tcBorders/>
            <w:shd w:fill="CCEEFF" w:val="cle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Equity securities, at fair value (cost: $43,002 in 2023; $42,352 in 2022)</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38,576</w:t>
            </w:r>
          </w:p>
        </w:tc>
        <w:tc>
          <w:tcPr>
            <w:tcW w:w="82" w:type="dxa"/>
            <w:tcBorders/>
            <w:shd w:fill="FFFFFF" w:val="cle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Equity method investment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investments</w:t>
            </w:r>
          </w:p>
        </w:tc>
        <w:tc>
          <w:tcPr>
            <w:tcW w:w="60" w:type="dxa"/>
            <w:tcBorders/>
            <w:shd w:fill="FFFFFF" w:val="clear"/>
            <w:vAlign w:val="center"/>
          </w:tcPr>
          <w:p>
            <w:pPr>
              <w:pStyle w:val="TableContents"/>
              <w:bidi w:val="0"/>
              <w:spacing w:before="0" w:after="283"/>
              <w:jc w:val="left"/>
              <w:rPr/>
            </w:pPr>
            <w:r>
              <w:rPr/>
              <w:t> </w:t>
            </w:r>
          </w:p>
        </w:tc>
        <w:tc>
          <w:tcPr>
            <w:tcW w:w="138"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934"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634,665</w:t>
            </w:r>
          </w:p>
        </w:tc>
        <w:tc>
          <w:tcPr>
            <w:tcW w:w="80" w:type="dxa"/>
            <w:tcBorders>
              <w:top w:val="single" w:sz="2" w:space="0" w:color="000000"/>
            </w:tcBorders>
            <w:shd w:fill="FFFFFF" w:val="clear"/>
            <w:tcMar>
              <w:top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916"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553,640</w:t>
            </w:r>
          </w:p>
        </w:tc>
        <w:tc>
          <w:tcPr>
            <w:tcW w:w="82" w:type="dxa"/>
            <w:tcBorders>
              <w:top w:val="single" w:sz="2" w:space="0" w:color="000000"/>
            </w:tcBorders>
            <w:shd w:fill="FFFFFF" w:val="clear"/>
            <w:tcMar>
              <w:top w:w="28" w:type="dxa"/>
            </w:tcM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68,108</w:t>
            </w:r>
          </w:p>
        </w:tc>
        <w:tc>
          <w:tcPr>
            <w:tcW w:w="82" w:type="dxa"/>
            <w:tcBorders/>
            <w:shd w:fill="CCEEFF" w:val="cle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82" w:type="dxa"/>
            <w:tcBorders/>
            <w:shd w:fill="FFFFFF" w:val="cle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Accrued investment income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3,777</w:t>
            </w:r>
          </w:p>
        </w:tc>
        <w:tc>
          <w:tcPr>
            <w:tcW w:w="82" w:type="dxa"/>
            <w:tcBorders/>
            <w:shd w:fill="CCEEFF" w:val="cle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Premiums receivable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242,082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162,858</w:t>
            </w:r>
          </w:p>
        </w:tc>
        <w:tc>
          <w:tcPr>
            <w:tcW w:w="82" w:type="dxa"/>
            <w:tcBorders/>
            <w:shd w:fill="FFFFFF" w:val="cle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Deferred policy acquisition costs, net of ceding commissions and fronting fees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58,967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56,740</w:t>
            </w:r>
          </w:p>
        </w:tc>
        <w:tc>
          <w:tcPr>
            <w:tcW w:w="82" w:type="dxa"/>
            <w:tcBorders/>
            <w:shd w:fill="CCEEFF" w:val="cle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Reinsurance recoverable on paid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48,004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39,718</w:t>
            </w:r>
          </w:p>
        </w:tc>
        <w:tc>
          <w:tcPr>
            <w:tcW w:w="82" w:type="dxa"/>
            <w:tcBorders/>
            <w:shd w:fill="FFFFFF" w:val="cle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Reinsurance recoverable on unpaid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232,170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153,895</w:t>
            </w:r>
          </w:p>
        </w:tc>
        <w:tc>
          <w:tcPr>
            <w:tcW w:w="82" w:type="dxa"/>
            <w:tcBorders/>
            <w:shd w:fill="CCEEFF" w:val="cle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Ceded unearned premiums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259,760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204,084</w:t>
            </w:r>
          </w:p>
        </w:tc>
        <w:tc>
          <w:tcPr>
            <w:tcW w:w="82" w:type="dxa"/>
            <w:tcBorders/>
            <w:shd w:fill="FFFFFF" w:val="cle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65,753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44,088</w:t>
            </w:r>
          </w:p>
        </w:tc>
        <w:tc>
          <w:tcPr>
            <w:tcW w:w="82" w:type="dxa"/>
            <w:tcBorders/>
            <w:shd w:fill="CCEEFF" w:val="cle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Deferred tax assets, net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10,622</w:t>
            </w:r>
          </w:p>
        </w:tc>
        <w:tc>
          <w:tcPr>
            <w:tcW w:w="82" w:type="dxa"/>
            <w:tcBorders/>
            <w:shd w:fill="FFFFFF" w:val="cle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603</w:t>
            </w:r>
          </w:p>
        </w:tc>
        <w:tc>
          <w:tcPr>
            <w:tcW w:w="82" w:type="dxa"/>
            <w:tcBorders/>
            <w:shd w:fill="CCEEFF" w:val="cle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Goodwill and intangible assets, net</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8,261</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1,626,334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1,306,450</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Accounts payable and other accrued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25,760</w:t>
            </w:r>
          </w:p>
        </w:tc>
        <w:tc>
          <w:tcPr>
            <w:tcW w:w="82" w:type="dxa"/>
            <w:tcBorders/>
            <w:shd w:fill="FFFFFF" w:val="cle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Reserve for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324,348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231,415</w:t>
            </w:r>
          </w:p>
        </w:tc>
        <w:tc>
          <w:tcPr>
            <w:tcW w:w="82" w:type="dxa"/>
            <w:tcBorders/>
            <w:shd w:fill="CCEEFF" w:val="cle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Unearned premiums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570,453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471,314</w:t>
            </w:r>
          </w:p>
        </w:tc>
        <w:tc>
          <w:tcPr>
            <w:tcW w:w="82" w:type="dxa"/>
            <w:tcBorders/>
            <w:shd w:fill="FFFFFF" w:val="cle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Ceded premium payable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211,025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146,127</w:t>
            </w:r>
          </w:p>
        </w:tc>
        <w:tc>
          <w:tcPr>
            <w:tcW w:w="82" w:type="dxa"/>
            <w:tcBorders/>
            <w:shd w:fill="CCEEFF" w:val="cle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Funds held under reinsurance treaty</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10,680</w:t>
            </w:r>
          </w:p>
        </w:tc>
        <w:tc>
          <w:tcPr>
            <w:tcW w:w="82" w:type="dxa"/>
            <w:tcBorders/>
            <w:shd w:fill="FFFFFF" w:val="cle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Borrowings from credit agreements</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52,600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36,400</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921,696</w:t>
            </w:r>
          </w:p>
        </w:tc>
        <w:tc>
          <w:tcPr>
            <w:tcW w:w="82" w:type="dxa"/>
            <w:tcBorders/>
            <w:shd w:fill="FFFFFF" w:val="cle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Preferred stock, $0.0001 par value, 5,000,000 shares authorized, 0 shares issued and outstanding as of September 30, 2023 and December 31, 2022</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Common stock, $0.0001 par value, 500,000,000 shares authorized, 24,730,885 and 25,027,467 shares issued and outstanding as of September 30,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2" w:type="dxa"/>
            <w:tcBorders/>
            <w:shd w:fill="CCEEFF" w:val="cle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345,673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333,558</w:t>
            </w:r>
          </w:p>
        </w:tc>
        <w:tc>
          <w:tcPr>
            <w:tcW w:w="82" w:type="dxa"/>
            <w:tcBorders/>
            <w:shd w:fill="FFFFFF" w:val="cle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(43,221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(36,515</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0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118,879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87,708</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421,334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384,754</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1,626,334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1,306,450</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4" w:name="income"/>
      <w:bookmarkEnd w:id="4"/>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Income and Comprehensive Income (Loss)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shares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45"/>
        <w:gridCol w:w="60"/>
        <w:gridCol w:w="125"/>
        <w:gridCol w:w="950"/>
        <w:gridCol w:w="80"/>
        <w:gridCol w:w="60"/>
        <w:gridCol w:w="125"/>
        <w:gridCol w:w="950"/>
        <w:gridCol w:w="80"/>
        <w:gridCol w:w="60"/>
        <w:gridCol w:w="125"/>
        <w:gridCol w:w="950"/>
        <w:gridCol w:w="80"/>
        <w:gridCol w:w="60"/>
        <w:gridCol w:w="125"/>
        <w:gridCol w:w="950"/>
        <w:gridCol w:w="80"/>
      </w:tblGrid>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written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313,998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838,406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642,751</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Ceded written premiums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(203,336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(161,930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(542,789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(374,109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3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written premiums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110,662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91,198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295,617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268,642</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unearned premiums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(24,845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(13,256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(43,453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(34,403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3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earned premiums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77,942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252,164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234,239</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investment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9,462</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realized and unrealized losses on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(8,369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Commission and other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90,935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80,692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270,532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238,461</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Losses and loss adjustment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54,696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60,251</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 expenses, net of ceding commissions and fronting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78,740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83,928</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underwriting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63,962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51,233</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200,350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195,887</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70,182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42,574</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6,103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16,877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9,163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18,432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33,411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comprehensive income (loss),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unrealized losses on securities available for sale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(8,494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(15,412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(47,941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3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comprehensive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9,938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(11,126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46,599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(14,530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34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 Share Data: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earnings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common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24,740,455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25,209,368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24,847,164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25,258,333</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25,244,828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25,787,625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25,340,602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25,808,387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5" w:name="she"/>
      <w:bookmarkEnd w:id="5"/>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Changes in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24"/>
        <w:gridCol w:w="60"/>
        <w:gridCol w:w="61"/>
        <w:gridCol w:w="979"/>
        <w:gridCol w:w="80"/>
        <w:gridCol w:w="60"/>
        <w:gridCol w:w="250"/>
        <w:gridCol w:w="520"/>
        <w:gridCol w:w="60"/>
        <w:gridCol w:w="60"/>
        <w:gridCol w:w="140"/>
        <w:gridCol w:w="780"/>
        <w:gridCol w:w="60"/>
        <w:gridCol w:w="60"/>
        <w:gridCol w:w="207"/>
        <w:gridCol w:w="1088"/>
        <w:gridCol w:w="80"/>
        <w:gridCol w:w="60"/>
        <w:gridCol w:w="125"/>
        <w:gridCol w:w="695"/>
        <w:gridCol w:w="80"/>
        <w:gridCol w:w="60"/>
        <w:gridCol w:w="172"/>
        <w:gridCol w:w="963"/>
        <w:gridCol w:w="81"/>
      </w:tblGrid>
      <w:tr>
        <w:trPr/>
        <w:tc>
          <w:tcPr>
            <w:tcW w:w="3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1" w:type="dxa"/>
            <w:tcBorders/>
            <w:shd w:fill="FFFFFF"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p>
        </w:tc>
        <w:tc>
          <w:tcPr>
            <w:tcW w:w="81" w:type="dxa"/>
            <w:tcBorders/>
            <w:shd w:fill="FFFFFF"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Outstanding</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Income (Loss)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Earnings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2021</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25,428,929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318,902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69,952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394,169</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Other comprehensive loss, net of tax</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(47,941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(47,941</w:t>
            </w:r>
          </w:p>
        </w:tc>
        <w:tc>
          <w:tcPr>
            <w:tcW w:w="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4"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8,556</w:t>
            </w:r>
          </w:p>
        </w:tc>
        <w:tc>
          <w:tcPr>
            <w:tcW w:w="81" w:type="dxa"/>
            <w:tcBorders/>
            <w:shd w:fill="CCEEFF"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Issuance of common stock via employee stock purchase plan</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759</w:t>
            </w:r>
          </w:p>
        </w:tc>
        <w:tc>
          <w:tcPr>
            <w:tcW w:w="81" w:type="dxa"/>
            <w:tcBorders/>
            <w:shd w:fill="FFFFFF" w:val="clear"/>
            <w:vAlign w:val="center"/>
          </w:tcPr>
          <w:p>
            <w:pPr>
              <w:pStyle w:val="TableContents"/>
              <w:bidi w:val="0"/>
              <w:spacing w:before="0" w:after="283"/>
              <w:jc w:val="left"/>
              <w:rPr/>
            </w:pPr>
            <w:r>
              <w:rPr/>
              <w:t> </w:t>
            </w:r>
          </w:p>
        </w:tc>
      </w:tr>
      <w:tr>
        <w:trPr/>
        <w:tc>
          <w:tcPr>
            <w:tcW w:w="3424"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Issuance of common stock via equity incentive plan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185,765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2,164</w:t>
            </w:r>
          </w:p>
        </w:tc>
        <w:tc>
          <w:tcPr>
            <w:tcW w:w="81" w:type="dxa"/>
            <w:tcBorders/>
            <w:shd w:fill="CCEEFF"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Repurchases of common stock</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(399,198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(23,273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(23,273</w:t>
            </w:r>
          </w:p>
        </w:tc>
        <w:tc>
          <w:tcPr>
            <w:tcW w:w="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4"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33,411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33,411</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September 30, 2022</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25,229,486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330,381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(42,629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80,090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367,845</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4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2022</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25,027,467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333,558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(36,515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87,708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384,754</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4"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Other comprehensive loss, net of tax</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(6,706</w:t>
            </w:r>
          </w:p>
        </w:tc>
        <w:tc>
          <w:tcPr>
            <w:tcW w:w="8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4"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10,737</w:t>
            </w:r>
          </w:p>
        </w:tc>
        <w:tc>
          <w:tcPr>
            <w:tcW w:w="81" w:type="dxa"/>
            <w:tcBorders/>
            <w:shd w:fill="FFFFFF" w:val="clear"/>
            <w:vAlign w:val="center"/>
          </w:tcPr>
          <w:p>
            <w:pPr>
              <w:pStyle w:val="TableContents"/>
              <w:bidi w:val="0"/>
              <w:spacing w:before="0" w:after="283"/>
              <w:jc w:val="left"/>
              <w:rPr/>
            </w:pPr>
            <w:r>
              <w:rPr/>
              <w:t> </w:t>
            </w:r>
          </w:p>
        </w:tc>
      </w:tr>
      <w:tr>
        <w:trPr/>
        <w:tc>
          <w:tcPr>
            <w:tcW w:w="3424"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Issuance of common stock via employee stock purchase plan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w:t>
            </w:r>
          </w:p>
        </w:tc>
        <w:tc>
          <w:tcPr>
            <w:tcW w:w="81" w:type="dxa"/>
            <w:tcBorders/>
            <w:shd w:fill="CCEEFF"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Issuance of common stock via equity incentive plan</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105,239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w:t>
            </w:r>
          </w:p>
        </w:tc>
        <w:tc>
          <w:tcPr>
            <w:tcW w:w="81" w:type="dxa"/>
            <w:tcBorders/>
            <w:shd w:fill="FFFFFF" w:val="clear"/>
            <w:vAlign w:val="center"/>
          </w:tcPr>
          <w:p>
            <w:pPr>
              <w:pStyle w:val="TableContents"/>
              <w:bidi w:val="0"/>
              <w:spacing w:before="0" w:after="283"/>
              <w:jc w:val="left"/>
              <w:rPr/>
            </w:pPr>
            <w:r>
              <w:rPr/>
              <w:t> </w:t>
            </w:r>
          </w:p>
        </w:tc>
      </w:tr>
      <w:tr>
        <w:trPr/>
        <w:tc>
          <w:tcPr>
            <w:tcW w:w="3424"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Repurchases of common stock</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(418,901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(22,134</w:t>
            </w:r>
          </w:p>
        </w:tc>
        <w:tc>
          <w:tcPr>
            <w:tcW w:w="8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4"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53,305</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September 30, 2023</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24,730,885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345,673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(43,221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118,879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421,334</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6" w:name="cfs"/>
      <w:bookmarkEnd w:id="6"/>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7775" w:type="dxa"/>
        <w:jc w:val="left"/>
        <w:tblInd w:w="0" w:type="dxa"/>
        <w:tblLayout w:type="fixed"/>
        <w:tblCellMar>
          <w:top w:w="0" w:type="dxa"/>
          <w:left w:w="0" w:type="dxa"/>
          <w:bottom w:w="0" w:type="dxa"/>
          <w:right w:w="0" w:type="dxa"/>
        </w:tblCellMar>
      </w:tblPr>
      <w:tblGrid>
        <w:gridCol w:w="5735"/>
        <w:gridCol w:w="60"/>
        <w:gridCol w:w="125"/>
        <w:gridCol w:w="755"/>
        <w:gridCol w:w="80"/>
        <w:gridCol w:w="60"/>
        <w:gridCol w:w="125"/>
        <w:gridCol w:w="755"/>
        <w:gridCol w:w="80"/>
      </w:tblGrid>
      <w:tr>
        <w:trPr/>
        <w:tc>
          <w:tcPr>
            <w:tcW w:w="5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0"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93,836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94,544</w:t>
            </w:r>
          </w:p>
        </w:tc>
        <w:tc>
          <w:tcPr>
            <w:tcW w:w="8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Capitalized software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Purchases of fixed maturity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(190,560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(279,064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Purchases of equity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(10,277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Purchase of equity method investment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maturities of fixed maturity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104,505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172,380</w:t>
            </w:r>
          </w:p>
        </w:tc>
        <w:tc>
          <w:tcPr>
            <w:tcW w:w="8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Sales of equity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securities receivable or payable,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Acquisitions, net of cash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7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755"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(104,156</w:t>
            </w:r>
          </w:p>
        </w:tc>
        <w:tc>
          <w:tcPr>
            <w:tcW w:w="80" w:type="dxa"/>
            <w:tcBorders>
              <w:top w:val="single" w:sz="2" w:space="0" w:color="000000"/>
            </w:tcBorders>
            <w:shd w:fill="CCEEFF" w:val="clear"/>
            <w:tcMar>
              <w:top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755"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(121,422</w:t>
            </w:r>
          </w:p>
        </w:tc>
        <w:tc>
          <w:tcPr>
            <w:tcW w:w="80" w:type="dxa"/>
            <w:tcBorders>
              <w:top w:val="single" w:sz="2" w:space="0" w:color="000000"/>
            </w:tcBorders>
            <w:shd w:fill="CCEEFF" w:val="clear"/>
            <w:tcMar>
              <w:top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line of credit, net of repayments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26,400</w:t>
            </w:r>
          </w:p>
        </w:tc>
        <w:tc>
          <w:tcPr>
            <w:tcW w:w="8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common stock issued via employee stock purchase plan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2,164</w:t>
            </w:r>
          </w:p>
        </w:tc>
        <w:tc>
          <w:tcPr>
            <w:tcW w:w="8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common stock issued via stock option exercises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760</w:t>
            </w:r>
          </w:p>
        </w:tc>
        <w:tc>
          <w:tcPr>
            <w:tcW w:w="8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Repurchases of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(22,134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(23,273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7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6,051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(14,876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(20,827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68,164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50,371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53,288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29,544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Supplementary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18,870</w:t>
            </w:r>
          </w:p>
        </w:tc>
        <w:tc>
          <w:tcPr>
            <w:tcW w:w="8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cash and cash equivalents and restricted cash and cash equivalents within the condensed consolidated balance sheets (in thousands):</w:t>
      </w:r>
    </w:p>
    <w:p>
      <w:pPr>
        <w:pStyle w:val="TextBody"/>
        <w:bidi w:val="0"/>
        <w:spacing w:before="0" w:after="0"/>
        <w:ind w:left="0" w:right="0" w:hanging="0"/>
        <w:jc w:val="left"/>
        <w:rPr>
          <w:caps w:val="false"/>
          <w:smallCaps w:val="false"/>
        </w:rPr>
      </w:pPr>
      <w:r>
        <w:rPr>
          <w:caps w:val="false"/>
          <w:smallCaps w:val="false"/>
        </w:rPr>
        <w:t> </w:t>
      </w:r>
    </w:p>
    <w:tbl>
      <w:tblPr>
        <w:tblW w:w="6283" w:type="dxa"/>
        <w:jc w:val="left"/>
        <w:tblInd w:w="0" w:type="dxa"/>
        <w:tblLayout w:type="fixed"/>
        <w:tblCellMar>
          <w:top w:w="0" w:type="dxa"/>
          <w:left w:w="0" w:type="dxa"/>
          <w:bottom w:w="0" w:type="dxa"/>
          <w:right w:w="0" w:type="dxa"/>
        </w:tblCellMar>
      </w:tblPr>
      <w:tblGrid>
        <w:gridCol w:w="3710"/>
        <w:gridCol w:w="60"/>
        <w:gridCol w:w="207"/>
        <w:gridCol w:w="982"/>
        <w:gridCol w:w="60"/>
        <w:gridCol w:w="60"/>
        <w:gridCol w:w="199"/>
        <w:gridCol w:w="945"/>
        <w:gridCol w:w="60"/>
      </w:tblGrid>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68,108</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53,288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68,164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7" w:name="notes"/>
      <w:bookmarkEnd w:id="7"/>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w:t>
      </w:r>
      <w:r>
        <w:rPr>
          <w:rFonts w:ascii="Times New Roman" w:hAnsi="Times New Roman"/>
          <w:caps w:val="false"/>
          <w:smallCaps w:val="false"/>
          <w:sz w:val="20"/>
        </w:rPr>
        <w:t> </w:t>
      </w:r>
      <w:r>
        <w:rPr>
          <w:rFonts w:ascii="Times New Roman" w:hAnsi="Times New Roman"/>
          <w:b/>
          <w:caps w:val="false"/>
          <w:smallCaps w:val="false"/>
          <w:sz w:val="20"/>
        </w:rPr>
        <w:t>to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Summary of Operations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Palomar Holdings, Inc. (the “Company”) is a Delaware incorporated insurance holding company that was founded in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The Company has several wholly owned subsidiaries including an Oregon domiciled insurance company, Palomar Specialty Insurance Company (“PSIC”), a Bermuda based reinsurance company, Palomar Specialty Reinsurance Company Bermuda Ltd. (“PSRE”), an Arizona domiciled surplus lines insurance company, Palomar Excess and Surplus Insurance Company (“PESIC”), a California domiciled property and casualty insurance agency, Palomar Insurance Agency, DBA Palomar General Insurance Agency (“PGIA”), and a Delaware incorporated management company, Palomar Underwriters Exchange Organization, Inc. ("PUEO"), that provides services to Laulima Exchange (“Laulima”), a Hawaii domiciled reciprocal exchange, as its attorney-in-fact.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accompanying condensed consolidated financial statements have been prepared in accordance with U.S. generally accepted accounting principles (“GAAP”) for interim financial information and include the accounts of the Company and its wholly</w:t>
        <w:noBreakHyphen/>
        <w:t xml:space="preserve">owned subsidiaries. The condensed consolidated financial statements also include the accounts of Laulima, as Laulima is a variable interest entity ("VIE") for which the Company is the primary beneficiary.  Currently Laulima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hold a material amount of assets or liabilities.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These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contain all information and footnotes required by U.S. GAAP for complete consolidated financial statements. For a more complete description of the Company’s business and accounting policies, these condensed consolidated financial statements should be read in conjunction with the audited consolidated financial statements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filed with the SEC on </w:t>
      </w:r>
      <w:r>
        <w:rPr>
          <w:rStyle w:val="Emphasis"/>
          <w:rFonts w:ascii="Times New Roman" w:hAnsi="Times New Roman"/>
          <w:caps w:val="false"/>
          <w:smallCaps w:val="false"/>
          <w:sz w:val="20"/>
        </w:rPr>
        <w:t>March 1, 2023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In the opinion of management, all adjustments necessary for a fair presentation of the condensed consolidated financial statements have been included. Such adjustments consist only of normal recurring items. All intercompany balances and transactions have been eliminated in consolidation. Interim results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results of operations for the full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preparation of financial statements in conformity with GAAP requires management to make estimates and assumptions that affect amounts reported in the condensed consolidated financial statements and accompanying notes. Such estimates and assumptions could change in the future as more information becomes known, which could impact the amounts reported and disclosed herein. All revisions to accounting estimates are recognized in the period in which the estimates are revised. Significant estimates reflected in the Company’s condensed consolidated financial statements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reserves for losses and loss adjustment expenses, reinsurance recoverables on unpaid losses, and the fair values of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adopted any new accounting guidance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i/>
          <w:caps w:val="false"/>
          <w:smallCaps w:val="false"/>
          <w:sz w:val="20"/>
        </w:rPr>
        <w:t xml:space="preserve">Recently issued accounting pronouncements </w:t>
      </w:r>
      <w:r>
        <w:rPr>
          <w:rStyle w:val="Emphasis"/>
          <w:rFonts w:ascii="Times New Roman" w:hAnsi="Times New Roman"/>
          <w:i/>
          <w:caps w:val="false"/>
          <w:smallCaps w:val="false"/>
          <w:sz w:val="20"/>
        </w:rPr>
        <w:t>not</w:t>
      </w:r>
      <w:r>
        <w:rPr>
          <w:rFonts w:ascii="Times New Roman" w:hAnsi="Times New Roman"/>
          <w:i/>
          <w:caps w:val="false"/>
          <w:smallCaps w:val="false"/>
          <w:sz w:val="20"/>
        </w:rPr>
        <w:t xml:space="preserve">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There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any recent accounting pronouncements or pending accounting guidance that have significance, or potential significance, to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available</w:t>
        <w:noBreakHyphen/>
        <w:t>for</w:t>
        <w:noBreakHyphen/>
        <w:t>sale investments are summarized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52"/>
        <w:gridCol w:w="60"/>
        <w:gridCol w:w="156"/>
        <w:gridCol w:w="875"/>
        <w:gridCol w:w="60"/>
        <w:gridCol w:w="60"/>
        <w:gridCol w:w="248"/>
        <w:gridCol w:w="672"/>
        <w:gridCol w:w="60"/>
        <w:gridCol w:w="60"/>
        <w:gridCol w:w="148"/>
        <w:gridCol w:w="772"/>
        <w:gridCol w:w="80"/>
        <w:gridCol w:w="60"/>
        <w:gridCol w:w="267"/>
        <w:gridCol w:w="851"/>
        <w:gridCol w:w="80"/>
        <w:gridCol w:w="60"/>
        <w:gridCol w:w="125"/>
        <w:gridCol w:w="695"/>
        <w:gridCol w:w="64"/>
      </w:tblGrid>
      <w:tr>
        <w:trPr/>
        <w:tc>
          <w:tcPr>
            <w:tcW w:w="47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Allowance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September 30, 2023</w:t>
            </w:r>
          </w:p>
        </w:tc>
        <w:tc>
          <w:tcPr>
            <w:tcW w:w="60"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 or 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Credit 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29" w:type="dxa"/>
            <w:gridSpan w:val="18"/>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Governments</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42,690</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States, territories, and possessions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5,213</w:t>
            </w:r>
          </w:p>
        </w:tc>
        <w:tc>
          <w:tcPr>
            <w:tcW w:w="64" w:type="dxa"/>
            <w:tcBorders/>
            <w:shd w:fill="CCEEFF" w:val="cle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Political subdivisions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3,848</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27,868</w:t>
            </w:r>
          </w:p>
        </w:tc>
        <w:tc>
          <w:tcPr>
            <w:tcW w:w="64" w:type="dxa"/>
            <w:tcBorders/>
            <w:shd w:fill="CCEEFF" w:val="cle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276,933</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253,287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(18,248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235,355</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available-for-sale investments</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647,579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(55,259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591,907</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52"/>
        <w:gridCol w:w="60"/>
        <w:gridCol w:w="156"/>
        <w:gridCol w:w="875"/>
        <w:gridCol w:w="60"/>
        <w:gridCol w:w="60"/>
        <w:gridCol w:w="248"/>
        <w:gridCol w:w="672"/>
        <w:gridCol w:w="60"/>
        <w:gridCol w:w="60"/>
        <w:gridCol w:w="148"/>
        <w:gridCol w:w="772"/>
        <w:gridCol w:w="80"/>
        <w:gridCol w:w="60"/>
        <w:gridCol w:w="267"/>
        <w:gridCol w:w="851"/>
        <w:gridCol w:w="80"/>
        <w:gridCol w:w="60"/>
        <w:gridCol w:w="125"/>
        <w:gridCol w:w="695"/>
        <w:gridCol w:w="64"/>
      </w:tblGrid>
      <w:tr>
        <w:trPr/>
        <w:tc>
          <w:tcPr>
            <w:tcW w:w="47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Allowance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60"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 or 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Credit 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29" w:type="dxa"/>
            <w:gridSpan w:val="18"/>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Governments</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48,551</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States, territories, and possessions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5,354</w:t>
            </w:r>
          </w:p>
        </w:tc>
        <w:tc>
          <w:tcPr>
            <w:tcW w:w="64" w:type="dxa"/>
            <w:tcBorders/>
            <w:shd w:fill="CCEEFF" w:val="cle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Political subdivisions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4,298</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32,799</w:t>
            </w:r>
          </w:p>
        </w:tc>
        <w:tc>
          <w:tcPr>
            <w:tcW w:w="64" w:type="dxa"/>
            <w:tcBorders/>
            <w:shd w:fill="CCEEFF" w:val="cle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254,095</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184,578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169,967</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available-for-sale investments</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561,580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(46,687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515,064</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Security holdings in an unrealized loss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the Company held 578 fixed maturity securities in an unrealized loss position with a total estimated fair value of $549.4 million and total gross unrealized losses of $55.3 million.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the Company held 543 fixed maturity securities in an unrealized loss position with a total estimated fair value of $484.7 million and total gross unrealized losses of $46.9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aggregate fair value and gross unrealized losses of the Company’s investments aggregated by investment category and the length of time these individual securities have been in a continuous unrealized loss position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60"/>
        <w:gridCol w:w="60"/>
        <w:gridCol w:w="134"/>
        <w:gridCol w:w="753"/>
        <w:gridCol w:w="64"/>
        <w:gridCol w:w="64"/>
        <w:gridCol w:w="171"/>
        <w:gridCol w:w="749"/>
        <w:gridCol w:w="80"/>
        <w:gridCol w:w="60"/>
        <w:gridCol w:w="134"/>
        <w:gridCol w:w="745"/>
        <w:gridCol w:w="63"/>
        <w:gridCol w:w="63"/>
        <w:gridCol w:w="148"/>
        <w:gridCol w:w="772"/>
        <w:gridCol w:w="80"/>
        <w:gridCol w:w="60"/>
        <w:gridCol w:w="125"/>
        <w:gridCol w:w="695"/>
        <w:gridCol w:w="60"/>
        <w:gridCol w:w="60"/>
        <w:gridCol w:w="148"/>
        <w:gridCol w:w="772"/>
        <w:gridCol w:w="85"/>
      </w:tblGrid>
      <w:tr>
        <w:trPr/>
        <w:tc>
          <w:tcPr>
            <w:tcW w:w="4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Less Than 12 Months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More Than 12 Months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5" w:type="dxa"/>
            <w:tcBorders/>
            <w:shd w:fill="FFFFFF" w:val="clear"/>
            <w:vAlign w:val="center"/>
          </w:tcPr>
          <w:p>
            <w:pPr>
              <w:pStyle w:val="TableContents"/>
              <w:bidi w:val="0"/>
              <w:spacing w:before="0" w:after="283"/>
              <w:jc w:val="left"/>
              <w:rPr/>
            </w:pPr>
            <w:r>
              <w:rPr/>
              <w:t> </w:t>
            </w:r>
          </w:p>
        </w:tc>
      </w:tr>
      <w:tr>
        <w:trPr/>
        <w:tc>
          <w:tcPr>
            <w:tcW w:w="40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September 30, 2023</w:t>
            </w:r>
          </w:p>
        </w:tc>
        <w:tc>
          <w:tcPr>
            <w:tcW w:w="60" w:type="dxa"/>
            <w:tcBorders/>
            <w:shd w:fill="FFFFFF" w:val="clear"/>
            <w:vAlign w:val="center"/>
          </w:tcPr>
          <w:p>
            <w:pPr>
              <w:pStyle w:val="TableContents"/>
              <w:bidi w:val="0"/>
              <w:spacing w:before="0" w:after="283"/>
              <w:ind w:left="0" w:right="0" w:hanging="0"/>
              <w:jc w:val="left"/>
              <w:rPr/>
            </w:pPr>
            <w:r>
              <w:rPr/>
              <w:t> </w:t>
            </w:r>
          </w:p>
        </w:tc>
        <w:tc>
          <w:tcPr>
            <w:tcW w:w="8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00"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5" w:type="dxa"/>
            <w:tcBorders/>
            <w:shd w:fill="FFFFFF" w:val="clear"/>
            <w:vAlign w:val="center"/>
          </w:tcPr>
          <w:p>
            <w:pPr>
              <w:pStyle w:val="TableContents"/>
              <w:bidi w:val="0"/>
              <w:spacing w:before="0" w:after="283"/>
              <w:jc w:val="left"/>
              <w:rPr/>
            </w:pPr>
            <w:r>
              <w:rPr/>
              <w:t> </w:t>
            </w:r>
          </w:p>
        </w:tc>
      </w:tr>
      <w:tr>
        <w:trPr/>
        <w:tc>
          <w:tcPr>
            <w:tcW w:w="40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maturity securities: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406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Governments</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2,338</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40,352</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(2,093</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States, territories, and possessions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2,041</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(629</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6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Political subdivisions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53"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6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2,617</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25,251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(5,368</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6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66,836</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197,097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(25,040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(28,336</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88,543</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117,318</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(15,834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205,861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(18,248</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available-for-sale investments</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162,375</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(5,900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387,038</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(49,359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549,413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(55,259</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70"/>
        <w:gridCol w:w="60"/>
        <w:gridCol w:w="128"/>
        <w:gridCol w:w="718"/>
        <w:gridCol w:w="61"/>
        <w:gridCol w:w="61"/>
        <w:gridCol w:w="148"/>
        <w:gridCol w:w="772"/>
        <w:gridCol w:w="80"/>
        <w:gridCol w:w="60"/>
        <w:gridCol w:w="140"/>
        <w:gridCol w:w="667"/>
        <w:gridCol w:w="67"/>
        <w:gridCol w:w="67"/>
        <w:gridCol w:w="148"/>
        <w:gridCol w:w="772"/>
        <w:gridCol w:w="80"/>
        <w:gridCol w:w="60"/>
        <w:gridCol w:w="125"/>
        <w:gridCol w:w="695"/>
        <w:gridCol w:w="60"/>
        <w:gridCol w:w="60"/>
        <w:gridCol w:w="148"/>
        <w:gridCol w:w="772"/>
        <w:gridCol w:w="86"/>
      </w:tblGrid>
      <w:tr>
        <w:trPr/>
        <w:tc>
          <w:tcPr>
            <w:tcW w:w="4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Less Than 12 Months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More Than 12 Months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6" w:type="dxa"/>
            <w:tcBorders/>
            <w:shd w:fill="FFFFFF" w:val="clear"/>
            <w:vAlign w:val="center"/>
          </w:tcPr>
          <w:p>
            <w:pPr>
              <w:pStyle w:val="TableContents"/>
              <w:bidi w:val="0"/>
              <w:spacing w:before="0" w:after="283"/>
              <w:jc w:val="left"/>
              <w:rPr/>
            </w:pPr>
            <w:r>
              <w:rPr/>
              <w:t> </w:t>
            </w:r>
          </w:p>
        </w:tc>
      </w:tr>
      <w:tr>
        <w:trPr/>
        <w:tc>
          <w:tcPr>
            <w:tcW w:w="4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60"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89"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6" w:type="dxa"/>
            <w:tcBorders/>
            <w:shd w:fill="FFFFFF" w:val="clear"/>
            <w:vAlign w:val="center"/>
          </w:tcPr>
          <w:p>
            <w:pPr>
              <w:pStyle w:val="TableContents"/>
              <w:bidi w:val="0"/>
              <w:spacing w:before="0" w:after="283"/>
              <w:jc w:val="left"/>
              <w:rPr/>
            </w:pPr>
            <w:r>
              <w:rPr/>
              <w:t> </w:t>
            </w:r>
          </w:p>
        </w:tc>
      </w:tr>
      <w:tr>
        <w:trPr/>
        <w:tc>
          <w:tcPr>
            <w:tcW w:w="41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maturity securities: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41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41,077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6,853</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(2,253</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States, territories, and possessions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Political subdivisions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(621</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7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25,091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(4,487</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192,185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55,605</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(8,481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247,790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(24,148</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118,815</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32,448</w:t>
            </w:r>
          </w:p>
        </w:tc>
        <w:tc>
          <w:tcPr>
            <w:tcW w:w="6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151,263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(14,862</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available-for-sale investments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384,693</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(31,558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99,986</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(15,365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484,679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(46,923</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reviews all securities with unrealized losses on a quarterly basis to assess whether the decline in the securities fair value necessitates the recognition of an allowance for credit losses. The Company considers numerous factors in its review as described in Footnote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of the Notes to the Consolidated Financial Statements in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has recorded an allowance for credit losses for two investment securities. Based on the Company’s review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for the remainder of securities, the Company determined that the fixed maturity securities’ unrealized losses were primarily the result of the interest rate environment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credit quality of the issuers.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sell the investments and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Company will be required to sell the investments before the recovery of their amortized cost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Contractual maturities of available</w:t>
      </w:r>
      <w:r>
        <w:rPr>
          <w:rFonts w:ascii="Times New Roman" w:hAnsi="Times New Roman"/>
          <w:caps w:val="false"/>
          <w:smallCaps w:val="false"/>
          <w:sz w:val="20"/>
        </w:rPr>
        <w:noBreakHyphen/>
      </w:r>
      <w:r>
        <w:rPr>
          <w:rFonts w:ascii="Times New Roman" w:hAnsi="Times New Roman"/>
          <w:i/>
          <w:caps w:val="false"/>
          <w:smallCaps w:val="false"/>
          <w:sz w:val="20"/>
        </w:rPr>
        <w:t>for</w:t>
      </w:r>
      <w:r>
        <w:rPr>
          <w:rFonts w:ascii="Times New Roman" w:hAnsi="Times New Roman"/>
          <w:caps w:val="false"/>
          <w:smallCaps w:val="false"/>
          <w:sz w:val="20"/>
        </w:rPr>
        <w:noBreakHyphen/>
      </w:r>
      <w:r>
        <w:rPr>
          <w:rFonts w:ascii="Times New Roman" w:hAnsi="Times New Roman"/>
          <w:i/>
          <w:caps w:val="false"/>
          <w:smallCaps w:val="false"/>
          <w:sz w:val="20"/>
        </w:rPr>
        <w:t>sale fixed maturity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amortized cost and fair value of fixed maturity securities at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by contractual maturity, are shown below.</w:t>
      </w:r>
    </w:p>
    <w:p>
      <w:pPr>
        <w:pStyle w:val="TextBody"/>
        <w:bidi w:val="0"/>
        <w:spacing w:before="0" w:after="0"/>
        <w:ind w:left="0" w:right="0" w:hanging="0"/>
        <w:jc w:val="left"/>
        <w:rPr>
          <w:caps w:val="false"/>
          <w:smallCaps w:val="false"/>
        </w:rPr>
      </w:pPr>
      <w:r>
        <w:rPr>
          <w:caps w:val="false"/>
          <w:smallCaps w:val="false"/>
        </w:rPr>
        <w:t> </w:t>
      </w:r>
    </w:p>
    <w:tbl>
      <w:tblPr>
        <w:tblW w:w="4985" w:type="dxa"/>
        <w:jc w:val="left"/>
        <w:tblInd w:w="0" w:type="dxa"/>
        <w:tblLayout w:type="fixed"/>
        <w:tblCellMar>
          <w:top w:w="0" w:type="dxa"/>
          <w:left w:w="0" w:type="dxa"/>
          <w:bottom w:w="0" w:type="dxa"/>
          <w:right w:w="0" w:type="dxa"/>
        </w:tblCellMar>
      </w:tblPr>
      <w:tblGrid>
        <w:gridCol w:w="3050"/>
        <w:gridCol w:w="60"/>
        <w:gridCol w:w="133"/>
        <w:gridCol w:w="742"/>
        <w:gridCol w:w="60"/>
        <w:gridCol w:w="60"/>
        <w:gridCol w:w="125"/>
        <w:gridCol w:w="695"/>
        <w:gridCol w:w="60"/>
      </w:tblGrid>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within one year</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40,783</w:t>
            </w:r>
          </w:p>
        </w:tc>
        <w:tc>
          <w:tcPr>
            <w:tcW w:w="6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after one year through five years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170,789</w:t>
            </w:r>
          </w:p>
        </w:tc>
        <w:tc>
          <w:tcPr>
            <w:tcW w:w="6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after five years through ten years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131,751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114,833</w:t>
            </w:r>
          </w:p>
        </w:tc>
        <w:tc>
          <w:tcPr>
            <w:tcW w:w="6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after ten years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30,147</w:t>
            </w:r>
          </w:p>
        </w:tc>
        <w:tc>
          <w:tcPr>
            <w:tcW w:w="6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Mortgage and asset-backed securities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253,287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235,355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647,579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591,907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Expected maturities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differ from contractual maturities because borrowers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have the right to call or prepay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Net investment income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investment income is summarized as follows:</w:t>
      </w:r>
    </w:p>
    <w:p>
      <w:pPr>
        <w:pStyle w:val="TextBody"/>
        <w:bidi w:val="0"/>
        <w:spacing w:before="0" w:after="0"/>
        <w:ind w:left="0" w:right="0" w:hanging="0"/>
        <w:jc w:val="left"/>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1895"/>
        <w:gridCol w:w="60"/>
        <w:gridCol w:w="161"/>
        <w:gridCol w:w="627"/>
        <w:gridCol w:w="103"/>
        <w:gridCol w:w="77"/>
        <w:gridCol w:w="161"/>
        <w:gridCol w:w="627"/>
        <w:gridCol w:w="80"/>
        <w:gridCol w:w="60"/>
        <w:gridCol w:w="142"/>
        <w:gridCol w:w="672"/>
        <w:gridCol w:w="91"/>
        <w:gridCol w:w="68"/>
        <w:gridCol w:w="142"/>
        <w:gridCol w:w="552"/>
        <w:gridCol w:w="80"/>
      </w:tblGrid>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5,952</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16,468</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9,328</w:t>
            </w:r>
          </w:p>
        </w:tc>
        <w:tc>
          <w:tcPr>
            <w:tcW w:w="8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income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w:t>
            </w:r>
          </w:p>
        </w:tc>
        <w:tc>
          <w:tcPr>
            <w:tcW w:w="8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expense</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w:t>
            </w:r>
          </w:p>
        </w:tc>
        <w:tc>
          <w:tcPr>
            <w:tcW w:w="10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(380</w:t>
            </w:r>
          </w:p>
        </w:tc>
        <w:tc>
          <w:tcPr>
            <w:tcW w:w="9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investment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6,029</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16,690</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9,462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Net realized and unrealized investment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net realized and unrealized investment gains and losses:</w:t>
      </w:r>
    </w:p>
    <w:p>
      <w:pPr>
        <w:pStyle w:val="TextBody"/>
        <w:bidi w:val="0"/>
        <w:spacing w:before="0" w:after="0"/>
        <w:ind w:left="0" w:right="0" w:hanging="0"/>
        <w:jc w:val="left"/>
        <w:rPr>
          <w:caps w:val="false"/>
          <w:smallCaps w:val="false"/>
        </w:rPr>
      </w:pPr>
      <w:r>
        <w:rPr>
          <w:caps w:val="false"/>
          <w:smallCaps w:val="false"/>
        </w:rPr>
        <w:t> </w:t>
      </w:r>
    </w:p>
    <w:tbl>
      <w:tblPr>
        <w:tblW w:w="8344" w:type="dxa"/>
        <w:jc w:val="left"/>
        <w:tblInd w:w="0" w:type="dxa"/>
        <w:tblLayout w:type="fixed"/>
        <w:tblCellMar>
          <w:top w:w="0" w:type="dxa"/>
          <w:left w:w="0" w:type="dxa"/>
          <w:bottom w:w="0" w:type="dxa"/>
          <w:right w:w="0" w:type="dxa"/>
        </w:tblCellMar>
      </w:tblPr>
      <w:tblGrid>
        <w:gridCol w:w="4640"/>
        <w:gridCol w:w="60"/>
        <w:gridCol w:w="148"/>
        <w:gridCol w:w="648"/>
        <w:gridCol w:w="95"/>
        <w:gridCol w:w="71"/>
        <w:gridCol w:w="148"/>
        <w:gridCol w:w="648"/>
        <w:gridCol w:w="80"/>
        <w:gridCol w:w="60"/>
        <w:gridCol w:w="156"/>
        <w:gridCol w:w="495"/>
        <w:gridCol w:w="100"/>
        <w:gridCol w:w="75"/>
        <w:gridCol w:w="156"/>
        <w:gridCol w:w="684"/>
        <w:gridCol w:w="80"/>
      </w:tblGrid>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8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Realized gains: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Gains on sales of fixed maturity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Gains on sales of equity securities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495" w:type="dxa"/>
            <w:tcBorders/>
            <w:shd w:fill="CCEEFF" w:val="clear"/>
            <w:vAlign w:val="center"/>
          </w:tcPr>
          <w:p>
            <w:pPr>
              <w:pStyle w:val="TableContents"/>
              <w:bidi w:val="0"/>
              <w:spacing w:before="0" w:after="283"/>
              <w:ind w:left="0" w:right="0" w:hanging="0"/>
              <w:jc w:val="right"/>
              <w:rPr/>
            </w:pPr>
            <w:r>
              <w:rPr/>
              <w:t>—</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realized gains</w:t>
            </w:r>
          </w:p>
        </w:tc>
        <w:tc>
          <w:tcPr>
            <w:tcW w:w="60" w:type="dxa"/>
            <w:tcBorders/>
            <w:shd w:fill="FFFFFF" w:val="clear"/>
            <w:vAlign w:val="center"/>
          </w:tcPr>
          <w:p>
            <w:pPr>
              <w:pStyle w:val="TableContents"/>
              <w:bidi w:val="0"/>
              <w:spacing w:before="0" w:after="283"/>
              <w:jc w:val="left"/>
              <w:rPr/>
            </w:pPr>
            <w:r>
              <w:rPr/>
              <w:t> </w:t>
            </w:r>
          </w:p>
        </w:tc>
        <w:tc>
          <w:tcPr>
            <w:tcW w:w="14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64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pPr>
            <w:r>
              <w:rPr/>
              <w:t>—</w:t>
            </w:r>
          </w:p>
        </w:tc>
        <w:tc>
          <w:tcPr>
            <w:tcW w:w="9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64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49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10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684"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Realized losses: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Losses on sales of fixed maturity securities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4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10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Losses on sales of equity securities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495" w:type="dxa"/>
            <w:tcBorders/>
            <w:shd w:fill="CCEEFF" w:val="clear"/>
            <w:vAlign w:val="center"/>
          </w:tcPr>
          <w:p>
            <w:pPr>
              <w:pStyle w:val="TableContents"/>
              <w:bidi w:val="0"/>
              <w:spacing w:before="0" w:after="283"/>
              <w:ind w:left="0" w:right="0" w:hanging="0"/>
              <w:jc w:val="right"/>
              <w:rPr/>
            </w:pPr>
            <w:r>
              <w:rPr/>
              <w:t>—</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realized losses</w:t>
            </w:r>
          </w:p>
        </w:tc>
        <w:tc>
          <w:tcPr>
            <w:tcW w:w="60" w:type="dxa"/>
            <w:tcBorders/>
            <w:shd w:fill="FFFFFF" w:val="clear"/>
            <w:vAlign w:val="center"/>
          </w:tcPr>
          <w:p>
            <w:pPr>
              <w:pStyle w:val="TableContents"/>
              <w:bidi w:val="0"/>
              <w:spacing w:before="0" w:after="283"/>
              <w:jc w:val="left"/>
              <w:rPr/>
            </w:pPr>
            <w:r>
              <w:rPr/>
              <w:t> </w:t>
            </w:r>
          </w:p>
        </w:tc>
        <w:tc>
          <w:tcPr>
            <w:tcW w:w="14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64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pPr>
            <w:r>
              <w:rPr/>
              <w:t>—</w:t>
            </w:r>
          </w:p>
        </w:tc>
        <w:tc>
          <w:tcPr>
            <w:tcW w:w="9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64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w:t>
            </w:r>
          </w:p>
        </w:tc>
        <w:tc>
          <w:tcPr>
            <w:tcW w:w="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49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10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 w:type="dxa"/>
            <w:tcBorders/>
            <w:shd w:fill="FFFFFF" w:val="clear"/>
            <w:vAlign w:val="center"/>
          </w:tcPr>
          <w:p>
            <w:pPr>
              <w:pStyle w:val="TableContents"/>
              <w:bidi w:val="0"/>
              <w:spacing w:before="0" w:after="283"/>
              <w:jc w:val="left"/>
              <w:rPr/>
            </w:pPr>
            <w:r>
              <w:rPr/>
              <w:t> </w:t>
            </w:r>
          </w:p>
        </w:tc>
        <w:tc>
          <w:tcPr>
            <w:tcW w:w="15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684"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w:t>
            </w:r>
          </w:p>
        </w:tc>
        <w:tc>
          <w:tcPr>
            <w:tcW w:w="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realized investment gains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4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allowance for credit losses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4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(667</w:t>
            </w:r>
          </w:p>
        </w:tc>
        <w:tc>
          <w:tcPr>
            <w:tcW w:w="10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unrealized (losses) gains on equity securities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(1,299</w:t>
            </w:r>
          </w:p>
        </w:tc>
        <w:tc>
          <w:tcPr>
            <w:tcW w:w="9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4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608</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(8,070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unrealized losses on equity method investment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(77</w:t>
            </w:r>
          </w:p>
        </w:tc>
        <w:tc>
          <w:tcPr>
            <w:tcW w:w="9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(77</w:t>
            </w:r>
          </w:p>
        </w:tc>
        <w:tc>
          <w:tcPr>
            <w:tcW w:w="10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realized and unrealized gains (losses) on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(1,376</w:t>
            </w:r>
          </w:p>
        </w:tc>
        <w:tc>
          <w:tcPr>
            <w:tcW w:w="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ind w:left="0" w:right="0" w:hanging="0"/>
              <w:jc w:val="left"/>
              <w:rPr/>
            </w:pPr>
            <w:r>
              <w:rPr/>
              <w:t> </w:t>
            </w:r>
          </w:p>
        </w:tc>
        <w:tc>
          <w:tcPr>
            <w:tcW w:w="14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(2,356</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 w:type="dxa"/>
            <w:tcBorders/>
            <w:shd w:fill="CCEEFF" w:val="clear"/>
            <w:vAlign w:val="center"/>
          </w:tcPr>
          <w:p>
            <w:pPr>
              <w:pStyle w:val="TableContents"/>
              <w:bidi w:val="0"/>
              <w:spacing w:before="0" w:after="283"/>
              <w:ind w:left="0" w:right="0" w:hanging="0"/>
              <w:jc w:val="left"/>
              <w:rPr/>
            </w:pPr>
            <w:r>
              <w:rPr/>
              <w:t> </w:t>
            </w:r>
          </w:p>
        </w:tc>
        <w:tc>
          <w:tcPr>
            <w:tcW w:w="15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(8,369</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Realized gains and losses on disposition of investments are based on specific identification of the investments sold on the settlement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Proceeds from the sale of fixed maturity securities were insignificant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Proceeds from the sale of fixed maturity securities were $9.8 million and $5.8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Company places securities on statutory deposit with certain state agencies to retain the right to do business in those states. These securities are included in available</w:t>
        <w:noBreakHyphen/>
        <w:t>for</w:t>
        <w:noBreakHyphen/>
        <w:t xml:space="preserve">sale investments on the balance sheet.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the carrying value of securities on deposit with state regulatory authorities was $8.6 million and $8.5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Fair value is defined as the price that the Company would receive upon selling an investment in an orderly transaction to an independent buyer in the principal or most advantageous market of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three</w:t>
        <w:noBreakHyphen/>
        <w:t xml:space="preserve">tier hierarchy of inputs is summarized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broad levels listed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Level </w:t>
      </w:r>
      <w:r>
        <w:rPr>
          <w:rStyle w:val="Emphasis"/>
          <w:rFonts w:ascii="Times New Roman" w:hAnsi="Times New Roman"/>
          <w:caps w:val="false"/>
          <w:smallCaps w:val="false"/>
          <w:sz w:val="20"/>
        </w:rPr>
        <w:t>1—Unadjusted</w:t>
      </w:r>
      <w:r>
        <w:rPr>
          <w:rFonts w:ascii="Times New Roman" w:hAnsi="Times New Roman"/>
          <w:caps w:val="false"/>
          <w:smallCaps w:val="false"/>
          <w:sz w:val="20"/>
        </w:rPr>
        <w:t xml:space="preserve"> quoted prices are available in active markets for identical investments as of the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Level </w:t>
      </w:r>
      <w:r>
        <w:rPr>
          <w:rStyle w:val="Emphasis"/>
          <w:rFonts w:ascii="Times New Roman" w:hAnsi="Times New Roman"/>
          <w:caps w:val="false"/>
          <w:smallCaps w:val="false"/>
          <w:sz w:val="20"/>
        </w:rPr>
        <w:t>2—Pricing</w:t>
      </w:r>
      <w:r>
        <w:rPr>
          <w:rFonts w:ascii="Times New Roman" w:hAnsi="Times New Roman"/>
          <w:caps w:val="false"/>
          <w:smallCaps w:val="false"/>
          <w:sz w:val="20"/>
        </w:rPr>
        <w:t xml:space="preserve"> inputs are quoted prices for similar investments in active markets; quoted prices for identical or similar investments in inactive markets; or valuations based on models where the significant inputs are observable or can be corroborated by observable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Level </w:t>
      </w:r>
      <w:r>
        <w:rPr>
          <w:rStyle w:val="Emphasis"/>
          <w:rFonts w:ascii="Times New Roman" w:hAnsi="Times New Roman"/>
          <w:caps w:val="false"/>
          <w:smallCaps w:val="false"/>
          <w:sz w:val="20"/>
        </w:rPr>
        <w:t>3—Pricing</w:t>
      </w:r>
      <w:r>
        <w:rPr>
          <w:rFonts w:ascii="Times New Roman" w:hAnsi="Times New Roman"/>
          <w:caps w:val="false"/>
          <w:smallCaps w:val="false"/>
          <w:sz w:val="20"/>
        </w:rPr>
        <w:t xml:space="preserve"> inputs into models are unobservable for the investment. The unobservable inputs require significant management judgment or estimation.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To measure fair value, the Company obtains quoted market prices for its investment securities from its outside investment managers. If a quoted market price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 the Company uses prices of similar securities. The fair values obtained from the outside investment managers are reviewed for reasonableness and any discrepancies are investigated for final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fair value of the Company’s investments in fixed maturity securities is estimated using relevant inputs, including available market information, benchmark curves, benchmarking of like securities, sector groupings, and matrix pricing. An Option Adjusted Spread model is also used to develop prepayment and interest rate scenarios. Industry standard models are used to analyze and value securities with embedded options or prepayment sensitivities. These fair value measurements are estimated based on observable, objectively verifiable market information rather than market quotes. Therefore, these investments are classified and disclosed in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the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tables present the hierarchy for financial assets and liabilities measured at fair value on a recurring basis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349" w:type="dxa"/>
        <w:jc w:val="left"/>
        <w:tblInd w:w="0" w:type="dxa"/>
        <w:tblLayout w:type="fixed"/>
        <w:tblCellMar>
          <w:top w:w="0" w:type="dxa"/>
          <w:left w:w="0" w:type="dxa"/>
          <w:bottom w:w="28" w:type="dxa"/>
          <w:right w:w="0" w:type="dxa"/>
        </w:tblCellMar>
      </w:tblPr>
      <w:tblGrid>
        <w:gridCol w:w="4895"/>
        <w:gridCol w:w="60"/>
        <w:gridCol w:w="125"/>
        <w:gridCol w:w="590"/>
        <w:gridCol w:w="60"/>
        <w:gridCol w:w="60"/>
        <w:gridCol w:w="125"/>
        <w:gridCol w:w="695"/>
        <w:gridCol w:w="60"/>
        <w:gridCol w:w="60"/>
        <w:gridCol w:w="200"/>
        <w:gridCol w:w="419"/>
        <w:gridCol w:w="60"/>
        <w:gridCol w:w="60"/>
        <w:gridCol w:w="125"/>
        <w:gridCol w:w="695"/>
        <w:gridCol w:w="60"/>
      </w:tblGrid>
      <w:tr>
        <w:trPr/>
        <w:tc>
          <w:tcPr>
            <w:tcW w:w="48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September 30, 2023</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334" w:type="dxa"/>
            <w:gridSpan w:val="14"/>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41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maturity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41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42,690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States, territories, and possessions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Political subdivisions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27,868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276,933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276,933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235,355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235,355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Equity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39,835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53,288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1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53,288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93,123</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591,907</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685,030</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454" w:type="dxa"/>
        <w:jc w:val="left"/>
        <w:tblInd w:w="0" w:type="dxa"/>
        <w:tblLayout w:type="fixed"/>
        <w:tblCellMar>
          <w:top w:w="0" w:type="dxa"/>
          <w:left w:w="0" w:type="dxa"/>
          <w:bottom w:w="28" w:type="dxa"/>
          <w:right w:w="0" w:type="dxa"/>
        </w:tblCellMar>
      </w:tblPr>
      <w:tblGrid>
        <w:gridCol w:w="4895"/>
        <w:gridCol w:w="60"/>
        <w:gridCol w:w="125"/>
        <w:gridCol w:w="695"/>
        <w:gridCol w:w="60"/>
        <w:gridCol w:w="60"/>
        <w:gridCol w:w="125"/>
        <w:gridCol w:w="695"/>
        <w:gridCol w:w="60"/>
        <w:gridCol w:w="60"/>
        <w:gridCol w:w="200"/>
        <w:gridCol w:w="419"/>
        <w:gridCol w:w="60"/>
        <w:gridCol w:w="60"/>
        <w:gridCol w:w="125"/>
        <w:gridCol w:w="695"/>
        <w:gridCol w:w="60"/>
      </w:tblGrid>
      <w:tr>
        <w:trPr/>
        <w:tc>
          <w:tcPr>
            <w:tcW w:w="48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439" w:type="dxa"/>
            <w:gridSpan w:val="14"/>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41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Fixed maturity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41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48,551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States, territories, and possessions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Political subdivisions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32,799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254,095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254,095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169,967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169,967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Equity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38,576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68,164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1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68,164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106,740</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515,064</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621,804</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carrying amounts of financial assets and liabilities reported in the accompanying condensed consolidated balance sheet including cash and cash equivalents, restricted cash, receivables, reinsurance recoverable, and accounts payable and other accrued liabilities approximate fair value due to their short term</w:t>
        <w:noBreakHyphen/>
        <w:t>maturity. The carrying amount of the Company’s borrowings under the Federal Home Loan Bank (“FHLB”) line of credit and U.S. Bank credit agreement (the “Credit Agreement”) approximate fair value as the Company is currently borrowing at a variable rate which frequently reprices at market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Transfers between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and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securities result from changes in the availability of observable market inputs and are recorded at the beginning of the reporting period.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 Company had no fixed income securities classified as Level </w:t>
      </w:r>
      <w:r>
        <w:rPr>
          <w:rStyle w:val="Emphasis"/>
          <w:rFonts w:ascii="Times New Roman" w:hAnsi="Times New Roman"/>
          <w:caps w:val="false"/>
          <w:smallCaps w:val="false"/>
          <w:sz w:val="2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Reserve for Losses and Loss Adjustment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represents a reconciliation of changes in the ending reserve balances for losses and loss adjustment expenses (“LAE”):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24"/>
        <w:gridCol w:w="60"/>
        <w:gridCol w:w="170"/>
        <w:gridCol w:w="952"/>
        <w:gridCol w:w="109"/>
        <w:gridCol w:w="82"/>
        <w:gridCol w:w="170"/>
        <w:gridCol w:w="952"/>
        <w:gridCol w:w="80"/>
        <w:gridCol w:w="60"/>
        <w:gridCol w:w="168"/>
        <w:gridCol w:w="940"/>
        <w:gridCol w:w="81"/>
        <w:gridCol w:w="81"/>
        <w:gridCol w:w="168"/>
        <w:gridCol w:w="940"/>
        <w:gridCol w:w="68"/>
      </w:tblGrid>
      <w:tr>
        <w:trPr/>
        <w:tc>
          <w:tcPr>
            <w:tcW w:w="5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1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1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8"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8" w:type="dxa"/>
            <w:tcBorders/>
            <w:shd w:fill="FFFFFF" w:val="clear"/>
            <w:vAlign w:val="center"/>
          </w:tcPr>
          <w:p>
            <w:pPr>
              <w:pStyle w:val="TableContents"/>
              <w:bidi w:val="0"/>
              <w:spacing w:before="0" w:after="283"/>
              <w:jc w:val="left"/>
              <w:rPr/>
            </w:pPr>
            <w:r>
              <w:rPr/>
              <w:t> </w:t>
            </w:r>
          </w:p>
        </w:tc>
      </w:tr>
      <w:tr>
        <w:trPr/>
        <w:tc>
          <w:tcPr>
            <w:tcW w:w="512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 for losses and LAE net of reinsurance recoverables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81,300</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55,769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77,520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45,419</w:t>
            </w:r>
          </w:p>
        </w:tc>
        <w:tc>
          <w:tcPr>
            <w:tcW w:w="68" w:type="dxa"/>
            <w:tcBorders/>
            <w:shd w:fill="CCEEFF" w:val="clear"/>
            <w:vAlign w:val="center"/>
          </w:tcPr>
          <w:p>
            <w:pPr>
              <w:pStyle w:val="TableContents"/>
              <w:bidi w:val="0"/>
              <w:spacing w:before="0" w:after="283"/>
              <w:jc w:val="left"/>
              <w:rPr/>
            </w:pPr>
            <w:r>
              <w:rPr/>
              <w:t> </w:t>
            </w:r>
          </w:p>
        </w:tc>
      </w:tr>
      <w:tr>
        <w:trPr/>
        <w:tc>
          <w:tcPr>
            <w:tcW w:w="5124"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Add: Incurred losses and LAE, net of reinsurance, related to:</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r>
      <w:tr>
        <w:trPr/>
        <w:tc>
          <w:tcPr>
            <w:tcW w:w="5124"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Current year</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15,116</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50,954</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58,703</w:t>
            </w:r>
          </w:p>
        </w:tc>
        <w:tc>
          <w:tcPr>
            <w:tcW w:w="68" w:type="dxa"/>
            <w:tcBorders/>
            <w:shd w:fill="CCEEFF" w:val="clear"/>
            <w:vAlign w:val="center"/>
          </w:tcPr>
          <w:p>
            <w:pPr>
              <w:pStyle w:val="TableContents"/>
              <w:bidi w:val="0"/>
              <w:spacing w:before="0" w:after="283"/>
              <w:jc w:val="left"/>
              <w:rPr/>
            </w:pPr>
            <w:r>
              <w:rPr/>
              <w:t> </w:t>
            </w:r>
          </w:p>
        </w:tc>
      </w:tr>
      <w:tr>
        <w:trPr/>
        <w:tc>
          <w:tcPr>
            <w:tcW w:w="5124"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Prior years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1,023</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3,742</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1,548</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2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incurred</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16,139</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54,696</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60,251</w:t>
            </w:r>
          </w:p>
        </w:tc>
        <w:tc>
          <w:tcPr>
            <w:tcW w:w="68" w:type="dxa"/>
            <w:tcBorders/>
            <w:shd w:fill="CCEEFF" w:val="clear"/>
            <w:vAlign w:val="center"/>
          </w:tcPr>
          <w:p>
            <w:pPr>
              <w:pStyle w:val="TableContents"/>
              <w:bidi w:val="0"/>
              <w:spacing w:before="0" w:after="283"/>
              <w:jc w:val="left"/>
              <w:rPr/>
            </w:pPr>
            <w:r>
              <w:rPr/>
              <w:t> </w:t>
            </w:r>
          </w:p>
        </w:tc>
      </w:tr>
      <w:tr>
        <w:trPr/>
        <w:tc>
          <w:tcPr>
            <w:tcW w:w="5124"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Deduct: Loss and LAE payments, net of reinsurance, related to:</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r>
      <w:tr>
        <w:trPr/>
        <w:tc>
          <w:tcPr>
            <w:tcW w:w="5124"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Current year</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6,646</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14,215</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13,762</w:t>
            </w:r>
          </w:p>
        </w:tc>
        <w:tc>
          <w:tcPr>
            <w:tcW w:w="68" w:type="dxa"/>
            <w:tcBorders/>
            <w:shd w:fill="CCEEFF" w:val="clear"/>
            <w:vAlign w:val="center"/>
          </w:tcPr>
          <w:p>
            <w:pPr>
              <w:pStyle w:val="TableContents"/>
              <w:bidi w:val="0"/>
              <w:spacing w:before="0" w:after="283"/>
              <w:jc w:val="left"/>
              <w:rPr/>
            </w:pPr>
            <w:r>
              <w:rPr/>
              <w:t> </w:t>
            </w:r>
          </w:p>
        </w:tc>
      </w:tr>
      <w:tr>
        <w:trPr/>
        <w:tc>
          <w:tcPr>
            <w:tcW w:w="5124"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Prior years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(1,385</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4,548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25,823</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17,660</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2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payments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5,261</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40,038</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31,422</w:t>
            </w:r>
          </w:p>
        </w:tc>
        <w:tc>
          <w:tcPr>
            <w:tcW w:w="68" w:type="dxa"/>
            <w:tcBorders/>
            <w:shd w:fill="CCEEFF" w:val="clear"/>
            <w:vAlign w:val="center"/>
          </w:tcPr>
          <w:p>
            <w:pPr>
              <w:pStyle w:val="TableContents"/>
              <w:bidi w:val="0"/>
              <w:spacing w:before="0" w:after="283"/>
              <w:jc w:val="left"/>
              <w:rPr/>
            </w:pPr>
            <w:r>
              <w:rPr/>
              <w:t> </w:t>
            </w:r>
          </w:p>
        </w:tc>
      </w:tr>
      <w:tr>
        <w:trPr/>
        <w:tc>
          <w:tcPr>
            <w:tcW w:w="5124"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Reserve for losses and LAE net of reinsurance recoverables at end of period</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92,178</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74,248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92,178</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74,248</w:t>
            </w:r>
          </w:p>
        </w:tc>
        <w:tc>
          <w:tcPr>
            <w:tcW w:w="68" w:type="dxa"/>
            <w:tcBorders/>
            <w:shd w:fill="FFFFFF" w:val="clear"/>
            <w:vAlign w:val="center"/>
          </w:tcPr>
          <w:p>
            <w:pPr>
              <w:pStyle w:val="TableContents"/>
              <w:bidi w:val="0"/>
              <w:spacing w:before="0" w:after="283"/>
              <w:jc w:val="left"/>
              <w:rPr/>
            </w:pPr>
            <w:r>
              <w:rPr/>
              <w:t> </w:t>
            </w:r>
          </w:p>
        </w:tc>
      </w:tr>
      <w:tr>
        <w:trPr/>
        <w:tc>
          <w:tcPr>
            <w:tcW w:w="5124"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Add: Reinsurance recoverables on unpaid losses and LAE at end of period</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232,170</w:t>
            </w:r>
          </w:p>
        </w:tc>
        <w:tc>
          <w:tcPr>
            <w:tcW w:w="10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131,575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232,170</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131,575</w:t>
            </w:r>
          </w:p>
        </w:tc>
        <w:tc>
          <w:tcPr>
            <w:tcW w:w="6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24"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Reserve for losses and LAE gross of reinsurance recoverables on unpaid losses and LAE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324,348</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205,823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324,348</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205,823</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Considerable variability is inherent in the estimate of the reserve for losses and LAE. Although management believes the liability recorded for losses and LAE is adequate, the variability inherent in this estimate could result in changes to the ultimate liability,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material to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experienced adverse prior year development of $1.0 million and insignificant prior year development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experienced adverse prior year development of $3.7 million and adverse prior year development of $1.5 million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Adverse prior year development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was primarily due to higher than anticipated severity of attritional losses, offset by lower than anticipated severity of catastrophe losses.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Adverse prior year development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was primarily due to higher than anticipated severity of attritional losses, offset by lower than anticipated severity of catastrophe losses. Adverse prior year development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2022</w:t>
      </w:r>
      <w:r>
        <w:rPr>
          <w:rFonts w:ascii="Times New Roman" w:hAnsi="Times New Roman"/>
          <w:caps w:val="false"/>
          <w:smallCaps w:val="false"/>
          <w:sz w:val="20"/>
        </w:rPr>
        <w:t xml:space="preserve"> was primarily due to higher than anticipated severity of attritional and catastrophe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Common stock reserved for future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Common stock reserved for future issuance consists of the following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6515"/>
        <w:gridCol w:w="60"/>
        <w:gridCol w:w="60"/>
        <w:gridCol w:w="845"/>
        <w:gridCol w:w="60"/>
      </w:tblGrid>
      <w:tr>
        <w:trPr/>
        <w:tc>
          <w:tcPr>
            <w:tcW w:w="65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options outstanding under 2019 Equity Incentive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838,706</w:t>
            </w:r>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stock units outstanding under 2019 Equity Incentive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339,505</w:t>
            </w:r>
          </w:p>
        </w:tc>
        <w:tc>
          <w:tcPr>
            <w:tcW w:w="60"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Performance stock units outstanding under 2019 Equity Incentive Plan, at target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424,393</w:t>
            </w:r>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authorized for future issuance under 2019 Equity Incentive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3,134,739</w:t>
            </w:r>
          </w:p>
        </w:tc>
        <w:tc>
          <w:tcPr>
            <w:tcW w:w="60"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authorized for future issuance under 2019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1,130,770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5,868,113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Stock 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below table summarizes the Company’s stock-based compensation expense for each period presented:</w:t>
      </w:r>
    </w:p>
    <w:p>
      <w:pPr>
        <w:pStyle w:val="TextBody"/>
        <w:bidi w:val="0"/>
        <w:spacing w:before="0" w:after="0"/>
        <w:ind w:left="0" w:right="0" w:hanging="0"/>
        <w:jc w:val="left"/>
        <w:rPr>
          <w:caps w:val="false"/>
          <w:smallCaps w:val="false"/>
        </w:rPr>
      </w:pPr>
      <w:r>
        <w:rPr>
          <w:caps w:val="false"/>
          <w:smallCaps w:val="false"/>
        </w:rPr>
        <w:t> </w:t>
      </w:r>
    </w:p>
    <w:tbl>
      <w:tblPr>
        <w:tblW w:w="8363" w:type="dxa"/>
        <w:jc w:val="left"/>
        <w:tblInd w:w="0" w:type="dxa"/>
        <w:tblLayout w:type="fixed"/>
        <w:tblCellMar>
          <w:top w:w="0" w:type="dxa"/>
          <w:left w:w="0" w:type="dxa"/>
          <w:bottom w:w="0" w:type="dxa"/>
          <w:right w:w="0" w:type="dxa"/>
        </w:tblCellMar>
      </w:tblPr>
      <w:tblGrid>
        <w:gridCol w:w="2270"/>
        <w:gridCol w:w="60"/>
        <w:gridCol w:w="277"/>
        <w:gridCol w:w="1076"/>
        <w:gridCol w:w="133"/>
        <w:gridCol w:w="133"/>
        <w:gridCol w:w="277"/>
        <w:gridCol w:w="1076"/>
        <w:gridCol w:w="60"/>
        <w:gridCol w:w="60"/>
        <w:gridCol w:w="249"/>
        <w:gridCol w:w="1177"/>
        <w:gridCol w:w="119"/>
        <w:gridCol w:w="119"/>
        <w:gridCol w:w="249"/>
        <w:gridCol w:w="968"/>
        <w:gridCol w:w="60"/>
      </w:tblGrid>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3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12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1"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3,589</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10,737</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8,556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Stock-based compensation expense is recognized on a straight-line basis over the vesting period of equity-based awards. For performance stock units (“PSUs”), any changes to expense resulting from differences in actual performance versus target are recognized over the remaining vesting period of the awards.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apply a forfeiture rate to unvested awards and accounts for forfeitures as they occur. All stock-based compensation is included in other underwriting expenses in the Company’s unaudited condensed consolidated statement of income and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i/>
          <w:caps w:val="false"/>
          <w:smallCaps w:val="false"/>
          <w:sz w:val="20"/>
        </w:rPr>
        <w:t>2019</w:t>
      </w:r>
      <w:r>
        <w:rPr>
          <w:rFonts w:ascii="Times New Roman" w:hAnsi="Times New Roman"/>
          <w:i/>
          <w:caps w:val="false"/>
          <w:smallCaps w:val="false"/>
          <w:sz w:val="20"/>
        </w:rPr>
        <w:t xml:space="preserve">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16, 2019, </w:t>
      </w:r>
      <w:r>
        <w:rPr>
          <w:rFonts w:ascii="Times New Roman" w:hAnsi="Times New Roman"/>
          <w:caps w:val="false"/>
          <w:smallCaps w:val="false"/>
          <w:sz w:val="20"/>
        </w:rPr>
        <w:t xml:space="preserve">the Company's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became effective.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provides for the grant of stock options, stock appreciation rights, restricted stock, restricted stock units (“RSUs”), performance shares and units, and other cash-based or share-based awards. In addition,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contains a mechanism through which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adopt a deferred compensation arrangement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 total of 2,400,000 shares of common stock were initially authorized and reserved for issuance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This reserve increases on </w:t>
      </w:r>
      <w:r>
        <w:rPr>
          <w:rStyle w:val="Emphasis"/>
          <w:rFonts w:ascii="Times New Roman" w:hAnsi="Times New Roman"/>
          <w:caps w:val="false"/>
          <w:smallCaps w:val="false"/>
          <w:sz w:val="20"/>
        </w:rPr>
        <w:t xml:space="preserve">January 1 </w:t>
      </w:r>
      <w:r>
        <w:rPr>
          <w:rFonts w:ascii="Times New Roman" w:hAnsi="Times New Roman"/>
          <w:caps w:val="false"/>
          <w:smallCaps w:val="false"/>
          <w:sz w:val="20"/>
        </w:rPr>
        <w:t xml:space="preserve">of each year through </w:t>
      </w:r>
      <w:r>
        <w:rPr>
          <w:rStyle w:val="Emphasis"/>
          <w:rFonts w:ascii="Times New Roman" w:hAnsi="Times New Roman"/>
          <w:caps w:val="false"/>
          <w:smallCaps w:val="false"/>
          <w:sz w:val="20"/>
        </w:rPr>
        <w:t>2029</w:t>
      </w:r>
      <w:r>
        <w:rPr>
          <w:rFonts w:ascii="Times New Roman" w:hAnsi="Times New Roman"/>
          <w:caps w:val="false"/>
          <w:smallCaps w:val="false"/>
          <w:sz w:val="20"/>
        </w:rPr>
        <w:t xml:space="preserve"> by an amount equal to the smaller of: 3% of the number of shares of common stock issued and outstanding on the immediately preceding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or an amount determined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Recipients of stock options can purchase shares of the Company’s common stock at a price equal to the stock's fair market value on the grant date, determined by the closing price of the Company's common stock on the grant date. Stock options vest over a two to four-year period with a portion vesting on the first anniversary of the grant date and the remainder vesting monthly over the remaining period, subject to continued service. Stock options expire ten years after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summarizes stock option transactions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0"/>
        <w:gridCol w:w="60"/>
        <w:gridCol w:w="81"/>
        <w:gridCol w:w="946"/>
        <w:gridCol w:w="80"/>
        <w:gridCol w:w="60"/>
        <w:gridCol w:w="407"/>
        <w:gridCol w:w="1586"/>
        <w:gridCol w:w="60"/>
        <w:gridCol w:w="60"/>
        <w:gridCol w:w="491"/>
        <w:gridCol w:w="2260"/>
        <w:gridCol w:w="60"/>
        <w:gridCol w:w="60"/>
        <w:gridCol w:w="320"/>
        <w:gridCol w:w="1518"/>
        <w:gridCol w:w="66"/>
      </w:tblGrid>
      <w:tr>
        <w:trPr/>
        <w:tc>
          <w:tcPr>
            <w:tcW w:w="2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Number of 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Weighted-average exercise price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Weighted-average remaining contractual term (in 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Aggregate intrinsic value (in thousands)</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January 1, 2023</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882,892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ind w:left="0" w:right="0" w:hanging="0"/>
              <w:jc w:val="left"/>
              <w:rPr/>
            </w:pPr>
            <w:r>
              <w:rPr/>
              <w:t> </w:t>
            </w:r>
          </w:p>
        </w:tc>
        <w:tc>
          <w:tcPr>
            <w:tcW w:w="226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18" w:type="dxa"/>
            <w:tcBorders/>
            <w:shd w:fill="CCEEFF" w:val="clear"/>
            <w:vAlign w:val="center"/>
          </w:tcPr>
          <w:p>
            <w:pPr>
              <w:pStyle w:val="TableContents"/>
              <w:bidi w:val="0"/>
              <w:spacing w:before="0" w:after="283"/>
              <w:ind w:left="0" w:right="0" w:hanging="0"/>
              <w:jc w:val="right"/>
              <w:rPr/>
            </w:pPr>
            <w:r>
              <w:rPr>
                <w:rStyle w:val="Emphasis"/>
              </w:rPr>
              <w:t>—</w:t>
            </w:r>
          </w:p>
        </w:tc>
        <w:tc>
          <w:tcPr>
            <w:tcW w:w="66"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ind w:left="0" w:right="0" w:hanging="0"/>
              <w:jc w:val="left"/>
              <w:rPr/>
            </w:pPr>
            <w:r>
              <w:rPr/>
              <w:t> </w:t>
            </w:r>
          </w:p>
        </w:tc>
        <w:tc>
          <w:tcPr>
            <w:tcW w:w="158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left"/>
              <w:rPr/>
            </w:pPr>
            <w:r>
              <w:rPr/>
              <w:t> </w:t>
            </w:r>
          </w:p>
        </w:tc>
        <w:tc>
          <w:tcPr>
            <w:tcW w:w="226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518" w:type="dxa"/>
            <w:tcBorders/>
            <w:shd w:fill="FFFFFF" w:val="clear"/>
            <w:vAlign w:val="center"/>
          </w:tcPr>
          <w:p>
            <w:pPr>
              <w:pStyle w:val="TableContents"/>
              <w:bidi w:val="0"/>
              <w:spacing w:before="0" w:after="283"/>
              <w:jc w:val="left"/>
              <w:rPr/>
            </w:pPr>
            <w:r>
              <w:rPr>
                <w:rStyle w:val="Emphasis"/>
              </w:rPr>
              <w:t> </w:t>
            </w:r>
          </w:p>
        </w:tc>
        <w:tc>
          <w:tcPr>
            <w:tcW w:w="66"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(32,882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ind w:left="0" w:right="0" w:hanging="0"/>
              <w:jc w:val="left"/>
              <w:rPr/>
            </w:pPr>
            <w:r>
              <w:rPr/>
              <w:t> </w:t>
            </w:r>
          </w:p>
        </w:tc>
        <w:tc>
          <w:tcPr>
            <w:tcW w:w="15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left"/>
              <w:rPr/>
            </w:pPr>
            <w:r>
              <w:rPr/>
              <w:t> </w:t>
            </w:r>
          </w:p>
        </w:tc>
        <w:tc>
          <w:tcPr>
            <w:tcW w:w="226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rStyle w:val="Emphasis"/>
              </w:rPr>
              <w:t> </w:t>
            </w:r>
          </w:p>
        </w:tc>
        <w:tc>
          <w:tcPr>
            <w:tcW w:w="66"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(11,304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66.08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60"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18"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September 30, 2023</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838,706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19,368</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 and Exercisable at September 30, 2023</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753,678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hanging="0"/>
              <w:jc w:val="left"/>
              <w:rPr/>
            </w:pPr>
            <w:r>
              <w:rPr/>
              <w:t> </w:t>
            </w:r>
          </w:p>
        </w:tc>
        <w:tc>
          <w:tcPr>
            <w:tcW w:w="22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19,308</w:t>
            </w:r>
          </w:p>
        </w:tc>
        <w:tc>
          <w:tcPr>
            <w:tcW w:w="6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the Company had approximately $1.8 million of total unrecognized stock-based compensation expense related to stock options expected to be recognized over a weighted-average period of 1.2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Restricted Stock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RSUs are valued using the closing price of the Company’s common stock on their grant date. The Company has issued RSUs with vesting periods of one to five years. All vesting is subject to continued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summarizes RSU transactions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30"/>
        <w:gridCol w:w="60"/>
        <w:gridCol w:w="116"/>
        <w:gridCol w:w="1343"/>
        <w:gridCol w:w="80"/>
        <w:gridCol w:w="60"/>
        <w:gridCol w:w="669"/>
        <w:gridCol w:w="2605"/>
        <w:gridCol w:w="60"/>
      </w:tblGrid>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Number of 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Weighted-average grant date 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January 1, 2023</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13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271,951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68.90</w:t>
            </w:r>
          </w:p>
        </w:tc>
        <w:tc>
          <w:tcPr>
            <w:tcW w:w="6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3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157,972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ind w:left="0" w:right="0" w:hanging="0"/>
              <w:jc w:val="left"/>
              <w:rPr/>
            </w:pPr>
            <w:r>
              <w:rPr/>
              <w:t> </w:t>
            </w:r>
          </w:p>
        </w:tc>
        <w:tc>
          <w:tcPr>
            <w:tcW w:w="26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51.34</w:t>
            </w:r>
          </w:p>
        </w:tc>
        <w:tc>
          <w:tcPr>
            <w:tcW w:w="6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Released</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13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(72,357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ind w:left="0" w:right="0" w:hanging="0"/>
              <w:jc w:val="left"/>
              <w:rPr/>
            </w:pPr>
            <w:r>
              <w:rPr/>
              <w:t> </w:t>
            </w:r>
          </w:p>
        </w:tc>
        <w:tc>
          <w:tcPr>
            <w:tcW w:w="26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66.37</w:t>
            </w:r>
          </w:p>
        </w:tc>
        <w:tc>
          <w:tcPr>
            <w:tcW w:w="6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(18,061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outstanding at September 30, 2023</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339,505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62.15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the Company had approximately $16.8 million of total unrecognized stock-based compensation expense related to RSUs expected to be recognized over a weighted-average period of 2.3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Performance Stock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issues PSUs with a combination of service, performance, and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majority of PSUs were issued via grants made to certain executives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These PSUs are earned based on the achievement of stock price milestones. If the Company’s stock price reaches and remains at certain milestones for 30 days, the PSUs shall become earned units and will vest upon completion of a requisite service period of approximately five years from the date of grant.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none of the stock price milestones have been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For other PSUs outstanding, vesting of PSUs requires a period of future service and the number of shares that vest depends on performance relative to predetermined targets of the Company’s Gross Written Premiums and Adjusted Return on Equity as set by the Compensation Committee. Prior to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PSU’s performance period was the fiscal year of the grant. Beginning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PSU’s performance period is primarily a </w:t>
      </w:r>
      <w:r>
        <w:rPr>
          <w:rStyle w:val="Emphasis"/>
          <w:rFonts w:ascii="Times New Roman" w:hAnsi="Times New Roman"/>
          <w:caps w:val="false"/>
          <w:smallCaps w:val="false"/>
          <w:sz w:val="20"/>
        </w:rPr>
        <w:t>three</w:t>
      </w:r>
      <w:r>
        <w:rPr>
          <w:rFonts w:ascii="Times New Roman" w:hAnsi="Times New Roman"/>
          <w:caps w:val="false"/>
          <w:smallCaps w:val="false"/>
          <w:sz w:val="20"/>
        </w:rPr>
        <w:t>-year period beginning with the grant date. At the end of the performance period, the actual results are measured against the predetermined targets to determine the number of PSUs to be earned as compensation. The earned PSUs are then subject to a required service period of approximately three years from the grant date before vesting and being issued as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summarizes PSU transactions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30"/>
        <w:gridCol w:w="60"/>
        <w:gridCol w:w="116"/>
        <w:gridCol w:w="1343"/>
        <w:gridCol w:w="80"/>
        <w:gridCol w:w="60"/>
        <w:gridCol w:w="669"/>
        <w:gridCol w:w="2605"/>
        <w:gridCol w:w="60"/>
      </w:tblGrid>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Number of 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Weighted-average grant date 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January 1, 2023</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13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383,103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37.62</w:t>
            </w:r>
          </w:p>
        </w:tc>
        <w:tc>
          <w:tcPr>
            <w:tcW w:w="6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3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ind w:left="0" w:right="0" w:hanging="0"/>
              <w:jc w:val="left"/>
              <w:rPr/>
            </w:pPr>
            <w:r>
              <w:rPr/>
              <w:t> </w:t>
            </w:r>
          </w:p>
        </w:tc>
        <w:tc>
          <w:tcPr>
            <w:tcW w:w="26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51.36</w:t>
            </w:r>
          </w:p>
        </w:tc>
        <w:tc>
          <w:tcPr>
            <w:tcW w:w="6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134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ind w:left="0" w:right="0" w:hanging="0"/>
              <w:jc w:val="left"/>
              <w:rPr/>
            </w:pPr>
            <w:r>
              <w:rPr/>
              <w:t> </w:t>
            </w:r>
          </w:p>
        </w:tc>
        <w:tc>
          <w:tcPr>
            <w:tcW w:w="260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(4,739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outstanding at September 30, 2023</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424,393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PSU grants above represent the number of shares that would vest based on achievement of all stock price milestones in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executive stock grants and the 100% achievement of the predetermined performance conditions for the other PSU grants. The actual number of PSUs which will vest is subject to adjustment based on the Company’s actual stock price performance and financial performance relative to the predetermined targets.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the Company had approximately $10.2 million of total unrecognized stock-based compensation expense related to PSUs expected to be recognized over a weighted-average period of 2.7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i/>
          <w:caps w:val="false"/>
          <w:smallCaps w:val="false"/>
          <w:sz w:val="20"/>
        </w:rPr>
        <w:t>2019</w:t>
      </w:r>
      <w:r>
        <w:rPr>
          <w:rFonts w:ascii="Times New Roman" w:hAnsi="Times New Roman"/>
          <w:i/>
          <w:caps w:val="false"/>
          <w:smallCaps w:val="false"/>
          <w:sz w:val="20"/>
        </w:rPr>
        <w:t xml:space="preserve">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16, 2019, </w:t>
      </w:r>
      <w:r>
        <w:rPr>
          <w:rFonts w:ascii="Times New Roman" w:hAnsi="Times New Roman"/>
          <w:caps w:val="false"/>
          <w:smallCaps w:val="false"/>
          <w:sz w:val="20"/>
        </w:rPr>
        <w:t xml:space="preserve">the Company's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Employee Stock Purchase Plan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became effective. A total of 240,000 shares of common stock are initially authorized and reserved for issuance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In addition,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provides for annual increases in the number of shares available for issuance on </w:t>
      </w:r>
      <w:r>
        <w:rPr>
          <w:rStyle w:val="Emphasis"/>
          <w:rFonts w:ascii="Times New Roman" w:hAnsi="Times New Roman"/>
          <w:caps w:val="false"/>
          <w:smallCaps w:val="false"/>
          <w:sz w:val="20"/>
        </w:rPr>
        <w:t xml:space="preserve">January 1 </w:t>
      </w:r>
      <w:r>
        <w:rPr>
          <w:rFonts w:ascii="Times New Roman" w:hAnsi="Times New Roman"/>
          <w:caps w:val="false"/>
          <w:smallCaps w:val="false"/>
          <w:sz w:val="20"/>
        </w:rPr>
        <w:t xml:space="preserve">of each year through </w:t>
      </w:r>
      <w:r>
        <w:rPr>
          <w:rStyle w:val="Emphasis"/>
          <w:rFonts w:ascii="Times New Roman" w:hAnsi="Times New Roman"/>
          <w:caps w:val="false"/>
          <w:smallCaps w:val="false"/>
          <w:sz w:val="20"/>
        </w:rPr>
        <w:t>2029,</w:t>
      </w:r>
      <w:r>
        <w:rPr>
          <w:rFonts w:ascii="Times New Roman" w:hAnsi="Times New Roman"/>
          <w:caps w:val="false"/>
          <w:smallCaps w:val="false"/>
          <w:sz w:val="20"/>
        </w:rPr>
        <w:t xml:space="preserve"> equal to the smaller of 240,000 shares of the Company’s common stock or such other amount as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determined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employees can purchase Company stock at a discount via payroll withholdings.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is administered through employee participation in discrete offering periods. During each discrete offering period employee funds are withheld, and the stock purchase occurs upon the conclusion of the offering period. The Company issued 17,080 shares pursuant to the ESPP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Share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2022, </w:t>
      </w:r>
      <w:r>
        <w:rPr>
          <w:rFonts w:ascii="Times New Roman" w:hAnsi="Times New Roman"/>
          <w:caps w:val="false"/>
          <w:smallCaps w:val="false"/>
          <w:sz w:val="20"/>
        </w:rPr>
        <w:t xml:space="preserve">Company's the Board of Directors approved a share repurchase program which replaced the existing program and authorized the repurchase of up to $100 million of outstanding shares of common stock over the period ending on </w:t>
      </w:r>
      <w:r>
        <w:rPr>
          <w:rStyle w:val="Emphasis"/>
          <w:rFonts w:ascii="Times New Roman" w:hAnsi="Times New Roman"/>
          <w:caps w:val="false"/>
          <w:smallCaps w:val="false"/>
          <w:sz w:val="20"/>
        </w:rPr>
        <w:t>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purchased 418,901 shares for $22.1 million at an average price of $54.4 per share under this program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Approximately $43.5 million remains available for future repurchases. The Company accounts for share repurchases by charging the excess of repurchase price over the common stock’s par value entirely to retained earnings. All repurchased shares are retired and become authorized but unissued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Accumulated Other Comprehensive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Changes in accumulated other comprehensive income (loss) (“AOCI”) are as follows:</w:t>
      </w:r>
    </w:p>
    <w:p>
      <w:pPr>
        <w:pStyle w:val="TextBody"/>
        <w:bidi w:val="0"/>
        <w:spacing w:before="0" w:after="0"/>
        <w:ind w:left="0" w:right="0" w:hanging="0"/>
        <w:jc w:val="left"/>
        <w:rPr>
          <w:caps w:val="false"/>
          <w:smallCaps w:val="false"/>
        </w:rPr>
      </w:pPr>
      <w:r>
        <w:rPr>
          <w:caps w:val="false"/>
          <w:smallCaps w:val="false"/>
        </w:rPr>
        <w:t> </w:t>
      </w:r>
    </w:p>
    <w:tbl>
      <w:tblPr>
        <w:tblW w:w="7932" w:type="dxa"/>
        <w:jc w:val="left"/>
        <w:tblInd w:w="0" w:type="dxa"/>
        <w:tblLayout w:type="fixed"/>
        <w:tblCellMar>
          <w:top w:w="0" w:type="dxa"/>
          <w:left w:w="0" w:type="dxa"/>
          <w:bottom w:w="0" w:type="dxa"/>
          <w:right w:w="0" w:type="dxa"/>
        </w:tblCellMar>
      </w:tblPr>
      <w:tblGrid>
        <w:gridCol w:w="4910"/>
        <w:gridCol w:w="60"/>
        <w:gridCol w:w="213"/>
        <w:gridCol w:w="1109"/>
        <w:gridCol w:w="136"/>
        <w:gridCol w:w="102"/>
        <w:gridCol w:w="213"/>
        <w:gridCol w:w="1109"/>
        <w:gridCol w:w="80"/>
      </w:tblGrid>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3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2"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(36,515</w:t>
            </w:r>
          </w:p>
        </w:tc>
        <w:tc>
          <w:tcPr>
            <w:tcW w:w="13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5,312</w:t>
            </w:r>
          </w:p>
        </w:tc>
        <w:tc>
          <w:tcPr>
            <w:tcW w:w="8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Other comprehensive (loss) before reclassification</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(8,453</w:t>
            </w:r>
          </w:p>
        </w:tc>
        <w:tc>
          <w:tcPr>
            <w:tcW w:w="13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(60,983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Federal income tax (benefit) expense</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1,775</w:t>
            </w:r>
          </w:p>
        </w:tc>
        <w:tc>
          <w:tcPr>
            <w:tcW w:w="1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12,806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Other comprehensive (loss) before reclassification, net of tax</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(6,678</w:t>
            </w:r>
          </w:p>
        </w:tc>
        <w:tc>
          <w:tcPr>
            <w:tcW w:w="13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(48,177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Amounts reclassified from AOCI</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13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w:t>
            </w:r>
          </w:p>
        </w:tc>
        <w:tc>
          <w:tcPr>
            <w:tcW w:w="8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Federal income tax expense (benefit)</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1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Amounts reclassified from AOCI, net of tax</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(6,706</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(47,941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(43,221</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(42,629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Underwriting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has a single reportable segment and offers primarily property and casualty insurance products. The Company also writes premiums under fronting agreements where it cedes the majority of the premium and risk in exchange for a fronting fee. Gross written premiums (“GWP”) by product are presented below:</w:t>
      </w:r>
    </w:p>
    <w:p>
      <w:pPr>
        <w:pStyle w:val="TextBody"/>
        <w:bidi w:val="0"/>
        <w:spacing w:before="0" w:after="0"/>
        <w:ind w:left="0" w:right="0" w:firstLine="72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2210"/>
        <w:gridCol w:w="60"/>
        <w:gridCol w:w="110"/>
        <w:gridCol w:w="605"/>
        <w:gridCol w:w="80"/>
        <w:gridCol w:w="60"/>
        <w:gridCol w:w="60"/>
        <w:gridCol w:w="425"/>
        <w:gridCol w:w="230"/>
        <w:gridCol w:w="60"/>
        <w:gridCol w:w="110"/>
        <w:gridCol w:w="605"/>
        <w:gridCol w:w="80"/>
        <w:gridCol w:w="60"/>
        <w:gridCol w:w="60"/>
        <w:gridCol w:w="425"/>
        <w:gridCol w:w="230"/>
        <w:gridCol w:w="60"/>
        <w:gridCol w:w="110"/>
        <w:gridCol w:w="605"/>
        <w:gridCol w:w="80"/>
        <w:gridCol w:w="60"/>
        <w:gridCol w:w="60"/>
        <w:gridCol w:w="425"/>
        <w:gridCol w:w="230"/>
        <w:gridCol w:w="60"/>
        <w:gridCol w:w="110"/>
        <w:gridCol w:w="605"/>
        <w:gridCol w:w="60"/>
        <w:gridCol w:w="60"/>
        <w:gridCol w:w="60"/>
        <w:gridCol w:w="425"/>
        <w:gridCol w:w="185"/>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Three Months Ended September 30,</w:t>
            </w:r>
          </w:p>
        </w:tc>
        <w:tc>
          <w:tcPr>
            <w:tcW w:w="2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Nine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2023</w:t>
            </w:r>
          </w:p>
        </w:tc>
        <w:tc>
          <w:tcPr>
            <w:tcW w:w="2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2022</w:t>
            </w:r>
          </w:p>
        </w:tc>
        <w:tc>
          <w:tcPr>
            <w:tcW w:w="2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2023</w:t>
            </w:r>
          </w:p>
        </w:tc>
        <w:tc>
          <w:tcPr>
            <w:tcW w:w="2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0"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in thousands)</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0"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in thousands)</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GWP</w:t>
            </w:r>
          </w:p>
        </w:tc>
        <w:tc>
          <w:tcPr>
            <w:tcW w:w="2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GWP</w:t>
            </w:r>
          </w:p>
        </w:tc>
        <w:tc>
          <w:tcPr>
            <w:tcW w:w="2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GWP</w:t>
            </w:r>
          </w:p>
        </w:tc>
        <w:tc>
          <w:tcPr>
            <w:tcW w:w="2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GWP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Product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Fronting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106,581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33.9</w:t>
            </w:r>
          </w:p>
        </w:tc>
        <w:tc>
          <w:tcPr>
            <w:tcW w:w="23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82,232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32.5</w:t>
            </w:r>
          </w:p>
        </w:tc>
        <w:tc>
          <w:tcPr>
            <w:tcW w:w="23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278,548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w:t>
            </w:r>
          </w:p>
        </w:tc>
        <w:tc>
          <w:tcPr>
            <w:tcW w:w="23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154,232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1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Residential Earthquake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69,220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22.0</w:t>
            </w:r>
          </w:p>
        </w:tc>
        <w:tc>
          <w:tcPr>
            <w:tcW w:w="23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59,569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23.5</w:t>
            </w:r>
          </w:p>
        </w:tc>
        <w:tc>
          <w:tcPr>
            <w:tcW w:w="23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190,048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22.7</w:t>
            </w:r>
          </w:p>
        </w:tc>
        <w:tc>
          <w:tcPr>
            <w:tcW w:w="23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159,995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24.9</w:t>
            </w:r>
          </w:p>
        </w:tc>
        <w:tc>
          <w:tcPr>
            <w:tcW w:w="18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1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Commercial Earthquake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14.1</w:t>
            </w:r>
          </w:p>
        </w:tc>
        <w:tc>
          <w:tcPr>
            <w:tcW w:w="23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32,647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12.9</w:t>
            </w:r>
          </w:p>
        </w:tc>
        <w:tc>
          <w:tcPr>
            <w:tcW w:w="23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124,763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14.9</w:t>
            </w:r>
          </w:p>
        </w:tc>
        <w:tc>
          <w:tcPr>
            <w:tcW w:w="23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1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Inland Marine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37,252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w:t>
            </w:r>
          </w:p>
        </w:tc>
        <w:tc>
          <w:tcPr>
            <w:tcW w:w="23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30,842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12.2</w:t>
            </w:r>
          </w:p>
        </w:tc>
        <w:tc>
          <w:tcPr>
            <w:tcW w:w="23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103,841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12.4</w:t>
            </w:r>
          </w:p>
        </w:tc>
        <w:tc>
          <w:tcPr>
            <w:tcW w:w="23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1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Casualty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20,165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w:t>
            </w:r>
          </w:p>
        </w:tc>
        <w:tc>
          <w:tcPr>
            <w:tcW w:w="23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w:t>
            </w:r>
          </w:p>
        </w:tc>
        <w:tc>
          <w:tcPr>
            <w:tcW w:w="23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50,144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w:t>
            </w:r>
          </w:p>
        </w:tc>
        <w:tc>
          <w:tcPr>
            <w:tcW w:w="23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1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Hawaii Hurricane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w:t>
            </w:r>
          </w:p>
        </w:tc>
        <w:tc>
          <w:tcPr>
            <w:tcW w:w="23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w:t>
            </w:r>
          </w:p>
        </w:tc>
        <w:tc>
          <w:tcPr>
            <w:tcW w:w="23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28,718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w:t>
            </w:r>
          </w:p>
        </w:tc>
        <w:tc>
          <w:tcPr>
            <w:tcW w:w="23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w:t>
            </w:r>
          </w:p>
        </w:tc>
        <w:tc>
          <w:tcPr>
            <w:tcW w:w="18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1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Commercial All Risk</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w:t>
            </w:r>
          </w:p>
        </w:tc>
        <w:tc>
          <w:tcPr>
            <w:tcW w:w="23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w:t>
            </w:r>
          </w:p>
        </w:tc>
        <w:tc>
          <w:tcPr>
            <w:tcW w:w="23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26,769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w:t>
            </w:r>
          </w:p>
        </w:tc>
        <w:tc>
          <w:tcPr>
            <w:tcW w:w="23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41,647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w:t>
            </w:r>
          </w:p>
        </w:tc>
        <w:tc>
          <w:tcPr>
            <w:tcW w:w="18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1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Residential Flood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w:t>
            </w:r>
          </w:p>
        </w:tc>
        <w:tc>
          <w:tcPr>
            <w:tcW w:w="23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w:t>
            </w:r>
          </w:p>
        </w:tc>
        <w:tc>
          <w:tcPr>
            <w:tcW w:w="23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14,964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w:t>
            </w:r>
          </w:p>
        </w:tc>
        <w:tc>
          <w:tcPr>
            <w:tcW w:w="23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w:t>
            </w:r>
          </w:p>
        </w:tc>
        <w:tc>
          <w:tcPr>
            <w:tcW w:w="18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1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Specialty Homeowners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w:t>
            </w:r>
          </w:p>
        </w:tc>
        <w:tc>
          <w:tcPr>
            <w:tcW w:w="23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w:t>
            </w:r>
          </w:p>
        </w:tc>
        <w:tc>
          <w:tcPr>
            <w:tcW w:w="23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w:t>
            </w:r>
          </w:p>
        </w:tc>
        <w:tc>
          <w:tcPr>
            <w:tcW w:w="23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w:t>
            </w:r>
          </w:p>
        </w:tc>
        <w:tc>
          <w:tcPr>
            <w:tcW w:w="18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1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13,682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12,524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20,710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32,963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1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Gross Written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313,998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253,128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838,406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642,751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Gross written premiums by state are as follows:</w:t>
      </w:r>
    </w:p>
    <w:p>
      <w:pPr>
        <w:pStyle w:val="TextBody"/>
        <w:bidi w:val="0"/>
        <w:spacing w:before="0" w:after="0"/>
        <w:ind w:left="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2210"/>
        <w:gridCol w:w="60"/>
        <w:gridCol w:w="110"/>
        <w:gridCol w:w="605"/>
        <w:gridCol w:w="60"/>
        <w:gridCol w:w="60"/>
        <w:gridCol w:w="60"/>
        <w:gridCol w:w="425"/>
        <w:gridCol w:w="170"/>
        <w:gridCol w:w="60"/>
        <w:gridCol w:w="110"/>
        <w:gridCol w:w="605"/>
        <w:gridCol w:w="60"/>
        <w:gridCol w:w="60"/>
        <w:gridCol w:w="60"/>
        <w:gridCol w:w="425"/>
        <w:gridCol w:w="170"/>
        <w:gridCol w:w="60"/>
        <w:gridCol w:w="110"/>
        <w:gridCol w:w="605"/>
        <w:gridCol w:w="60"/>
        <w:gridCol w:w="60"/>
        <w:gridCol w:w="60"/>
        <w:gridCol w:w="425"/>
        <w:gridCol w:w="170"/>
        <w:gridCol w:w="60"/>
        <w:gridCol w:w="110"/>
        <w:gridCol w:w="605"/>
        <w:gridCol w:w="60"/>
        <w:gridCol w:w="60"/>
        <w:gridCol w:w="60"/>
        <w:gridCol w:w="425"/>
        <w:gridCol w:w="185"/>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7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Three Months Ended September 30,</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7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Nine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2023</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2022</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2023</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70"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in thousands)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70"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in thousands)</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GWP</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GWP</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GWP</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GWP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State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California</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163,806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52.2</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51.8</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450,752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53.8</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292,865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45.6</w:t>
            </w:r>
          </w:p>
        </w:tc>
        <w:tc>
          <w:tcPr>
            <w:tcW w:w="18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Texas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Washington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17,792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43,409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w:t>
            </w:r>
          </w:p>
        </w:tc>
        <w:tc>
          <w:tcPr>
            <w:tcW w:w="18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Hawaii</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w:t>
            </w:r>
          </w:p>
        </w:tc>
        <w:tc>
          <w:tcPr>
            <w:tcW w:w="18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Florida</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w:t>
            </w:r>
          </w:p>
        </w:tc>
        <w:tc>
          <w:tcPr>
            <w:tcW w:w="18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Oregon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w:t>
            </w:r>
          </w:p>
        </w:tc>
        <w:tc>
          <w:tcPr>
            <w:tcW w:w="18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Illinois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sz w:val="18"/>
              </w:rPr>
            </w:pPr>
            <w:r>
              <w:rPr>
                <w:rFonts w:ascii="Times New Roman;Times;serif" w:hAnsi="Times New Roman;Times;serif"/>
                <w:sz w:val="18"/>
              </w:rPr>
              <w:t>Tennessee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0.7</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0.7</w:t>
            </w:r>
          </w:p>
        </w:tc>
        <w:tc>
          <w:tcPr>
            <w:tcW w:w="18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62,425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19.8</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50,110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19.8</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153,204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18.2</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158,168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Gross Written Premiums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313,998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253,128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838,406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642,751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Gross written premiums by insurance subsidiary are as follows:</w:t>
      </w:r>
    </w:p>
    <w:p>
      <w:pPr>
        <w:pStyle w:val="TextBody"/>
        <w:bidi w:val="0"/>
        <w:spacing w:before="0" w:after="0"/>
        <w:ind w:left="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2210"/>
        <w:gridCol w:w="60"/>
        <w:gridCol w:w="110"/>
        <w:gridCol w:w="605"/>
        <w:gridCol w:w="60"/>
        <w:gridCol w:w="60"/>
        <w:gridCol w:w="60"/>
        <w:gridCol w:w="425"/>
        <w:gridCol w:w="170"/>
        <w:gridCol w:w="60"/>
        <w:gridCol w:w="110"/>
        <w:gridCol w:w="605"/>
        <w:gridCol w:w="60"/>
        <w:gridCol w:w="60"/>
        <w:gridCol w:w="60"/>
        <w:gridCol w:w="425"/>
        <w:gridCol w:w="170"/>
        <w:gridCol w:w="60"/>
        <w:gridCol w:w="110"/>
        <w:gridCol w:w="605"/>
        <w:gridCol w:w="60"/>
        <w:gridCol w:w="60"/>
        <w:gridCol w:w="60"/>
        <w:gridCol w:w="425"/>
        <w:gridCol w:w="170"/>
        <w:gridCol w:w="60"/>
        <w:gridCol w:w="110"/>
        <w:gridCol w:w="605"/>
        <w:gridCol w:w="60"/>
        <w:gridCol w:w="60"/>
        <w:gridCol w:w="60"/>
        <w:gridCol w:w="425"/>
        <w:gridCol w:w="185"/>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7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Three Months Ended September 30,</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7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Nine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2023</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2022</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2023</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70"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in thousands)</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70"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in thousands)</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GWP</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GWP</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GWP</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GWP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Subsidiary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PSIC</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186,693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59.5</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136,814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497,216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59.3</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357,156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55.6</w:t>
            </w:r>
          </w:p>
        </w:tc>
        <w:tc>
          <w:tcPr>
            <w:tcW w:w="18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PESIC</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127,305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40.5</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116,314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46.0</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341,190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40.7</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285,595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Gross Written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313,998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253,128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838,406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642,751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calculates its tax provision in interim periods using its best estimate of the effective tax rate expected for the full year.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the Company’s income tax rate of 24.9% was higher than the statutory rate of 21% due primarily to non-deductible executive compensation expense.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2022</w:t>
      </w:r>
      <w:r>
        <w:rPr>
          <w:rFonts w:ascii="Times New Roman" w:hAnsi="Times New Roman"/>
          <w:caps w:val="false"/>
          <w:smallCaps w:val="false"/>
          <w:sz w:val="20"/>
        </w:rPr>
        <w:t>, the Company’s income tax rate of 17.5% was lower than the statutory rate of 21% due primarily to the tax impact of the permanent component of employee stock option exercises.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the Company’s tax rate of 24.0% was higher than the statutory rate due primarily to non-deductible executive compensation expense.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2022</w:t>
      </w:r>
      <w:r>
        <w:rPr>
          <w:rFonts w:ascii="Times New Roman" w:hAnsi="Times New Roman"/>
          <w:caps w:val="false"/>
          <w:smallCaps w:val="false"/>
          <w:sz w:val="20"/>
        </w:rPr>
        <w:t>, the Company’s tax rate of 21.5% was higher than the statutory rate also due primarily to non-deductible executive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sets out earnings per share of common stock: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7"/>
        <w:gridCol w:w="60"/>
        <w:gridCol w:w="191"/>
        <w:gridCol w:w="1461"/>
        <w:gridCol w:w="91"/>
        <w:gridCol w:w="91"/>
        <w:gridCol w:w="191"/>
        <w:gridCol w:w="1461"/>
        <w:gridCol w:w="60"/>
        <w:gridCol w:w="60"/>
        <w:gridCol w:w="191"/>
        <w:gridCol w:w="1461"/>
        <w:gridCol w:w="91"/>
        <w:gridCol w:w="91"/>
        <w:gridCol w:w="191"/>
        <w:gridCol w:w="1461"/>
        <w:gridCol w:w="66"/>
      </w:tblGrid>
      <w:tr>
        <w:trPr/>
        <w:tc>
          <w:tcPr>
            <w:tcW w:w="29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6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6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8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shares and per share data)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8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shares and per share data)</w:t>
            </w:r>
          </w:p>
        </w:tc>
        <w:tc>
          <w:tcPr>
            <w:tcW w:w="66" w:type="dxa"/>
            <w:tcBorders/>
            <w:shd w:fill="FFFFFF" w:val="clear"/>
            <w:vAlign w:val="center"/>
          </w:tcPr>
          <w:p>
            <w:pPr>
              <w:pStyle w:val="TableContents"/>
              <w:bidi w:val="0"/>
              <w:spacing w:before="0" w:after="283"/>
              <w:jc w:val="left"/>
              <w:rPr/>
            </w:pPr>
            <w:r>
              <w:rPr/>
              <w:t> </w:t>
            </w:r>
          </w:p>
        </w:tc>
      </w:tr>
      <w:tr>
        <w:trPr/>
        <w:tc>
          <w:tcPr>
            <w:tcW w:w="29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18,432</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53,305</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33,411</w:t>
            </w:r>
          </w:p>
        </w:tc>
        <w:tc>
          <w:tcPr>
            <w:tcW w:w="66" w:type="dxa"/>
            <w:tcBorders/>
            <w:shd w:fill="CCEEFF" w:val="clear"/>
            <w:vAlign w:val="center"/>
          </w:tcPr>
          <w:p>
            <w:pPr>
              <w:pStyle w:val="TableContents"/>
              <w:bidi w:val="0"/>
              <w:spacing w:before="0" w:after="283"/>
              <w:jc w:val="left"/>
              <w:rPr/>
            </w:pPr>
            <w:r>
              <w:rPr/>
              <w:t> </w:t>
            </w:r>
          </w:p>
        </w:tc>
      </w:tr>
      <w:tr>
        <w:trPr/>
        <w:tc>
          <w:tcPr>
            <w:tcW w:w="29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r>
      <w:tr>
        <w:trPr/>
        <w:tc>
          <w:tcPr>
            <w:tcW w:w="29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4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24,740,455</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4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25,209,368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4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24,847,164</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4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25,258,333</w:t>
            </w:r>
          </w:p>
        </w:tc>
        <w:tc>
          <w:tcPr>
            <w:tcW w:w="66" w:type="dxa"/>
            <w:tcBorders/>
            <w:shd w:fill="CCEEFF" w:val="clear"/>
            <w:vAlign w:val="center"/>
          </w:tcPr>
          <w:p>
            <w:pPr>
              <w:pStyle w:val="TableContents"/>
              <w:bidi w:val="0"/>
              <w:spacing w:before="0" w:after="283"/>
              <w:jc w:val="left"/>
              <w:rPr/>
            </w:pPr>
            <w:r>
              <w:rPr/>
              <w:t> </w:t>
            </w:r>
          </w:p>
        </w:tc>
      </w:tr>
      <w:tr>
        <w:trPr/>
        <w:tc>
          <w:tcPr>
            <w:tcW w:w="29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 equivalents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504,373</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578,257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493,438</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550,054</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25,244,828</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25,787,625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25,340,602</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25,808,387</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9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r>
      <w:tr>
        <w:trPr/>
        <w:tc>
          <w:tcPr>
            <w:tcW w:w="29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Earnings per share: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r>
      <w:tr>
        <w:trPr/>
        <w:tc>
          <w:tcPr>
            <w:tcW w:w="29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0.75</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29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0.73</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Common share equivalents relate primarily to outstanding stock options, RSUs and PSUs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and unpurchased shares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and are calculated using the treasury stock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Reinsurance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utilizes reinsurance in order to limit its exposure to losses and enable it to underwrite policies with sufficient limits to meet policyholder needs. The Company utilizes both excess of loss (XOL) and quota share reinsurance.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the Company’s catastrophe event retention is $17.5 million for all perils and the Company’s XOL reinsurance structure provides protection up to $2.68 billion for earthquake events, $900 million for Hawaii hurricane events, and $100 million for continental U.S. hurricane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addition to reinsurance purchased from traditional reinsurers, the Company has historically incorporated collateralized protection from the insurance linked securities market via catastrophe bonds.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closed a $400 million </w:t>
      </w:r>
      <w:r>
        <w:rPr>
          <w:rStyle w:val="Emphasis"/>
          <w:rFonts w:ascii="Times New Roman" w:hAnsi="Times New Roman"/>
          <w:caps w:val="false"/>
          <w:smallCaps w:val="false"/>
          <w:sz w:val="20"/>
        </w:rPr>
        <w:t>144A</w:t>
      </w:r>
      <w:r>
        <w:rPr>
          <w:rFonts w:ascii="Times New Roman" w:hAnsi="Times New Roman"/>
          <w:caps w:val="false"/>
          <w:smallCaps w:val="false"/>
          <w:sz w:val="20"/>
        </w:rPr>
        <w:t xml:space="preserve"> catastrophe bond which became effective </w:t>
      </w:r>
      <w:r>
        <w:rPr>
          <w:rStyle w:val="Emphasis"/>
          <w:rFonts w:ascii="Times New Roman" w:hAnsi="Times New Roman"/>
          <w:caps w:val="false"/>
          <w:smallCaps w:val="false"/>
          <w:sz w:val="20"/>
        </w:rPr>
        <w:t xml:space="preserve">June 1, 2021. </w:t>
      </w:r>
      <w:r>
        <w:rPr>
          <w:rFonts w:ascii="Times New Roman" w:hAnsi="Times New Roman"/>
          <w:caps w:val="false"/>
          <w:smallCaps w:val="false"/>
          <w:sz w:val="20"/>
        </w:rPr>
        <w:t xml:space="preserve">The catastrophe bond was completed through Torrey Pines Re Pte. Ltd. (“Torrey Pines Re Pte.”). Torrey Pines Re Pte. is a special purpose reinsurance vehicle incorporated in Singapore that provides Palomar with indemnity-based reinsurance covering earthquake events through </w:t>
      </w:r>
      <w:r>
        <w:rPr>
          <w:rStyle w:val="Emphasis"/>
          <w:rFonts w:ascii="Times New Roman" w:hAnsi="Times New Roman"/>
          <w:caps w:val="false"/>
          <w:smallCaps w:val="false"/>
          <w:sz w:val="20"/>
        </w:rPr>
        <w:t xml:space="preserve">June 1, 2024. </w:t>
      </w: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closed a $275 million </w:t>
      </w:r>
      <w:r>
        <w:rPr>
          <w:rStyle w:val="Emphasis"/>
          <w:rFonts w:ascii="Times New Roman" w:hAnsi="Times New Roman"/>
          <w:caps w:val="false"/>
          <w:smallCaps w:val="false"/>
          <w:sz w:val="20"/>
        </w:rPr>
        <w:t>144A</w:t>
      </w:r>
      <w:r>
        <w:rPr>
          <w:rFonts w:ascii="Times New Roman" w:hAnsi="Times New Roman"/>
          <w:caps w:val="false"/>
          <w:smallCaps w:val="false"/>
          <w:sz w:val="20"/>
        </w:rPr>
        <w:t xml:space="preserve"> catastrophe bond which became effective </w:t>
      </w:r>
      <w:r>
        <w:rPr>
          <w:rStyle w:val="Emphasis"/>
          <w:rFonts w:ascii="Times New Roman" w:hAnsi="Times New Roman"/>
          <w:caps w:val="false"/>
          <w:smallCaps w:val="false"/>
          <w:sz w:val="20"/>
        </w:rPr>
        <w:t xml:space="preserve">June 1, 2022. </w:t>
      </w:r>
      <w:r>
        <w:rPr>
          <w:rFonts w:ascii="Times New Roman" w:hAnsi="Times New Roman"/>
          <w:caps w:val="false"/>
          <w:smallCaps w:val="false"/>
          <w:sz w:val="20"/>
        </w:rPr>
        <w:t xml:space="preserve">This catastrophe bond was completed through Torrey Pines Re Ltd., a Bermuda-domiciled special purpose insurer that provides indemnity-based reinsurance covering earthquake events through </w:t>
      </w:r>
      <w:r>
        <w:rPr>
          <w:rStyle w:val="Emphasis"/>
          <w:rFonts w:ascii="Times New Roman" w:hAnsi="Times New Roman"/>
          <w:caps w:val="false"/>
          <w:smallCaps w:val="false"/>
          <w:sz w:val="20"/>
        </w:rPr>
        <w:t>June 1, 2025. </w:t>
      </w: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also closed a $200 million </w:t>
      </w:r>
      <w:r>
        <w:rPr>
          <w:rStyle w:val="Emphasis"/>
          <w:rFonts w:ascii="Times New Roman" w:hAnsi="Times New Roman"/>
          <w:caps w:val="false"/>
          <w:smallCaps w:val="false"/>
          <w:sz w:val="20"/>
        </w:rPr>
        <w:t>144A</w:t>
      </w:r>
      <w:r>
        <w:rPr>
          <w:rFonts w:ascii="Times New Roman" w:hAnsi="Times New Roman"/>
          <w:caps w:val="false"/>
          <w:smallCaps w:val="false"/>
          <w:sz w:val="20"/>
        </w:rPr>
        <w:t xml:space="preserve"> catastrophe bond which became effective </w:t>
      </w:r>
      <w:r>
        <w:rPr>
          <w:rStyle w:val="Emphasis"/>
          <w:rFonts w:ascii="Times New Roman" w:hAnsi="Times New Roman"/>
          <w:caps w:val="false"/>
          <w:smallCaps w:val="false"/>
          <w:sz w:val="20"/>
        </w:rPr>
        <w:t xml:space="preserve">June 1, 2023. </w:t>
      </w:r>
      <w:r>
        <w:rPr>
          <w:rFonts w:ascii="Times New Roman" w:hAnsi="Times New Roman"/>
          <w:caps w:val="false"/>
          <w:smallCaps w:val="false"/>
          <w:sz w:val="20"/>
        </w:rPr>
        <w:t xml:space="preserve">This catastrophe bond was also completed through Torrey Pines Re Ltd and provides indemnity-based reinsurance covering earthquake events through </w:t>
      </w:r>
      <w:r>
        <w:rPr>
          <w:rStyle w:val="Emphasis"/>
          <w:rFonts w:ascii="Times New Roman" w:hAnsi="Times New Roman"/>
          <w:caps w:val="false"/>
          <w:smallCaps w:val="false"/>
          <w:sz w:val="20"/>
        </w:rPr>
        <w:t>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Credit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U.S. Bank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2021, </w:t>
      </w:r>
      <w:r>
        <w:rPr>
          <w:rFonts w:ascii="Times New Roman" w:hAnsi="Times New Roman"/>
          <w:caps w:val="false"/>
          <w:smallCaps w:val="false"/>
          <w:sz w:val="20"/>
        </w:rPr>
        <w:t xml:space="preserve">the Company entered into a Credit Agreement with U.S. Bank National Association which provides a revolving credit facility of up to $100 million through </w:t>
      </w:r>
      <w:r>
        <w:rPr>
          <w:rStyle w:val="Emphasis"/>
          <w:rFonts w:ascii="Times New Roman" w:hAnsi="Times New Roman"/>
          <w:caps w:val="false"/>
          <w:smallCaps w:val="false"/>
          <w:sz w:val="20"/>
        </w:rPr>
        <w:t xml:space="preserve">December 8, 2026. </w:t>
      </w:r>
      <w:r>
        <w:rPr>
          <w:rFonts w:ascii="Times New Roman" w:hAnsi="Times New Roman"/>
          <w:caps w:val="false"/>
          <w:smallCaps w:val="false"/>
          <w:sz w:val="20"/>
        </w:rPr>
        <w:t xml:space="preserve">Interest on the credit facility accrues on each SOFR rate loan at the applicable SOFR (as defined in the Credit Agreement) plus 1.75% and on each base rate loan at the applicable Alternate Base Rate (as defined in the Credit Agreement) plus 0.75%. A loan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either a SOFR rate loan or a base rate loan, at the Company’s discretion. Outstanding amounts under the Credit Agreement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prepaid in full or in part at any time with no prepayment premium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reduced in full or in part at any time upon prior notice. In addition to interest on funds borrowed, the Company must pay an unused line fee of 0.25% on any amounts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Credit Agreement contains customary representations and warranties and customary affirmative and negative covenants, including, among other things, financial covenants, restrictions on indebtedness, liens, investments, mergers, dispositions, prepayment of other indebtedness and dividends and other distributions. The financial covenants include requirements to maintain a permissible debt to capital ratio, a minimum consolidated net worth, a minimum risk based capital ratio and minimum A.M. Best financial strength rating. The Credit Agreement also contains customary events of default, such as non-compliance with financial covenants. If an event of default occurs, any debt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declared immediately due and payable.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the Company was in compliance with all debt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2022</w:t>
      </w:r>
      <w:r>
        <w:rPr>
          <w:rFonts w:ascii="Times New Roman" w:hAnsi="Times New Roman"/>
          <w:caps w:val="false"/>
          <w:smallCaps w:val="false"/>
          <w:sz w:val="20"/>
        </w:rPr>
        <w:t>, the Company had no borrowings outstanding on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FHLB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The Company’s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a predetermined term and the interest rate varies based on the term of the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the Company had $52.6 million of borrowings outstanding through the FHLB at the overnight rate of 5.69%. Interest expense on the FHLB line of credit was $0.8 million and $2.1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respectively. </w:t>
      </w:r>
    </w:p>
    <w:p>
      <w:pPr>
        <w:pStyle w:val="TextBody"/>
        <w:bidi w:val="0"/>
        <w:spacing w:before="0" w:after="0"/>
        <w:ind w:left="16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 Company had $36.4 million of borrowings outstanding through the FHLB at the overnight rate of 4.65%. Interest expense on the FHLB Line of Credit was $0.2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8" w:name="mda"/>
      <w:bookmarkEnd w:id="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The discussion and analysis below includes certain forward-looking statements that are subject to risks, uncertainties and other factors described in part II, item 1A of this Quarterly Report. Our actual results could differ materially from those anticipated in these forward-looking statements as a result of many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The results of operations for the three and nine months ended September 30, 2023 are not necessarily indicative of the results that may be expected for the full year ended December 31, 2023,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Annual Report on Form 10-K as filed with the SEC on March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References to the "Company," "Palomar," "we," "us," and "our" are to Palomar Holdings,</w:t>
      </w:r>
      <w:r>
        <w:rPr>
          <w:rFonts w:ascii="Times New Roman" w:hAnsi="Times New Roman"/>
          <w:caps w:val="false"/>
          <w:smallCaps w:val="false"/>
          <w:sz w:val="20"/>
        </w:rPr>
        <w:t> </w:t>
      </w:r>
      <w:r>
        <w:rPr>
          <w:rFonts w:ascii="Times New Roman" w:hAnsi="Times New Roman"/>
          <w:i/>
          <w:caps w:val="false"/>
          <w:smallCaps w:val="false"/>
          <w:sz w:val="20"/>
        </w:rPr>
        <w:t>Inc. and its subsidiaries,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 specialty insurance company that provides property and casualty insurance products to individuals and businesses. We use our underwriting and analytical expertise to provide products for select markets that we believe are underserved by other insurance companies, including the market for earthquake insurance. We use proprietary data analytics and a modern technology platform to offer our customers flexible products with customized and granular pricing for both the admitted and excess and surplus lines (“E&amp;S”)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provide admitted insurance products through our Oregon domiciled insurance company, Palomar Specialty Insurance Company (“PSIC”), and E&amp;S insurance products through our Arizona domiciled surplus lines insurance company, Palomar Excess and Surplus Insurance Company (“PESIC”). Each of our insurance company subsidiaries as carries an “A-“ rating from A.M. Best Company (“A.M. Best”), a leading rating agency for the insurance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distribute our products through multiple channels, including retail agents, program administrators, wholesale brokers, and partnerships with other insurance companies. Our business strategy is supported by a comprehensive risk transfer program with reinsurance coverage that we believe reduces earnings volatility and provides appropriate levels of protection from catastrophic events. Our management team combines decades of insurance industry experience across specialty underwriting, reinsurance, program administration, distribution, and analytics.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Founded in 2014, we have significantly grown our business and have generated attractive returns. We have organically increased gross written premiums from $16.6 million in our first year of operations to $881.9 million for the year ended December 31, 2022, which reflects a compound annual growth rate of approximately 64%. We have also been profitable since 2016 and our net income growth since 2016 reflects a compound annual growth rate of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seek to continuously grow our income by developing product offerings for lines of business that harness our core competencies and where we believe we can generate attractive risk adjusted returns. Since 2021, we have introduced several new products including General Casualty, Fronting, Professional Liability, and Excess Property to diversify our book of business and broaden our product portfolio. We believe that our market opportunity, distinctive products, and differentiated business model position us to grow our business profitably.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Components of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w:t>
      </w:r>
    </w:p>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60"/>
        <w:gridCol w:w="170"/>
        <w:gridCol w:w="59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Volume of new business submissions in existing products or partnerships;</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60"/>
        <w:gridCol w:w="170"/>
        <w:gridCol w:w="7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Binding of new business submissions in existing products or partnerships into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6865" w:type="dxa"/>
        <w:jc w:val="left"/>
        <w:tblInd w:w="0" w:type="dxa"/>
        <w:tblLayout w:type="fixed"/>
        <w:tblCellMar>
          <w:top w:w="0" w:type="dxa"/>
          <w:left w:w="0" w:type="dxa"/>
          <w:bottom w:w="0" w:type="dxa"/>
          <w:right w:w="0" w:type="dxa"/>
        </w:tblCellMar>
      </w:tblPr>
      <w:tblGrid>
        <w:gridCol w:w="60"/>
        <w:gridCol w:w="170"/>
        <w:gridCol w:w="6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Entrance into new partnerships or the offering of new types of insurance products;</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60"/>
        <w:gridCol w:w="170"/>
        <w:gridCol w:w="74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Exits from existing partnerships or reducing or ceasing to offer existing insurance products;</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60"/>
        <w:gridCol w:w="170"/>
        <w:gridCol w:w="3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Renewal rates of existing policies; and</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60"/>
        <w:gridCol w:w="170"/>
        <w:gridCol w:w="40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Average size and premium rate of bound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gross written premiums are also impacted when we assume unearned in-force premiums due to new partnerships or other business reasons. In periods where we assume a large volume of unearned premiums, our gross written premiums may increase significantly compared to prior periods and the increase may not be indicative of future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Ceded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Ceded written premiums are the amount of gross written premiums ceded to reinsurers. We enter into reinsurance contracts to limit our exposure to potential losses and to provide additional capacity for growth. We cede premiums through excess of loss (“XOL”) agreements, quota share agreements, and fronting agreements. Ceded written premiums are earned pro-rata over the period of risk covered. The volume of our ceded written premiums is impacted by the amount of our gross written premiums and our decisions to increase or decrease limits or retention levels in our XOL agreements and co-participation levels in our quota share agreements. The volume of ceded written premiums is also impacted by the amount of premium we write under fronting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ceded written premiums can be impacted significantly in certain periods due to changes in quota share agreements. In periods where we modify a quota share agreement, ceded written premiums may increase or decrease significantly compared to prior periods and these fluctuations may not be indicative of future trends. Our XOL costs as a percentage of gross earned premiums also may vary each period due to changes in cost of XOL between contract periods, changes of premium in-force during the XOL contract period, or due to acceleration of XOL charges or the need to purchase additional reinsurance due to losses. In addition, the volume of premiums ceded in fronting agreements each period may vary due to the timing of entering new fronting partnerships and terminations of fronting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Earned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earned premiums represent the earned portion of our gross written premiums, less the earned portion that is ceded to third-party reinsurers under our reinsurance agreements. The majority of our insurance policies have a term of one year and premiums are earned pro rata over the terms of the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Commission and 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Commission and other income consist of commissions earned on policies written on behalf of third party insurance companies where we have no exposure to the insured risk and certain fees earned in conjunction with underwriting policies. Commission and other income are earned on the effective date of the underlying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Losses and Loss Adjustment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Losses and loss adjustment expenses represent the costs incurred for losses, net of any losses ceded to reinsurers. These expenses are a function of the size and term of the insurance policies we write and the loss experience associated with the underlying coverage. Certain policies we write subject us to attritional losses such as building fires. In addition, many of the policies we write subject us to catastrophe losses. Catastrophe losses are certain losses resulting from events involving multiple claims and policyholders, including earthquakes, hurricanes, floods, convective storms, terrorist acts or other aggregating events. Our losses and loss adjustment expenses are generally affected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occurrence, frequency, and severity of catastrophe events in the areas where we underwrite policies relating to these perils;</w:t>
            </w:r>
          </w:p>
        </w:tc>
      </w:tr>
    </w:tbl>
    <w:p>
      <w:pPr>
        <w:pStyle w:val="TextBody"/>
        <w:bidi w:val="0"/>
        <w:spacing w:before="0" w:after="0"/>
        <w:ind w:left="0" w:right="0" w:hanging="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60"/>
        <w:gridCol w:w="170"/>
        <w:gridCol w:w="6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occurrence, frequency, and severity of non</w:t>
              <w:noBreakHyphen/>
              <w:t>catastrophe attritional losses;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3025" w:type="dxa"/>
        <w:jc w:val="left"/>
        <w:tblInd w:w="0" w:type="dxa"/>
        <w:tblLayout w:type="fixed"/>
        <w:tblCellMar>
          <w:top w:w="0" w:type="dxa"/>
          <w:left w:w="0" w:type="dxa"/>
          <w:bottom w:w="0" w:type="dxa"/>
          <w:right w:w="0" w:type="dxa"/>
        </w:tblCellMar>
      </w:tblPr>
      <w:tblGrid>
        <w:gridCol w:w="60"/>
        <w:gridCol w:w="170"/>
        <w:gridCol w:w="27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mix of business written by us;</w:t>
            </w:r>
          </w:p>
        </w:tc>
      </w:tr>
    </w:tbl>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60"/>
        <w:gridCol w:w="170"/>
        <w:gridCol w:w="5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reinsurance agreements we have in place at the time of a loss;</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60"/>
        <w:gridCol w:w="170"/>
        <w:gridCol w:w="60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geographic location and characteristics of the policies we underwrite;</w:t>
            </w:r>
          </w:p>
        </w:tc>
      </w:tr>
    </w:tbl>
    <w:p>
      <w:pPr>
        <w:pStyle w:val="TextBody"/>
        <w:bidi w:val="0"/>
        <w:spacing w:before="0" w:after="0"/>
        <w:ind w:left="0" w:right="0" w:hanging="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60"/>
        <w:gridCol w:w="170"/>
        <w:gridCol w:w="6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the legal or regulatory environment related to the business we write;</w:t>
            </w:r>
          </w:p>
        </w:tc>
      </w:tr>
    </w:tbl>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60"/>
        <w:gridCol w:w="170"/>
        <w:gridCol w:w="2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Trends in legal defense costs;</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60"/>
        <w:gridCol w:w="170"/>
        <w:gridCol w:w="3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Inflation in housing and construction costs; and</w:t>
            </w:r>
          </w:p>
        </w:tc>
      </w:tr>
    </w:tbl>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60"/>
        <w:gridCol w:w="170"/>
        <w:gridCol w:w="41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Increases in amounts awarded by courts and juries.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Losses and loss adjustment expenses are based on an actuarial analysis of the estimated losses, including losses incurred during the period and changes in estimates from prior periods. Losses and loss adjustment expenses may be paid out over multiple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Acquisition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Acquisition expenses are principally comprised of the commissions we pay retail agents, program administrators and wholesale brokers, net of ceding commissions and fronting fees we receive on business ceded under quota share and fronting reinsurance agreements. In addition, acquisition expenses include premium</w:t>
        <w:noBreakHyphen/>
        <w:t>related taxes and other fees. Acquisition expenses related to each policy we write are deferred and expensed pro rata over the term of the policy. We earn fronting fees consistent with how we earn premiums on the underlying insurance policies, on a pro-rata basis over the terms of the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Underwriting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underwriting expenses represent the general and administrative expenses of our insurance operations including employee salaries and benefits, software and technology costs, office rent, stock-based compensation, licenses and fees, and professional services fees such as legal, accounting, and actuarial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expense consists of interest incurred on borrowings from our U.S. Bank credit agreement and FHLB line of credit and the unused line fee and amortization of the commitment fee on our U.S. Bank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earn investment income on our portfolio of invested assets. We invest primarily in investment grade fixed maturity securities, including U.S. government issues, state government issues, mortgage and asset-backed obligations, and corporate bonds with a small portion of our portfolio in equity securities and cash and cash equivalents. The principal factors that influence net investment income are the size of our investment portfolio, the yield on that portfolio, and investment management expenses. As measured by amortized cost, which excludes fair value fluctuations from changes in interest rates or other factors, the size of our investment portfolio is mainly a function of our invested capital along with premium we receive from our insureds, less payments on policyholder claims and other operating expenses. Our balance of invested capital may be impacted in the future by repurchases of shares of our common stock or borrowings under our credit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Realized and Unrealized Gains and Losses on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realized and unrealized gains and losses on investments are a function of the difference between the amount received by us on the sale of a security and the security’s cost-basis, mark-to-market adjustments, credit losses recognized in earnings, and unrealized gains and losses on equity securities and equity method investments. Unrealized gains and losses on fixed maturity securities are recognized as a component of other comprehensive income and do not impact our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Currently our income tax expense consists mainly of federal income taxes imposed on our operations. Our effective tax rates are dependent upon the components of pretax earnings and the related tax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Key Financial and Operating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discuss certain key financial and operating metrics, described below, which provide useful information about our business and the operational factors underlying our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Underwriting revenue</w:t>
      </w:r>
      <w:r>
        <w:rPr>
          <w:rFonts w:ascii="Times New Roman" w:hAnsi="Times New Roman"/>
          <w:caps w:val="false"/>
          <w:smallCaps w:val="false"/>
          <w:sz w:val="20"/>
        </w:rPr>
        <w:t xml:space="preserve"> is a non</w:t>
        <w:noBreakHyphen/>
        <w:t>GAAP financial measure defined as total revenue, excluding net investment income and net realized and unrealized gains and losses on investments. See “Reconciliation of Non</w:t>
        <w:noBreakHyphen/>
        <w:t>GAAP Financial Measures” for a reconciliation of total revenue calculated in accordance with GAAP to underwriting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Underwriting income</w:t>
      </w:r>
      <w:r>
        <w:rPr>
          <w:rFonts w:ascii="Times New Roman" w:hAnsi="Times New Roman"/>
          <w:caps w:val="false"/>
          <w:smallCaps w:val="false"/>
          <w:sz w:val="20"/>
        </w:rPr>
        <w:t xml:space="preserve"> is a non</w:t>
        <w:noBreakHyphen/>
        <w:t>GAAP financial measure defined as income before income taxes excluding net investment income, net realized and unrealized gains and losses on investments, and interest expense. See “Reconciliation of Non</w:t>
        <w:noBreakHyphen/>
        <w:t>GAAP Financial Measures” for a reconciliation of income before income taxes calculated in accordance with GAAP to underwriting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 xml:space="preserve">Adjusted net income </w:t>
      </w:r>
      <w:r>
        <w:rPr>
          <w:rFonts w:ascii="Times New Roman" w:hAnsi="Times New Roman"/>
          <w:caps w:val="false"/>
          <w:smallCaps w:val="false"/>
          <w:sz w:val="20"/>
        </w:rPr>
        <w:t>is a non</w:t>
        <w:noBreakHyphen/>
        <w:t>GAAP financial measure defined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See “Reconciliation of Non</w:t>
        <w:noBreakHyphen/>
        <w:t>GAAP Financial Measures” for a reconciliation of net income calculated in accordance with GAAP to adjusted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Annualized return on equity</w:t>
      </w:r>
      <w:r>
        <w:rPr>
          <w:rFonts w:ascii="Times New Roman" w:hAnsi="Times New Roman"/>
          <w:caps w:val="false"/>
          <w:smallCaps w:val="false"/>
          <w:sz w:val="20"/>
        </w:rPr>
        <w:t xml:space="preserve"> is net income expressed on an annualized basis as a percentage of average beginning and ending stockholders’ equity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Annualized adjusted return on equity</w:t>
      </w:r>
      <w:r>
        <w:rPr>
          <w:rFonts w:ascii="Times New Roman" w:hAnsi="Times New Roman"/>
          <w:caps w:val="false"/>
          <w:smallCaps w:val="false"/>
          <w:sz w:val="20"/>
        </w:rPr>
        <w:t xml:space="preserve"> is a non</w:t>
        <w:noBreakHyphen/>
        <w:t>GAAP financial measure defined as adjusted net income expressed on an annualized basis as a percentage of average beginning and ending stockholders’ equity during the period. See “Reconciliation of Non</w:t>
        <w:noBreakHyphen/>
        <w:t>GAAP Financial Measures” for a reconciliation of return on equity calculated using unadjusted GAAP numbers to adjusted return on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Loss ratio</w:t>
      </w:r>
      <w:r>
        <w:rPr>
          <w:rFonts w:ascii="Times New Roman" w:hAnsi="Times New Roman"/>
          <w:caps w:val="false"/>
          <w:smallCaps w:val="false"/>
          <w:sz w:val="20"/>
        </w:rPr>
        <w:t>, expressed as a percentage, is the ratio of losses and loss adjustment expenses, to net earned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Expense ratio,</w:t>
      </w:r>
      <w:r>
        <w:rPr>
          <w:rFonts w:ascii="Times New Roman" w:hAnsi="Times New Roman"/>
          <w:caps w:val="false"/>
          <w:smallCaps w:val="false"/>
          <w:sz w:val="20"/>
        </w:rPr>
        <w:t xml:space="preserve"> expressed as a percentage, is the ratio of acquisition and other underwriting expenses, net of commission and other income to net earned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Combined ratio</w:t>
      </w:r>
      <w:r>
        <w:rPr>
          <w:rFonts w:ascii="Times New Roman" w:hAnsi="Times New Roman"/>
          <w:caps w:val="false"/>
          <w:smallCaps w:val="false"/>
          <w:sz w:val="20"/>
        </w:rPr>
        <w:t xml:space="preserve"> is defined as the sum of the loss ratio and the expense ratio. A combined ratio under 100% generally indicates an underwriting profit. A combined ratio over 100% generally indicates an underwriting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Adjusted combined ratio</w:t>
      </w:r>
      <w:r>
        <w:rPr>
          <w:rFonts w:ascii="Times New Roman" w:hAnsi="Times New Roman"/>
          <w:caps w:val="false"/>
          <w:smallCaps w:val="false"/>
          <w:sz w:val="20"/>
        </w:rPr>
        <w:t xml:space="preserve"> is a non</w:t>
        <w:noBreakHyphen/>
        <w:t>GAAP financial measure defined as the sum of the loss ratio and the expense ratio calculated excluding the impact of certain items that may not be indicative of underlying business trends, operating results, or future outlook. See “Reconciliation of Non</w:t>
        <w:noBreakHyphen/>
        <w:t>GAAP Financial Measures” for a reconciliation of combined ratio calculated using unadjusted GAAP numbers to adjusted combined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Diluted adjusted earnings per share</w:t>
      </w:r>
      <w:r>
        <w:rPr>
          <w:rFonts w:ascii="Times New Roman" w:hAnsi="Times New Roman"/>
          <w:caps w:val="false"/>
          <w:smallCaps w:val="false"/>
          <w:sz w:val="20"/>
        </w:rPr>
        <w:t> is a non</w:t>
        <w:noBreakHyphen/>
        <w:t>GAAP financial measure defined as adjusted net income divided by the weighted-average common shares outstanding for the period, reflecting the dilution which could occur if equity-based awards are converted into common share equivalents as calculated using the treasury stock method. See “Reconciliation of Non</w:t>
        <w:noBreakHyphen/>
        <w:t>GAAP Financial Measures” for a reconciliation of diluted earnings per share calculated in accordance with GAAP to diluted adjusted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Catastrophe loss ratio</w:t>
      </w:r>
      <w:r>
        <w:rPr>
          <w:rFonts w:ascii="Times New Roman" w:hAnsi="Times New Roman"/>
          <w:caps w:val="false"/>
          <w:smallCaps w:val="false"/>
          <w:sz w:val="20"/>
        </w:rPr>
        <w:t xml:space="preserve"> is a non</w:t>
        <w:noBreakHyphen/>
        <w:t>GAAP financial measure defined as the ratio of catastrophe losses to net earned premiums. See “Reconciliation of Non</w:t>
        <w:noBreakHyphen/>
        <w:t>GAAP Financial Measures” for a reconciliation of loss ratio calculated using unadjusted GAAP numbers to catastrophe loss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Adjusted combined ratio excluding catastrophe losses</w:t>
      </w:r>
      <w:r>
        <w:rPr>
          <w:rFonts w:ascii="Times New Roman" w:hAnsi="Times New Roman"/>
          <w:caps w:val="false"/>
          <w:smallCaps w:val="false"/>
          <w:sz w:val="20"/>
        </w:rPr>
        <w:t xml:space="preserve"> is a non</w:t>
        <w:noBreakHyphen/>
        <w:t>GAAP financial measure defined as adjusted combined ratio excluding the impact of catastrophe losses. See “Reconciliation of Non</w:t>
        <w:noBreakHyphen/>
        <w:t>GAAP Financial Measures” for a reconciliation of combined ratio calculated using unadjusted GAAP numbers to adjusted combined ratio excluding catastrophe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Adjusted underwriting income</w:t>
      </w:r>
      <w:r>
        <w:rPr>
          <w:rFonts w:ascii="Times New Roman" w:hAnsi="Times New Roman"/>
          <w:caps w:val="false"/>
          <w:smallCaps w:val="false"/>
          <w:sz w:val="20"/>
        </w:rPr>
        <w:t> is a non-GAAP financial measure defined as underwriting income excluding the impact of certain items that may not be indicative of underlying business trends, operating results, or future outlook. See “Reconciliation of Non-GAAP Financial Measures” for a reconciliation of income before income taxes calculated in accordance with GAAP to adjusted underwriting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Tangible stockholders</w:t>
      </w:r>
      <w:r>
        <w:rPr>
          <w:rFonts w:ascii="Times New Roman" w:hAnsi="Times New Roman"/>
          <w:caps w:val="false"/>
          <w:smallCaps w:val="false"/>
          <w:sz w:val="20"/>
        </w:rPr>
        <w:t xml:space="preserve">’ </w:t>
      </w:r>
      <w:r>
        <w:rPr>
          <w:rFonts w:ascii="Times New Roman" w:hAnsi="Times New Roman"/>
          <w:i/>
          <w:caps w:val="false"/>
          <w:smallCaps w:val="false"/>
          <w:sz w:val="20"/>
        </w:rPr>
        <w:t>equity</w:t>
      </w:r>
      <w:r>
        <w:rPr>
          <w:rFonts w:ascii="Times New Roman" w:hAnsi="Times New Roman"/>
          <w:caps w:val="false"/>
          <w:smallCaps w:val="false"/>
          <w:sz w:val="20"/>
        </w:rPr>
        <w:t xml:space="preserve"> is a non</w:t>
        <w:noBreakHyphen/>
        <w:t>GAAP financial measure defined as stockholders’ equity less intangible assets. See “Reconciliation of Non</w:t>
        <w:noBreakHyphen/>
        <w:t>GAAP Financial Measures” for a reconciliation of stockholders’ equity calculated in accordance with GAAP to tangible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Three</w:t>
      </w:r>
      <w:r>
        <w:rPr>
          <w:rFonts w:ascii="Times New Roman" w:hAnsi="Times New Roman"/>
          <w:caps w:val="false"/>
          <w:smallCaps w:val="false"/>
          <w:sz w:val="20"/>
        </w:rPr>
        <w:t> </w:t>
      </w:r>
      <w:r>
        <w:rPr>
          <w:rFonts w:ascii="Times New Roman" w:hAnsi="Times New Roman"/>
          <w:b/>
          <w:i/>
          <w:caps w:val="false"/>
          <w:smallCaps w:val="false"/>
          <w:sz w:val="20"/>
        </w:rPr>
        <w:t>months ended September 30, 2023 compared to three</w:t>
      </w:r>
      <w:r>
        <w:rPr>
          <w:rFonts w:ascii="Times New Roman" w:hAnsi="Times New Roman"/>
          <w:caps w:val="false"/>
          <w:smallCaps w:val="false"/>
          <w:sz w:val="20"/>
        </w:rPr>
        <w:t> </w:t>
      </w:r>
      <w:r>
        <w:rPr>
          <w:rFonts w:ascii="Times New Roman" w:hAnsi="Times New Roman"/>
          <w:b/>
          <w:i/>
          <w:caps w:val="false"/>
          <w:smallCaps w:val="false"/>
          <w:sz w:val="20"/>
        </w:rPr>
        <w:t>months ended September 30,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results for the three months ended September 30, 2023 and 2022:</w:t>
      </w:r>
    </w:p>
    <w:p>
      <w:pPr>
        <w:pStyle w:val="TextBody"/>
        <w:bidi w:val="0"/>
        <w:spacing w:before="0" w:after="0"/>
        <w:ind w:left="0" w:right="0" w:hanging="0"/>
        <w:jc w:val="left"/>
        <w:rPr>
          <w:caps w:val="false"/>
          <w:smallCaps w:val="false"/>
        </w:rPr>
      </w:pPr>
      <w:r>
        <w:rPr>
          <w:caps w:val="false"/>
          <w:smallCaps w:val="false"/>
        </w:rPr>
        <w:t> </w:t>
      </w:r>
    </w:p>
    <w:tbl>
      <w:tblPr>
        <w:tblW w:w="9855" w:type="dxa"/>
        <w:jc w:val="left"/>
        <w:tblInd w:w="0" w:type="dxa"/>
        <w:tblLayout w:type="fixed"/>
        <w:tblCellMar>
          <w:top w:w="0" w:type="dxa"/>
          <w:left w:w="0" w:type="dxa"/>
          <w:bottom w:w="0" w:type="dxa"/>
          <w:right w:w="0" w:type="dxa"/>
        </w:tblCellMar>
      </w:tblPr>
      <w:tblGrid>
        <w:gridCol w:w="5420"/>
        <w:gridCol w:w="60"/>
        <w:gridCol w:w="125"/>
        <w:gridCol w:w="755"/>
        <w:gridCol w:w="245"/>
        <w:gridCol w:w="60"/>
        <w:gridCol w:w="125"/>
        <w:gridCol w:w="755"/>
        <w:gridCol w:w="185"/>
        <w:gridCol w:w="60"/>
        <w:gridCol w:w="125"/>
        <w:gridCol w:w="650"/>
        <w:gridCol w:w="80"/>
        <w:gridCol w:w="60"/>
        <w:gridCol w:w="99"/>
        <w:gridCol w:w="806"/>
        <w:gridCol w:w="245"/>
      </w:tblGrid>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30"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per share data)</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written premiums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313,998</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253,128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Ceded written premiums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(203,336</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(161,930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(41,406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written premiums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110,662</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91,198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earned premiums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85,817</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77,942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Commission and other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465</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(65.9</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lineRule="auto" w:line="288"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underwriting revenue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86,282</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79,304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Losses and loss adjustment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16,139</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(14,761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 expenses, net of ceding commissions and fronting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27,004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(0.8</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underwriting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22,390</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17,114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5,276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sz w:val="20"/>
              </w:rPr>
              <w:t>Underwriting income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20,749</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16,669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NM</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investment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6,029</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realized and unrealized losses on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(1,376</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24,535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5,198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19,337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NM</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6,103</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NM</w:t>
            </w:r>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Net income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5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18,432</w:t>
            </w:r>
          </w:p>
        </w:tc>
        <w:tc>
          <w:tcPr>
            <w:tcW w:w="245"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5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4,286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14,146</w:t>
            </w:r>
          </w:p>
        </w:tc>
        <w:tc>
          <w:tcPr>
            <w:tcW w:w="80"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0"/>
              <w:ind w:left="0" w:right="0" w:hanging="0"/>
              <w:jc w:val="left"/>
              <w:rPr/>
            </w:pPr>
            <w:r>
              <w:rPr/>
              <w:t> </w:t>
            </w:r>
          </w:p>
        </w:tc>
        <w:tc>
          <w:tcPr>
            <w:tcW w:w="80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NM</w:t>
            </w:r>
          </w:p>
        </w:tc>
        <w:tc>
          <w:tcPr>
            <w:tcW w:w="245" w:type="dxa"/>
            <w:tcBorders/>
            <w:shd w:fill="FFFFFF" w:val="clear"/>
            <w:vAlign w:val="center"/>
          </w:tcPr>
          <w:p>
            <w:pPr>
              <w:pStyle w:val="TableContents"/>
              <w:bidi w:val="0"/>
              <w:spacing w:before="0" w:after="0"/>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realized and unrealized losses on investments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1,376</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Expenses associated with transactions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229</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NM</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3,589</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intangibles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impact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lineRule="auto" w:line="288"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Adjusted net income (1)(2)</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23,291</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9,221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14,070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Key Financial and Operating Metrics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Annualized return on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Annualized adjusted return on equity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ratio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 ratio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Combined ratio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combined ratio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0.73</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 adjusted earnings per share (1)</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0.92</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Catastrophe losses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Catastrophe loss ratio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combined ratio excluding catastrophe losses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71.5</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underwriting income (1)</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24,957</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231.4</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NM - not meaningful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Indicates non-GAAP financial measure; see “Reconciliation of Non</w:t>
              <w:noBreakHyphen/>
              <w:t>GAAP Financial Measures” for a reconciliation of the non</w:t>
              <w:noBreakHyphen/>
              <w:t>GAAP financial measures to their most directly comparable financial measures prepared in accordance with GAAP.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now include the impact of net realized and unrealized losses and gains on investments as an adjustment to our net income. As this balance is primarily driven by equity market fluctuations rather than our underlying business performance, we believe adding this adjustment provides a more meaningful comparison of our performance. We have also changed the prior year adjusted net income to conform to this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Gross written premiums increased $60.9 million, or 24.0% to $314.0 million for the three months ended September 30, 2023 compared to $253.1 million for the three months ended September 30, 2022. Premium growth was primarily due to an increased volume of policies written across our lines of business which was driven by new business generated with existing partners, strong premium retention rates for existing business, expansion of our distribution footprint, and new partnerships. The following table summarizes our gross written premiums by line of business and shows each line’s percentage of total gross written premiums for each period:</w:t>
      </w:r>
    </w:p>
    <w:p>
      <w:pPr>
        <w:pStyle w:val="TextBody"/>
        <w:bidi w:val="0"/>
        <w:spacing w:before="0" w:after="0"/>
        <w:ind w:left="0" w:right="0" w:hanging="0"/>
        <w:jc w:val="left"/>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2450"/>
        <w:gridCol w:w="60"/>
        <w:gridCol w:w="125"/>
        <w:gridCol w:w="695"/>
        <w:gridCol w:w="60"/>
        <w:gridCol w:w="60"/>
        <w:gridCol w:w="60"/>
        <w:gridCol w:w="485"/>
        <w:gridCol w:w="185"/>
        <w:gridCol w:w="60"/>
        <w:gridCol w:w="125"/>
        <w:gridCol w:w="695"/>
        <w:gridCol w:w="60"/>
        <w:gridCol w:w="60"/>
        <w:gridCol w:w="60"/>
        <w:gridCol w:w="485"/>
        <w:gridCol w:w="185"/>
        <w:gridCol w:w="60"/>
        <w:gridCol w:w="125"/>
        <w:gridCol w:w="590"/>
        <w:gridCol w:w="80"/>
        <w:gridCol w:w="60"/>
        <w:gridCol w:w="79"/>
        <w:gridCol w:w="586"/>
        <w:gridCol w:w="245"/>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75" w:type="dxa"/>
            <w:gridSpan w:val="18"/>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Product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Fronting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106,581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Residential Earthquake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Earthquake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32,647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Inland Marine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Casualty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Hawaii Hurricane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All Risk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Residential Flood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13,680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Gross Written Premiums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313,998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253,128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60,870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Fronting premiums represent premium where we subsequently cede the majority of the premium and risk in exchange for a fronting fee, which is our primary source of profit in the arrangement.  The volume of fronting premiums written each period may vary due to the timing of entering new fronting partnerships and terminations of existing fronting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recently made underwriting changes to reduce our exposure to continental U.S. hurricane events.  These underwriting changes contributed to the decline in Commercial All Risk premiums shown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gross written premiums by insurance subsidiary:</w:t>
      </w:r>
    </w:p>
    <w:p>
      <w:pPr>
        <w:pStyle w:val="TextBody"/>
        <w:bidi w:val="0"/>
        <w:spacing w:before="0" w:after="0"/>
        <w:ind w:left="0" w:right="0" w:hanging="0"/>
        <w:jc w:val="left"/>
        <w:rPr>
          <w:caps w:val="false"/>
          <w:smallCaps w:val="false"/>
        </w:rPr>
      </w:pPr>
      <w:r>
        <w:rPr>
          <w:caps w:val="false"/>
          <w:smallCaps w:val="false"/>
        </w:rPr>
        <w:t> </w:t>
      </w:r>
    </w:p>
    <w:tbl>
      <w:tblPr>
        <w:tblW w:w="7655" w:type="dxa"/>
        <w:jc w:val="left"/>
        <w:tblInd w:w="0" w:type="dxa"/>
        <w:tblLayout w:type="fixed"/>
        <w:tblCellMar>
          <w:top w:w="0" w:type="dxa"/>
          <w:left w:w="0" w:type="dxa"/>
          <w:bottom w:w="0" w:type="dxa"/>
          <w:right w:w="0" w:type="dxa"/>
        </w:tblCellMar>
      </w:tblPr>
      <w:tblGrid>
        <w:gridCol w:w="2450"/>
        <w:gridCol w:w="60"/>
        <w:gridCol w:w="125"/>
        <w:gridCol w:w="695"/>
        <w:gridCol w:w="60"/>
        <w:gridCol w:w="60"/>
        <w:gridCol w:w="60"/>
        <w:gridCol w:w="485"/>
        <w:gridCol w:w="185"/>
        <w:gridCol w:w="60"/>
        <w:gridCol w:w="125"/>
        <w:gridCol w:w="695"/>
        <w:gridCol w:w="60"/>
        <w:gridCol w:w="60"/>
        <w:gridCol w:w="60"/>
        <w:gridCol w:w="485"/>
        <w:gridCol w:w="185"/>
        <w:gridCol w:w="60"/>
        <w:gridCol w:w="125"/>
        <w:gridCol w:w="590"/>
        <w:gridCol w:w="60"/>
        <w:gridCol w:w="60"/>
        <w:gridCol w:w="90"/>
        <w:gridCol w:w="575"/>
        <w:gridCol w:w="185"/>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75" w:type="dxa"/>
            <w:gridSpan w:val="18"/>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Subsidiary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136,814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PESIC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127,305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116,314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10,991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Gross Written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313,998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253,128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60,870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Ceded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Ceded written premiums increased $41.4 million, or 25.6%, to $203.3 million for the three months ended September 30, 2023 from $161.9 million for the three months ended September 30, 2022. The increase was primarily due to increased premiums ceded under quota share and fronting agreements due to growth in the volume of written premiums subject to quota share or fronting agreements. In addition, we incurred increased XOL reinsurance expense due to growth in exposure and higher rates on XOL reinsurance.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Ceded written premiums as a percentage of gross written premiums increased to 64.8% for the three months ended September 30, 2023 from 64.0% for the three months ended September 30, 2022. This increase was primarily due to increased fronting and quota share cessions as previously described.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written premiums increased $19.5 million, or 21.3%, to $110.7 million for the three months ended September 30, 2023 from $91.2 million for the three months ended September 30, 2022. The increase was primarily due to an increase in gross written premiums, primarily in our Residential and Commercial Earthquake lines partially offset by increased ceded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Earned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earned premiums increased $7.9 million, or 10.1%, to $85.8 million for the three months ended September 30, 2023 from $77.9 million for the three months ended September 30, 2022 due primarily to the earning of increased gross written premiums offset by the earning of ceded written premiums under reinsurance agreements. The table below shows the amount of premiums we earned on a gross and net basis and net earned premiums as a percentage of gross earned premiums in each period presented:</w:t>
      </w:r>
    </w:p>
    <w:p>
      <w:pPr>
        <w:pStyle w:val="TextBody"/>
        <w:bidi w:val="0"/>
        <w:spacing w:before="0" w:after="0"/>
        <w:ind w:left="0" w:right="0" w:hanging="0"/>
        <w:jc w:val="left"/>
        <w:rPr>
          <w:caps w:val="false"/>
          <w:smallCaps w:val="false"/>
        </w:rPr>
      </w:pPr>
      <w:r>
        <w:rPr>
          <w:caps w:val="false"/>
          <w:smallCaps w:val="false"/>
        </w:rPr>
        <w:t> </w:t>
      </w:r>
    </w:p>
    <w:tbl>
      <w:tblPr>
        <w:tblW w:w="6390" w:type="dxa"/>
        <w:jc w:val="left"/>
        <w:tblInd w:w="0" w:type="dxa"/>
        <w:tblLayout w:type="fixed"/>
        <w:tblCellMar>
          <w:top w:w="0" w:type="dxa"/>
          <w:left w:w="0" w:type="dxa"/>
          <w:bottom w:w="0" w:type="dxa"/>
          <w:right w:w="0" w:type="dxa"/>
        </w:tblCellMar>
      </w:tblPr>
      <w:tblGrid>
        <w:gridCol w:w="2075"/>
        <w:gridCol w:w="60"/>
        <w:gridCol w:w="125"/>
        <w:gridCol w:w="755"/>
        <w:gridCol w:w="185"/>
        <w:gridCol w:w="60"/>
        <w:gridCol w:w="125"/>
        <w:gridCol w:w="755"/>
        <w:gridCol w:w="185"/>
        <w:gridCol w:w="60"/>
        <w:gridCol w:w="125"/>
        <w:gridCol w:w="650"/>
        <w:gridCol w:w="80"/>
        <w:gridCol w:w="60"/>
        <w:gridCol w:w="123"/>
        <w:gridCol w:w="782"/>
        <w:gridCol w:w="185"/>
      </w:tblGrid>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70"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earned premiums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271,786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186,938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84,848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Ceded earned premiums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(185,969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(108,996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(76,973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earned premiums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85,817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77,942</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7,875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earned premium ratio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decline in net earned premium ratio shown above was primarily caused by an increase to fronting premiums whereby the majority of premium and exposure is ceded in exchange for a fronting fee which is recognized as an offset to acquisition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Commission and 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Commission and other income decreased $0.9 million to $0.5 million for the three months ended September 30, 2023 from $1.3 million for the three months ended September 30, 2022. The balance decreased due to a decrease in commissions from a lower volume of policies written through our internal managing general agency, Palomar Insurance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Losses and Loss Adjustment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Losses and loss adjustment expenses decreased $14.8 million, or 47.8% to $16.1 million for the three months ended September 30, 2023 from $30.9 million for the three months ended September 30, 2022. Losses and loss adjustment expenses consisted of the following elements during the respective periods:</w:t>
      </w:r>
    </w:p>
    <w:p>
      <w:pPr>
        <w:pStyle w:val="TextBody"/>
        <w:bidi w:val="0"/>
        <w:spacing w:before="0" w:after="0"/>
        <w:ind w:left="0" w:right="0" w:hanging="0"/>
        <w:jc w:val="left"/>
        <w:rPr>
          <w:caps w:val="false"/>
          <w:smallCaps w:val="false"/>
        </w:rPr>
      </w:pPr>
      <w:r>
        <w:rPr>
          <w:caps w:val="false"/>
          <w:smallCaps w:val="false"/>
        </w:rPr>
        <w:t> </w:t>
      </w:r>
    </w:p>
    <w:tbl>
      <w:tblPr>
        <w:tblW w:w="7442" w:type="dxa"/>
        <w:jc w:val="left"/>
        <w:tblInd w:w="0" w:type="dxa"/>
        <w:tblLayout w:type="fixed"/>
        <w:tblCellMar>
          <w:top w:w="0" w:type="dxa"/>
          <w:left w:w="0" w:type="dxa"/>
          <w:bottom w:w="0" w:type="dxa"/>
          <w:right w:w="0" w:type="dxa"/>
        </w:tblCellMar>
      </w:tblPr>
      <w:tblGrid>
        <w:gridCol w:w="3410"/>
        <w:gridCol w:w="60"/>
        <w:gridCol w:w="142"/>
        <w:gridCol w:w="672"/>
        <w:gridCol w:w="91"/>
        <w:gridCol w:w="68"/>
        <w:gridCol w:w="142"/>
        <w:gridCol w:w="672"/>
        <w:gridCol w:w="60"/>
        <w:gridCol w:w="60"/>
        <w:gridCol w:w="125"/>
        <w:gridCol w:w="650"/>
        <w:gridCol w:w="80"/>
        <w:gridCol w:w="60"/>
        <w:gridCol w:w="89"/>
        <w:gridCol w:w="816"/>
        <w:gridCol w:w="245"/>
      </w:tblGrid>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27"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245"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Catastrophe losses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w:t>
            </w:r>
          </w:p>
        </w:tc>
        <w:tc>
          <w:tcPr>
            <w:tcW w:w="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(13,033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Non-catastrophe losses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16,672</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losses and loss adjustment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16,139</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(14,761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catastrophe loss ratio was -0.6% during the three months ended September 30, 2023. Catastrophe loss activity for the quarter was primarily related to favorable development on severe convective storms that occurred during the second quarter of 2023 and favorable development on prior year hurricanes.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catastrophe loss ratio was 16.0% during the three months ended September 30, 2022. Catastrophe losses for the quarter were related to Hurricane Ian which primarily impacted our Commercial All Risk line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non-catastrophe loss ratio was 19.4% for the three months ended September 30, 2023 compared to 23.6% during the three months ended September 30, 2022. Non-catastrophe losses decreased due mainly to lower attritional losses on lines of business subject to attritional losses such as Commercial All Risk, Casualty, and Inland Marine.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Acquisition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Acquisition expenses decreased $0.2 million, or 0.8%, to $27.0 million for the three months ended September 30, 2023 from $27.2 million for the three months ended September 30, 2022. The decrease was primarily due to higher earned ceding commissions and fronting fees due to an increase in premiums subject to a quota share or fronting agreement. This was partially offset by higher commissions and premium-related taxes resulting from higher gross earned premiums. Acquisition expenses as a percentage of gross earned premiums were 9.9% for the three months ended September 30, 2023 compared to 14.6% for the three months ended September 30, 2022. Acquisition expenses as a percentage of gross earned premiums decreased due to the recognition of higher ceding commission and fronting fee income as a percentage of gross earned premiums resulting from changes in mix of business produced.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Underwriting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underwriting expenses increased $5.3 million, or 30.8%, to $22.4 million for the three months ended September 30, 2023 from $17.1 million for the three months ended September 30, 2022. The increase was primarily due to the Company incurring higher payroll, technology, and stock-based compensation expenses associated with growth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underwriting expenses as a percentage of gross earned premiums were 8.2% for the three months ended September 30, 2023 compared to 9.2% for the three months ended September 30, 2022. Excluding the impact of expenses relating to transactions, stock-based compensation, and amortization of intangibles, other underwriting expenses as a percentage of gross earned premiums were 6.7% for the three months ended September 30, 2023 compared to 7.3% for the three months ended September 30, 2022. This percentage decreased due to an increase in earned premiums without a corresponding increase in operating expenses. Other underwriting expenses as a percentage of gross earned premiums may fluctuate period over period based on timing of certain expenses relative to premium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Investment Income and Net Realized and Unrealized Gains (Losses) on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investment income increased $2.3 million, or 61.0%, to $6.0 million for the three months ended September 30, 2023 from $3.7 million for the three months ended September 30, 2022. The increase was primarily due to a higher average balance of investments during the three months ended September 30, 2023 and higher yields on invested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incurred $1.4 million of net realized and unrealized losses on investments for the three months ended September 30, 2023 compared to $2.4 million of net realized and unrealized losses for the three months ended September 30, 2022 In both periods, the balance was primarily driven by unrealized losses on our equity securities. Unrealized gains and losses on fixed maturity securities are recognized as a component of other comprehensive income and do not impact our net income. The following table summarizes the components of our investment income for each period presented:</w:t>
      </w:r>
    </w:p>
    <w:p>
      <w:pPr>
        <w:pStyle w:val="TextBody"/>
        <w:bidi w:val="0"/>
        <w:spacing w:before="0" w:after="0"/>
        <w:ind w:left="0" w:right="0" w:hanging="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4040"/>
        <w:gridCol w:w="60"/>
        <w:gridCol w:w="151"/>
        <w:gridCol w:w="659"/>
        <w:gridCol w:w="96"/>
        <w:gridCol w:w="72"/>
        <w:gridCol w:w="151"/>
        <w:gridCol w:w="659"/>
        <w:gridCol w:w="80"/>
        <w:gridCol w:w="60"/>
        <w:gridCol w:w="136"/>
        <w:gridCol w:w="529"/>
        <w:gridCol w:w="80"/>
        <w:gridCol w:w="60"/>
        <w:gridCol w:w="99"/>
        <w:gridCol w:w="806"/>
        <w:gridCol w:w="245"/>
      </w:tblGrid>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8"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38"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245"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5,952</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income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management fees and expenses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investment income</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6,029</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realized and unrealized losses on investments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(1,376</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4,653</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2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235.2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Income Tax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Income tax expense increased $5.2 million to $6.1 million for the three months ended September 30, 2023 from $0.9 million for the three months ended September 30, 2022 due to higher pre-tax income and a higher tax rate for the period ended September 30, 2023. During the three months ended September 30, 2023, our income tax rate of 24.9% was higher than the statutory rate of 21% due primarily to non-deductible executive compensation expense. During the three months ended September 30, 2022, our income tax rate of 17.5% was lower than the statutory rate of 21% due primarily to the permanent component of employee stock option exercises.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Nine</w:t>
      </w:r>
      <w:r>
        <w:rPr>
          <w:rFonts w:ascii="Times New Roman" w:hAnsi="Times New Roman"/>
          <w:caps w:val="false"/>
          <w:smallCaps w:val="false"/>
          <w:sz w:val="20"/>
        </w:rPr>
        <w:t xml:space="preserve"> </w:t>
      </w:r>
      <w:r>
        <w:rPr>
          <w:rFonts w:ascii="Times New Roman" w:hAnsi="Times New Roman"/>
          <w:b/>
          <w:i/>
          <w:caps w:val="false"/>
          <w:smallCaps w:val="false"/>
          <w:sz w:val="20"/>
        </w:rPr>
        <w:t>months ended September 30, 2023 compared to nine months ended September 30,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results for the nine months ended September 30, 2023 and 2022:</w:t>
      </w:r>
    </w:p>
    <w:p>
      <w:pPr>
        <w:pStyle w:val="TextBody"/>
        <w:bidi w:val="0"/>
        <w:spacing w:before="0" w:after="0"/>
        <w:ind w:left="0" w:right="0" w:hanging="0"/>
        <w:jc w:val="left"/>
        <w:rPr>
          <w:caps w:val="false"/>
          <w:smallCaps w:val="false"/>
        </w:rPr>
      </w:pPr>
      <w:r>
        <w:rPr>
          <w:caps w:val="false"/>
          <w:smallCaps w:val="false"/>
        </w:rPr>
        <w:t> </w:t>
      </w:r>
    </w:p>
    <w:tbl>
      <w:tblPr>
        <w:tblW w:w="9900" w:type="dxa"/>
        <w:jc w:val="left"/>
        <w:tblInd w:w="0" w:type="dxa"/>
        <w:tblLayout w:type="fixed"/>
        <w:tblCellMar>
          <w:top w:w="0" w:type="dxa"/>
          <w:left w:w="0" w:type="dxa"/>
          <w:bottom w:w="0" w:type="dxa"/>
          <w:right w:w="0" w:type="dxa"/>
        </w:tblCellMar>
      </w:tblPr>
      <w:tblGrid>
        <w:gridCol w:w="5420"/>
        <w:gridCol w:w="60"/>
        <w:gridCol w:w="125"/>
        <w:gridCol w:w="755"/>
        <w:gridCol w:w="185"/>
        <w:gridCol w:w="60"/>
        <w:gridCol w:w="125"/>
        <w:gridCol w:w="755"/>
        <w:gridCol w:w="185"/>
        <w:gridCol w:w="60"/>
        <w:gridCol w:w="125"/>
        <w:gridCol w:w="755"/>
        <w:gridCol w:w="80"/>
        <w:gridCol w:w="60"/>
        <w:gridCol w:w="108"/>
        <w:gridCol w:w="797"/>
        <w:gridCol w:w="245"/>
      </w:tblGrid>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75"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per share data)</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written premiums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838,406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642,751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195,655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Ceded written premiums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(542,789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(374,109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(168,680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written premiums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295,617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268,642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earned premiums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252,164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234,239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Commission and other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lineRule="auto" w:line="288"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underwriting revenue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253,945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237,368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Losses and loss adjustment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54,696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60,251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 expenses, net of ceding commissions and fronting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78,740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underwriting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63,962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51,233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12,729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lineRule="auto" w:line="288"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Underwriting income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56,547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41,956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NM</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investment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16,690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9,462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76.4</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realized and unrealized losses on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(8,369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8,266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70,182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42,574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64.8</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16,877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9,163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7,714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53,305</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33,411</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19,894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sz w:val="20"/>
              </w:rPr>
              <w:t>Net realized and unrealized losses on investments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8,369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(8,266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(98.8</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 associated with transactions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10,737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8,556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intangibles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 associated with catastrophe bond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impact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lineRule="auto" w:line="288"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Adjusted net income (1)(2)</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65,524</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50,247</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15,277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Key Financial and Operating Metrics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Annualized return on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Annualized adjusted return on equity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ratio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 ratio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Combined ratio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combined ratio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 earnings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 adjusted earnings per share (1)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Catastrophe losses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13,529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Catastrophe loss ratio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combined ratio excluding catastrophe losses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underwriting income (1)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70,245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53,576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NM- not meaningful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99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Indicates non-GAAP financial measure; see “Reconciliation of Non-GAAP Financial Measures” for a reconciliation of the non-GAAP financial measures to their most directly comparable financial measures prepared in accordance with GAAP.</w:t>
            </w:r>
          </w:p>
        </w:tc>
      </w:tr>
    </w:tbl>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(2)</w:t>
            </w:r>
          </w:p>
        </w:tc>
        <w:tc>
          <w:tcPr>
            <w:tcW w:w="99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now include the impact of net realized and unrealized losses and gains on investments as an adjustment to our net income. As this balance is primarily driven by equity market fluctuations rather than our underlying business performance, we believe adding this adjustment provides a more meaningful comparison of our performance. We have also changed the prior year adjusted net income to conform to this presentation.</w:t>
            </w:r>
          </w:p>
        </w:tc>
      </w:tr>
    </w:tbl>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Gross written premiums increased $195.7 million, or 30.4% to $838.4 million for the nine months ended September 30, 2023 compared to $642.8 million for the nine months ended September 30, 2022. Premium growth was primarily due to an increased volume of policies written across our lines of business which was driven by new business generated with existing partners, strong premium retention rates for existing business, expansion of our distribution footprint, and new partnerships. The following table summarizes our gross written premiums by line of business and shows each line’s percentage of total gross written premiums for each period:</w:t>
      </w:r>
    </w:p>
    <w:p>
      <w:pPr>
        <w:pStyle w:val="TextBody"/>
        <w:bidi w:val="0"/>
        <w:spacing w:before="0" w:after="0"/>
        <w:ind w:left="0" w:right="0" w:hanging="0"/>
        <w:jc w:val="left"/>
        <w:rPr>
          <w:caps w:val="false"/>
          <w:smallCaps w:val="false"/>
        </w:rPr>
      </w:pPr>
      <w:r>
        <w:rPr>
          <w:caps w:val="false"/>
          <w:smallCaps w:val="false"/>
        </w:rPr>
        <w:t> </w:t>
      </w:r>
    </w:p>
    <w:tbl>
      <w:tblPr>
        <w:tblW w:w="7920" w:type="dxa"/>
        <w:jc w:val="left"/>
        <w:tblInd w:w="0" w:type="dxa"/>
        <w:tblLayout w:type="fixed"/>
        <w:tblCellMar>
          <w:top w:w="0" w:type="dxa"/>
          <w:left w:w="0" w:type="dxa"/>
          <w:bottom w:w="0" w:type="dxa"/>
          <w:right w:w="0" w:type="dxa"/>
        </w:tblCellMar>
      </w:tblPr>
      <w:tblGrid>
        <w:gridCol w:w="2450"/>
        <w:gridCol w:w="60"/>
        <w:gridCol w:w="125"/>
        <w:gridCol w:w="695"/>
        <w:gridCol w:w="80"/>
        <w:gridCol w:w="60"/>
        <w:gridCol w:w="60"/>
        <w:gridCol w:w="485"/>
        <w:gridCol w:w="245"/>
        <w:gridCol w:w="60"/>
        <w:gridCol w:w="125"/>
        <w:gridCol w:w="695"/>
        <w:gridCol w:w="60"/>
        <w:gridCol w:w="60"/>
        <w:gridCol w:w="60"/>
        <w:gridCol w:w="485"/>
        <w:gridCol w:w="185"/>
        <w:gridCol w:w="60"/>
        <w:gridCol w:w="125"/>
        <w:gridCol w:w="695"/>
        <w:gridCol w:w="80"/>
        <w:gridCol w:w="60"/>
        <w:gridCol w:w="65"/>
        <w:gridCol w:w="600"/>
        <w:gridCol w:w="245"/>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9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60" w:type="dxa"/>
            <w:gridSpan w:val="18"/>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gridSpan w:val="2"/>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Product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Fronting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278,548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124,316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Residential Earthquake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190,048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Earthquake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124,763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Inland Marine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103,841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Casualty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Hawaii Hurricane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All Risk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(14,878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Residential Flood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Specialty Homeowners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(30,181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20,710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32,963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(12,253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Gross Written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838,406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2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642,751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195,655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Fronting premiums represent premium where we subsequently cede the majority of the premium and risk in exchange for a fronting fee, which is our primary source of profit in the arrangement.  The volume of fronting premiums written each period may vary due to the timing of entering new fronting partnerships and terminations of existing fronting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second quarter of 2022, we ceased writing Specialty Homeowners business outside of Texas and converted our Texas Specialty Homeowners business to a fronting arrangement beginning June 1, 2022. These underwriting changes caused the decline in Specialty Homeowners premiums and contributed to the increase in Fronting premiums shown above. In addition, we have recently made underwriting changes to reduce our exposure to continental U.S. hurricane events.  These underwriting changes contributed to the decline in Commercial All Risk premiums shown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gross written premiums by insurance subsidiary:</w:t>
      </w:r>
    </w:p>
    <w:p>
      <w:pPr>
        <w:pStyle w:val="TextBody"/>
        <w:bidi w:val="0"/>
        <w:spacing w:before="0" w:after="0"/>
        <w:ind w:left="0" w:right="0" w:hanging="0"/>
        <w:jc w:val="left"/>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2450"/>
        <w:gridCol w:w="60"/>
        <w:gridCol w:w="125"/>
        <w:gridCol w:w="695"/>
        <w:gridCol w:w="60"/>
        <w:gridCol w:w="60"/>
        <w:gridCol w:w="60"/>
        <w:gridCol w:w="485"/>
        <w:gridCol w:w="185"/>
        <w:gridCol w:w="60"/>
        <w:gridCol w:w="125"/>
        <w:gridCol w:w="695"/>
        <w:gridCol w:w="60"/>
        <w:gridCol w:w="60"/>
        <w:gridCol w:w="60"/>
        <w:gridCol w:w="485"/>
        <w:gridCol w:w="185"/>
        <w:gridCol w:w="60"/>
        <w:gridCol w:w="125"/>
        <w:gridCol w:w="695"/>
        <w:gridCol w:w="60"/>
        <w:gridCol w:w="60"/>
        <w:gridCol w:w="90"/>
        <w:gridCol w:w="575"/>
        <w:gridCol w:w="185"/>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80" w:type="dxa"/>
            <w:gridSpan w:val="18"/>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Subsidiary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PESIC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341,190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285,595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55,595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Gross Written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838,406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642,751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195,655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Ceded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Ceded written premiums increased $168.7 million, or 45.1%, to $542.8 million for the nine months ended September 30, 2023 from $374.1 million for the nine months ended September 30, 2022. The increase was primarily due to increased premiums ceded under fronting agreements due to growth in fronting premiums written and growth in the volume of written premiums subject to quota shares. In addition, we incurred increased XOL reinsurance expense due to growth in exposure and higher rates on XOL reinsurance.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Ceded written premiums as a percentage of gross written premiums increased to 64.7% for the nine months ended September 30, 2023 from 58.2% for the nine months ended September 30, 2022. This increase was primarily due to increased quota share and fronting cessions as previously described.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written premiums increased $27.0 million, or 10.0%, to $295.6 million for the nine months ended September 30, 2023 from $268.6 million for the nine months ended September 30, 2022. The increase was primarily due to an increase in gross written premiums, primarily in our Commercial Earthquake and Inland Marine lines, partially offset by increased ceded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Earned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earned premiums increased $17.9 million, or 7.7%, to $252.2 million for the nine months ended September 30, 2023 from $234.2 million for the nine months ended September 30, 2022 due primarily to the earning of increased gross written premiums offset by the earning of ceded written premiums under reinsurance agreements. The table below shows the amount of premiums we earned on a gross and net basis and net earned premiums as a percentage of gross earned premiums in each period presented.</w:t>
      </w:r>
    </w:p>
    <w:p>
      <w:pPr>
        <w:pStyle w:val="TextBody"/>
        <w:bidi w:val="0"/>
        <w:spacing w:before="0" w:after="0"/>
        <w:ind w:left="0" w:right="0" w:hanging="0"/>
        <w:jc w:val="left"/>
        <w:rPr>
          <w:caps w:val="false"/>
          <w:smallCaps w:val="false"/>
        </w:rPr>
      </w:pPr>
      <w:r>
        <w:rPr>
          <w:caps w:val="false"/>
          <w:smallCaps w:val="false"/>
        </w:rPr>
        <w:t> </w:t>
      </w:r>
    </w:p>
    <w:tbl>
      <w:tblPr>
        <w:tblW w:w="6495" w:type="dxa"/>
        <w:jc w:val="left"/>
        <w:tblInd w:w="0" w:type="dxa"/>
        <w:tblLayout w:type="fixed"/>
        <w:tblCellMar>
          <w:top w:w="0" w:type="dxa"/>
          <w:left w:w="0" w:type="dxa"/>
          <w:bottom w:w="0" w:type="dxa"/>
          <w:right w:w="0" w:type="dxa"/>
        </w:tblCellMar>
      </w:tblPr>
      <w:tblGrid>
        <w:gridCol w:w="2075"/>
        <w:gridCol w:w="60"/>
        <w:gridCol w:w="125"/>
        <w:gridCol w:w="755"/>
        <w:gridCol w:w="185"/>
        <w:gridCol w:w="60"/>
        <w:gridCol w:w="125"/>
        <w:gridCol w:w="755"/>
        <w:gridCol w:w="185"/>
        <w:gridCol w:w="60"/>
        <w:gridCol w:w="125"/>
        <w:gridCol w:w="755"/>
        <w:gridCol w:w="80"/>
        <w:gridCol w:w="60"/>
        <w:gridCol w:w="123"/>
        <w:gridCol w:w="782"/>
        <w:gridCol w:w="185"/>
      </w:tblGrid>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75"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earned premiums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739,219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484,005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255,214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Ceded earned premiums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(487,055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(249,766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(237,289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earned premiums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252,164</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234,239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17,925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earned premium ratio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decline in earned premium ratio shown above was primarily caused by an increase to fronting premiums whereby the majority of premium and exposure is ceded in exchange for a fronting fee which is recognized as an offset to acquisition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Commission and 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Commission and other income decreased by $1.3 million, or 43.1%, to $1.8 million for the nine months ended September 30, 2023, from $3.1 million for the nine months ended September 30, 2022. The balance decreased due to a decrease in commissions from a lower volume of policies written through our internal managing general agency, Palomar Insurance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Losses and Loss Adjustment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Losses and loss adjustment expenses decreased $5.6 million to $54.7 million for the nine months ended September 30, 2023 from $60.3 million for the nine months ended September 30, 2022. Losses and loss adjustment expenses consisted of the following elements during the respective periods:</w:t>
      </w:r>
    </w:p>
    <w:p>
      <w:pPr>
        <w:pStyle w:val="TextBody"/>
        <w:bidi w:val="0"/>
        <w:spacing w:before="0" w:after="0"/>
        <w:ind w:left="0" w:right="0" w:hanging="0"/>
        <w:jc w:val="left"/>
        <w:rPr>
          <w:caps w:val="false"/>
          <w:smallCaps w:val="false"/>
        </w:rPr>
      </w:pPr>
      <w:r>
        <w:rPr>
          <w:caps w:val="false"/>
          <w:smallCaps w:val="false"/>
        </w:rPr>
        <w:t> </w:t>
      </w:r>
    </w:p>
    <w:tbl>
      <w:tblPr>
        <w:tblW w:w="7321" w:type="dxa"/>
        <w:jc w:val="left"/>
        <w:tblInd w:w="0" w:type="dxa"/>
        <w:tblLayout w:type="fixed"/>
        <w:tblCellMar>
          <w:top w:w="0" w:type="dxa"/>
          <w:left w:w="0" w:type="dxa"/>
          <w:bottom w:w="0" w:type="dxa"/>
          <w:right w:w="0" w:type="dxa"/>
        </w:tblCellMar>
      </w:tblPr>
      <w:tblGrid>
        <w:gridCol w:w="3410"/>
        <w:gridCol w:w="60"/>
        <w:gridCol w:w="134"/>
        <w:gridCol w:w="635"/>
        <w:gridCol w:w="64"/>
        <w:gridCol w:w="64"/>
        <w:gridCol w:w="134"/>
        <w:gridCol w:w="635"/>
        <w:gridCol w:w="60"/>
        <w:gridCol w:w="60"/>
        <w:gridCol w:w="125"/>
        <w:gridCol w:w="650"/>
        <w:gridCol w:w="80"/>
        <w:gridCol w:w="60"/>
        <w:gridCol w:w="108"/>
        <w:gridCol w:w="797"/>
        <w:gridCol w:w="245"/>
      </w:tblGrid>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06"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245"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Catastrophe losses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(10,097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Non-catastrophe losses</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51,264</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4,542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losses and loss adjustment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54,696</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60,251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catastrophe loss ratio was 1.4% during the nine months ended September 30, 2023. Catastrophe losses were related to floods occurring during the first quarter and severe convective storms occurring during the second quarter.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catastrophe loss ratio was 5.8% during the nine months ended September 30, 2022. Catastrophe losses were primarily related to Hurricane Ian which primarily impacted our Commercial All Risk line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non-catastrophe loss ratio was 20.3% for the nine months ended September 30, 2023 compared to 19.9% during the nine months ended September 30, 2022. Non-catastrophe losses increased due mainly to higher attritional losses on lines of business subject to attritional losses such as Commercial All Risk, Casualty, and Inland Marine.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Acquisition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Acquisition expenses decreased $5.2 million, or 6.2%, to $78.7 million for the nine months ended September 30, 2023 from $83.9 million for the nine months ended September 30, 2022. The decrease was primarily due to higher earned ceding commissions and fronting fees due to an increase in premiums subject to a quota share or fronting agreement. This was partially offset by higher commissions and premium-related taxes resulting from higher gross earned premiums. Acquisition expenses as a percentage of gross earned premiums were 10.7% for the nine months ended September 30, 2023 compared to 17.3% for the nine months ended September 30, 2022. Acquisition expenses as a percentage of gross earned premiums decreased due to the recognition of higher ceding commission and fronting fee income as a percentage of gross earned premiums due to changes in mix of business produced.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Underwriting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underwriting expenses increased $12.7 million, or 24.8%, to $64.0 million for the nine months ended September 30, 2023 from $51.2 million for the nine months ended September 30, 2022. The increase was primarily due to the Company incurring higher payroll, technology, stock-based compensation, and professional fees expenses associated with growth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underwriting expenses as a percentage of gross earned premiums were 8.7% for the nine months ended September 30, 2023 compared to 10.6% for the nine months ended September 30, 2022. Excluding the impact of expenses relating to transactions, stock-based compensation, amortization of intangibles, and catastrophe bonds, other underwriting expenses as a percentage of gross earned premiums were 6.8% for the nine months ended September 30, 2023 compared to 8.2% for the nine months ended September 30, 2022. This percentage decreased due to an increase in earned premiums without a corresponding increase in operating expenses. Other underwriting expenses as a percentage of gross earned premiums may fluctuate period over period based on timing of certain expenses relative to premium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Investment Income and Net Realized and Unrealized Gains (Losses) on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investment income increased $7.2 million, or 76.4%, to $16.7 million for the nine months ended September 30, 2023 from $9.5 million for the nine months ended September 30, 2022. The increase was primarily due to a higher average balance of investments during the nine months ended September 30, 2023 and higher yields on invested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incurred $0.1 million of net realized and unrealized losses on investments for the nine months ended September 30, 2023 compared to $8.4 million of net realized and unrealized losses for the nine months ended September 30, 2022. In both periods, the balance was primarily driven by unrealized losses on our equity securities. Unrealized gains and losses on fixed maturity securities are recognized as a component of other comprehensive income and do not impact our net income. The following table summarizes the components of our investment income for each period presented:</w:t>
      </w:r>
    </w:p>
    <w:p>
      <w:pPr>
        <w:pStyle w:val="TextBody"/>
        <w:bidi w:val="0"/>
        <w:spacing w:before="0" w:after="0"/>
        <w:ind w:left="0" w:right="0" w:hanging="0"/>
        <w:jc w:val="left"/>
        <w:rPr>
          <w:caps w:val="false"/>
          <w:smallCaps w:val="false"/>
        </w:rPr>
      </w:pPr>
      <w:r>
        <w:rPr>
          <w:caps w:val="false"/>
          <w:smallCaps w:val="false"/>
        </w:rPr>
        <w:t> </w:t>
      </w:r>
    </w:p>
    <w:tbl>
      <w:tblPr>
        <w:tblW w:w="7891" w:type="dxa"/>
        <w:jc w:val="left"/>
        <w:tblInd w:w="0" w:type="dxa"/>
        <w:tblLayout w:type="fixed"/>
        <w:tblCellMar>
          <w:top w:w="0" w:type="dxa"/>
          <w:left w:w="0" w:type="dxa"/>
          <w:bottom w:w="0" w:type="dxa"/>
          <w:right w:w="0" w:type="dxa"/>
        </w:tblCellMar>
      </w:tblPr>
      <w:tblGrid>
        <w:gridCol w:w="4040"/>
        <w:gridCol w:w="60"/>
        <w:gridCol w:w="136"/>
        <w:gridCol w:w="646"/>
        <w:gridCol w:w="87"/>
        <w:gridCol w:w="65"/>
        <w:gridCol w:w="136"/>
        <w:gridCol w:w="596"/>
        <w:gridCol w:w="80"/>
        <w:gridCol w:w="60"/>
        <w:gridCol w:w="125"/>
        <w:gridCol w:w="590"/>
        <w:gridCol w:w="60"/>
        <w:gridCol w:w="60"/>
        <w:gridCol w:w="108"/>
        <w:gridCol w:w="797"/>
        <w:gridCol w:w="245"/>
      </w:tblGrid>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7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46"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245"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16,468</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76.5</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income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management fees and expenses</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(380</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investment income</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16,690</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9,462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7,228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76.4</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realized and unrealized losses on investments</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(8,369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8,266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16,587</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15,494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NM</w:t>
            </w:r>
          </w:p>
        </w:tc>
        <w:tc>
          <w:tcPr>
            <w:tcW w:w="24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Income Tax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Income tax expense increased $7.7 million or 84.2% to $16.9 million for the nine months ended September 30, 2023 from $9.2 million for the nine months ended September 30, 2022 due to higher pre-tax income and a higher effective tax rate during the nine months ended September 30, 2023. During the nine months ended September 30, 2023, our income tax rate of 24.0% was higher than the statutory rate of 21% due primarily to non-deductible executive compensation expense. For the nine months ended September 30, 2022 our income tax rate of 21.5% was higher than the statutory rate also due primarily to non-deductible executive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Reconciliation of Non</w:t>
      </w:r>
      <w:r>
        <w:rPr>
          <w:rFonts w:ascii="Times New Roman" w:hAnsi="Times New Roman"/>
          <w:caps w:val="false"/>
          <w:smallCaps w:val="false"/>
          <w:sz w:val="20"/>
        </w:rPr>
        <w:noBreakHyphen/>
      </w:r>
      <w:r>
        <w:rPr>
          <w:rFonts w:ascii="Times New Roman" w:hAnsi="Times New Roman"/>
          <w:b/>
          <w:i/>
          <w:caps w:val="false"/>
          <w:smallCaps w:val="false"/>
          <w:sz w:val="20"/>
        </w:rPr>
        <w:t>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Underwriting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define underwriting revenue as total revenue excluding net investment income and net realized and unrealized gains and losses on investments. Underwriting revenue represents revenue generated by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revenue should not be viewed as a substitute for total revenue calculated in accordance with GAAP, and other companies may define underwriting revenue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Total revenue calculated in accordance with GAAP reconciles to underwriting revenue as follows:</w:t>
      </w:r>
    </w:p>
    <w:p>
      <w:pPr>
        <w:pStyle w:val="TextBody"/>
        <w:bidi w:val="0"/>
        <w:spacing w:before="0" w:after="0"/>
        <w:ind w:left="0" w:right="0" w:hanging="0"/>
        <w:jc w:val="left"/>
        <w:rPr>
          <w:caps w:val="false"/>
          <w:smallCaps w:val="false"/>
        </w:rPr>
      </w:pPr>
      <w:r>
        <w:rPr>
          <w:caps w:val="false"/>
          <w:smallCaps w:val="false"/>
        </w:rPr>
        <w:t> </w:t>
      </w:r>
    </w:p>
    <w:tbl>
      <w:tblPr>
        <w:tblW w:w="7887" w:type="dxa"/>
        <w:jc w:val="left"/>
        <w:tblInd w:w="0" w:type="dxa"/>
        <w:tblLayout w:type="fixed"/>
        <w:tblCellMar>
          <w:top w:w="0" w:type="dxa"/>
          <w:left w:w="0" w:type="dxa"/>
          <w:bottom w:w="0" w:type="dxa"/>
          <w:right w:w="0" w:type="dxa"/>
        </w:tblCellMar>
      </w:tblPr>
      <w:tblGrid>
        <w:gridCol w:w="4040"/>
        <w:gridCol w:w="60"/>
        <w:gridCol w:w="142"/>
        <w:gridCol w:w="672"/>
        <w:gridCol w:w="91"/>
        <w:gridCol w:w="68"/>
        <w:gridCol w:w="142"/>
        <w:gridCol w:w="672"/>
        <w:gridCol w:w="80"/>
        <w:gridCol w:w="60"/>
        <w:gridCol w:w="125"/>
        <w:gridCol w:w="695"/>
        <w:gridCol w:w="80"/>
        <w:gridCol w:w="60"/>
        <w:gridCol w:w="125"/>
        <w:gridCol w:w="695"/>
        <w:gridCol w:w="80"/>
      </w:tblGrid>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90,935</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80,692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270,532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238,461</w:t>
            </w:r>
          </w:p>
        </w:tc>
        <w:tc>
          <w:tcPr>
            <w:tcW w:w="8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investment income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(6,029</w:t>
            </w:r>
          </w:p>
        </w:tc>
        <w:tc>
          <w:tcPr>
            <w:tcW w:w="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(16,690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(9,462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realized and unrealized losses on investments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1,376</w:t>
            </w:r>
          </w:p>
        </w:tc>
        <w:tc>
          <w:tcPr>
            <w:tcW w:w="9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8,369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Underwriting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86,282</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79,304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253,945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237,368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Underwriting Income and Adjusted Underwriting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define underwriting income as income before income taxes excluding net investment income, net realized and unrealized gains and losses on investments, and interest expense. Underwriting income represents the pre</w:t>
        <w:noBreakHyphen/>
        <w:t>tax profitability of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income should not be viewed as a substitute for pre</w:t>
        <w:noBreakHyphen/>
        <w:t>tax income calculated in accordance with GAAP, and other companies may define underwriting income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define adjusted underwriting income as underwriting income excluding the impact of certain items that may not be indicative of underlying business trends, operating results, or future outlook. We use this metric as we believe it gives our management and other users of our financial information useful insight into our underlying business performance. Adjusted underwriting income should not be viewed as a substitute for pre</w:t>
        <w:noBreakHyphen/>
        <w:t>tax income calculated in accordance with GAAP. Other companies may define adjusted underwriting income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Income before income taxes calculated in accordance with GAAP reconciles to underwriting income and adjusted underwriting income as follows:</w:t>
      </w:r>
    </w:p>
    <w:p>
      <w:pPr>
        <w:pStyle w:val="TextBody"/>
        <w:bidi w:val="0"/>
        <w:spacing w:before="0" w:after="0"/>
        <w:ind w:left="0" w:right="0" w:hanging="0"/>
        <w:jc w:val="left"/>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4040"/>
        <w:gridCol w:w="60"/>
        <w:gridCol w:w="146"/>
        <w:gridCol w:w="692"/>
        <w:gridCol w:w="93"/>
        <w:gridCol w:w="70"/>
        <w:gridCol w:w="146"/>
        <w:gridCol w:w="639"/>
        <w:gridCol w:w="80"/>
        <w:gridCol w:w="60"/>
        <w:gridCol w:w="128"/>
        <w:gridCol w:w="665"/>
        <w:gridCol w:w="81"/>
        <w:gridCol w:w="61"/>
        <w:gridCol w:w="128"/>
        <w:gridCol w:w="604"/>
        <w:gridCol w:w="80"/>
      </w:tblGrid>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24,535</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70,182</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42,574</w:t>
            </w:r>
          </w:p>
        </w:tc>
        <w:tc>
          <w:tcPr>
            <w:tcW w:w="8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investment income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(6,029</w:t>
            </w:r>
          </w:p>
        </w:tc>
        <w:tc>
          <w:tcPr>
            <w:tcW w:w="9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(16,690</w:t>
            </w:r>
          </w:p>
        </w:tc>
        <w:tc>
          <w:tcPr>
            <w:tcW w:w="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(9,462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realized and unrealized losses on investments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1,376</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8,369</w:t>
            </w:r>
          </w:p>
        </w:tc>
        <w:tc>
          <w:tcPr>
            <w:tcW w:w="8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867</w:t>
            </w:r>
          </w:p>
        </w:tc>
        <w:tc>
          <w:tcPr>
            <w:tcW w:w="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2,952</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Underwriting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20,749</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56,547</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41,956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 associated with transactions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w:t>
            </w:r>
          </w:p>
        </w:tc>
        <w:tc>
          <w:tcPr>
            <w:tcW w:w="8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3,589</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10,737</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8,556</w:t>
            </w:r>
          </w:p>
        </w:tc>
        <w:tc>
          <w:tcPr>
            <w:tcW w:w="8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intangibles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942</w:t>
            </w:r>
          </w:p>
        </w:tc>
        <w:tc>
          <w:tcPr>
            <w:tcW w:w="8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 associated with catastrophe bond</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1,640</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underwriting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24,957</w:t>
            </w:r>
          </w:p>
        </w:tc>
        <w:tc>
          <w:tcPr>
            <w:tcW w:w="9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7,530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70,245</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53,576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Adjusted Net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define adjusted net income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We use adjusted net income as an internal performance measure in the management of our operations because we believe it gives our management and financial statement users useful insight into our results of operations and our underlying business performance. Adjusted net income does not reflect the overall profitably of our business and should not be viewed as a substitute for net income calculated in accordance with GAAP. Other companies may define adjusted net income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income calculated in accordance with GAAP reconciles to adjusted net income as follows:</w:t>
      </w:r>
    </w:p>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0" w:type="dxa"/>
          <w:left w:w="0" w:type="dxa"/>
          <w:bottom w:w="0" w:type="dxa"/>
          <w:right w:w="0" w:type="dxa"/>
        </w:tblCellMar>
      </w:tblPr>
      <w:tblGrid>
        <w:gridCol w:w="4040"/>
        <w:gridCol w:w="60"/>
        <w:gridCol w:w="152"/>
        <w:gridCol w:w="720"/>
        <w:gridCol w:w="97"/>
        <w:gridCol w:w="73"/>
        <w:gridCol w:w="152"/>
        <w:gridCol w:w="592"/>
        <w:gridCol w:w="80"/>
        <w:gridCol w:w="60"/>
        <w:gridCol w:w="132"/>
        <w:gridCol w:w="627"/>
        <w:gridCol w:w="85"/>
        <w:gridCol w:w="63"/>
        <w:gridCol w:w="132"/>
        <w:gridCol w:w="627"/>
        <w:gridCol w:w="80"/>
      </w:tblGrid>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18,432</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53,305</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33,411</w:t>
            </w:r>
          </w:p>
        </w:tc>
        <w:tc>
          <w:tcPr>
            <w:tcW w:w="8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realized and unrealized losses on investments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1,376</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8,369</w:t>
            </w:r>
          </w:p>
        </w:tc>
        <w:tc>
          <w:tcPr>
            <w:tcW w:w="8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 associated with transactions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w:t>
            </w:r>
          </w:p>
        </w:tc>
        <w:tc>
          <w:tcPr>
            <w:tcW w:w="8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3,589</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10,737</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8,556</w:t>
            </w:r>
          </w:p>
        </w:tc>
        <w:tc>
          <w:tcPr>
            <w:tcW w:w="8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intangibles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942</w:t>
            </w:r>
          </w:p>
        </w:tc>
        <w:tc>
          <w:tcPr>
            <w:tcW w:w="8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 associated with catastrophe bond</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1,640</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1,992</w:t>
            </w:r>
          </w:p>
        </w:tc>
        <w:tc>
          <w:tcPr>
            <w:tcW w:w="8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impact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(1,582</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23,291</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9,221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65,524</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50,247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Annualized Adjusted Return on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define annualized adjusted return on equity as adjusted net income expressed on an annualized basis as a percentage of average beginning and ending stockholders’ equity during the period. We use annualized adjusted return on equity as an internal performance measure in the management of our operations because we believe it gives our management and financial statement users useful insight into our results of operations and our underlying business performance. Annualized adjusted return on equity should not be viewed as a substitute for return on equity calculated using unadjusted GAAP numbers, and other companies may define adjusted return on equity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Annualized adjusted return on equity is calculated as follows:</w:t>
      </w:r>
    </w:p>
    <w:p>
      <w:pPr>
        <w:pStyle w:val="TextBody"/>
        <w:bidi w:val="0"/>
        <w:spacing w:before="0" w:after="0"/>
        <w:ind w:left="0" w:right="0" w:hanging="0"/>
        <w:jc w:val="left"/>
        <w:rPr>
          <w:caps w:val="false"/>
          <w:smallCaps w:val="false"/>
        </w:rPr>
      </w:pPr>
      <w:r>
        <w:rPr>
          <w:caps w:val="false"/>
          <w:smallCaps w:val="false"/>
        </w:rPr>
        <w:t> </w:t>
      </w:r>
    </w:p>
    <w:tbl>
      <w:tblPr>
        <w:tblW w:w="7310" w:type="dxa"/>
        <w:jc w:val="left"/>
        <w:tblInd w:w="0" w:type="dxa"/>
        <w:tblLayout w:type="fixed"/>
        <w:tblCellMar>
          <w:top w:w="0" w:type="dxa"/>
          <w:left w:w="0" w:type="dxa"/>
          <w:bottom w:w="0" w:type="dxa"/>
          <w:right w:w="0" w:type="dxa"/>
        </w:tblCellMar>
      </w:tblPr>
      <w:tblGrid>
        <w:gridCol w:w="3050"/>
        <w:gridCol w:w="60"/>
        <w:gridCol w:w="125"/>
        <w:gridCol w:w="695"/>
        <w:gridCol w:w="185"/>
        <w:gridCol w:w="60"/>
        <w:gridCol w:w="125"/>
        <w:gridCol w:w="695"/>
        <w:gridCol w:w="185"/>
        <w:gridCol w:w="60"/>
        <w:gridCol w:w="125"/>
        <w:gridCol w:w="695"/>
        <w:gridCol w:w="185"/>
        <w:gridCol w:w="60"/>
        <w:gridCol w:w="125"/>
        <w:gridCol w:w="695"/>
        <w:gridCol w:w="185"/>
      </w:tblGrid>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185" w:type="dxa"/>
            <w:tcBorders/>
            <w:shd w:fill="FFFF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185" w:type="dxa"/>
            <w:tcBorders/>
            <w:shd w:fill="FFFF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Annualized adjusted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93,164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36,884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87,365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66,996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Average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417,521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372,955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403,044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381,007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Annualized adjusted return on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Adjusted Combined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define adjusted combined ratio as the sum of the loss ratio and the expense ratio calculated excluding the impact of certain items that may not be indicative of underlying business trends, operating results, or future outlook. We use adjusted combined ratio as an internal performance measure in the management of our operations because we believe it gives our management and financial statement users useful insight into our results of operations and our underlying business performance. Adjusted combined ratio should not be viewed as a substitute for combined ratio calculated using unadjusted GAAP numbers, and other companies may define adjusted combined ratio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Adjusted combined ratio is calculated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04"/>
        <w:gridCol w:w="60"/>
        <w:gridCol w:w="128"/>
        <w:gridCol w:w="608"/>
        <w:gridCol w:w="190"/>
        <w:gridCol w:w="61"/>
        <w:gridCol w:w="128"/>
        <w:gridCol w:w="608"/>
        <w:gridCol w:w="185"/>
        <w:gridCol w:w="60"/>
        <w:gridCol w:w="125"/>
        <w:gridCol w:w="695"/>
        <w:gridCol w:w="185"/>
        <w:gridCol w:w="60"/>
        <w:gridCol w:w="125"/>
        <w:gridCol w:w="695"/>
        <w:gridCol w:w="188"/>
      </w:tblGrid>
      <w:tr>
        <w:trPr/>
        <w:tc>
          <w:tcPr>
            <w:tcW w:w="6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3"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188" w:type="dxa"/>
            <w:tcBorders/>
            <w:shd w:fill="FFFFFF" w:val="clear"/>
            <w:vAlign w:val="center"/>
          </w:tcPr>
          <w:p>
            <w:pPr>
              <w:pStyle w:val="TableContents"/>
              <w:bidi w:val="0"/>
              <w:spacing w:before="0" w:after="283"/>
              <w:jc w:val="left"/>
              <w:rPr/>
            </w:pPr>
            <w:r>
              <w:rPr/>
              <w:t> </w:t>
            </w:r>
          </w:p>
        </w:tc>
      </w:tr>
      <w:tr>
        <w:trPr/>
        <w:tc>
          <w:tcPr>
            <w:tcW w:w="6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1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3"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188" w:type="dxa"/>
            <w:tcBorders/>
            <w:shd w:fill="FFFFFF" w:val="clear"/>
            <w:vAlign w:val="center"/>
          </w:tcPr>
          <w:p>
            <w:pPr>
              <w:pStyle w:val="TableContents"/>
              <w:bidi w:val="0"/>
              <w:spacing w:before="0" w:after="283"/>
              <w:jc w:val="left"/>
              <w:rPr/>
            </w:pPr>
            <w:r>
              <w:rPr/>
              <w:t> </w:t>
            </w:r>
          </w:p>
        </w:tc>
      </w:tr>
      <w:tr>
        <w:trPr/>
        <w:tc>
          <w:tcPr>
            <w:tcW w:w="6104"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Numerator: Sum of losses and loss adjustment expenses, acquisition expenses, and other underwriting expenses, net of commission and other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65,068</w:t>
            </w:r>
          </w:p>
        </w:tc>
        <w:tc>
          <w:tcPr>
            <w:tcW w:w="1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73,862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195,617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192,283</w:t>
            </w:r>
          </w:p>
        </w:tc>
        <w:tc>
          <w:tcPr>
            <w:tcW w:w="1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10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Denominator: Net earned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85,817</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77,942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252,164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234,239</w:t>
            </w:r>
          </w:p>
        </w:tc>
        <w:tc>
          <w:tcPr>
            <w:tcW w:w="1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10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Combined ratio</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75.8</w:t>
            </w:r>
          </w:p>
        </w:tc>
        <w:tc>
          <w:tcPr>
            <w:tcW w:w="19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w:t>
            </w:r>
          </w:p>
        </w:tc>
        <w:tc>
          <w:tcPr>
            <w:tcW w:w="18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10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numerator:</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r>
      <w:tr>
        <w:trPr/>
        <w:tc>
          <w:tcPr>
            <w:tcW w:w="610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 associated with transactions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w:t>
            </w:r>
          </w:p>
        </w:tc>
        <w:tc>
          <w:tcPr>
            <w:tcW w:w="1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w:t>
            </w:r>
          </w:p>
        </w:tc>
        <w:tc>
          <w:tcPr>
            <w:tcW w:w="1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10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(3,589</w:t>
            </w:r>
          </w:p>
        </w:tc>
        <w:tc>
          <w:tcPr>
            <w:tcW w:w="19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(10,737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(8,556</w:t>
            </w:r>
          </w:p>
        </w:tc>
        <w:tc>
          <w:tcPr>
            <w:tcW w:w="18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10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intangibles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w:t>
            </w:r>
          </w:p>
        </w:tc>
        <w:tc>
          <w:tcPr>
            <w:tcW w:w="1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(942</w:t>
            </w:r>
          </w:p>
        </w:tc>
        <w:tc>
          <w:tcPr>
            <w:tcW w:w="1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10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 associated with catastrophe bond</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(1,992</w:t>
            </w:r>
          </w:p>
        </w:tc>
        <w:tc>
          <w:tcPr>
            <w:tcW w:w="18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10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combined ratio</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19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77.1</w:t>
            </w:r>
          </w:p>
        </w:tc>
        <w:tc>
          <w:tcPr>
            <w:tcW w:w="18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Diluted Adjusted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define diluted adjusted earnings per share as adjusted net income divided by the weighted-average common shares outstanding for the period, reflecting the dilution which could occur if equity-based awards are converted into common share equivalents as calculated using the treasury stock method. We use diluted adjusted earnings per share as an internal performance measure in the management of our operations because we believe it gives our management and financial statement users useful insight into our results of operations and our underlying business performance. Diluted adjusted earnings per share should not be viewed as a substitute for diluted earnings per share calculated in accordance with GAAP, and other companies may define diluted adjusted earnings per share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Diluted adjusted earnings per share is calculated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50"/>
        <w:gridCol w:w="60"/>
        <w:gridCol w:w="162"/>
        <w:gridCol w:w="1238"/>
        <w:gridCol w:w="77"/>
        <w:gridCol w:w="77"/>
        <w:gridCol w:w="162"/>
        <w:gridCol w:w="1238"/>
        <w:gridCol w:w="60"/>
        <w:gridCol w:w="60"/>
        <w:gridCol w:w="162"/>
        <w:gridCol w:w="1238"/>
        <w:gridCol w:w="77"/>
        <w:gridCol w:w="77"/>
        <w:gridCol w:w="162"/>
        <w:gridCol w:w="1238"/>
        <w:gridCol w:w="67"/>
      </w:tblGrid>
      <w:tr>
        <w:trPr/>
        <w:tc>
          <w:tcPr>
            <w:tcW w:w="4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4"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4"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67" w:type="dxa"/>
            <w:tcBorders/>
            <w:shd w:fill="FFFFFF" w:val="clear"/>
            <w:vAlign w:val="center"/>
          </w:tcPr>
          <w:p>
            <w:pPr>
              <w:pStyle w:val="TableContents"/>
              <w:bidi w:val="0"/>
              <w:spacing w:before="0" w:after="283"/>
              <w:jc w:val="left"/>
              <w:rPr/>
            </w:pPr>
            <w:r>
              <w:rPr/>
              <w:t> </w:t>
            </w:r>
          </w:p>
        </w:tc>
      </w:tr>
      <w:tr>
        <w:trPr/>
        <w:tc>
          <w:tcPr>
            <w:tcW w:w="4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4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4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4"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4"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tc>
        <w:tc>
          <w:tcPr>
            <w:tcW w:w="67" w:type="dxa"/>
            <w:tcBorders/>
            <w:shd w:fill="FFFFFF" w:val="clear"/>
            <w:vAlign w:val="center"/>
          </w:tcPr>
          <w:p>
            <w:pPr>
              <w:pStyle w:val="TableContents"/>
              <w:bidi w:val="0"/>
              <w:spacing w:before="0" w:after="283"/>
              <w:jc w:val="left"/>
              <w:rPr/>
            </w:pPr>
            <w:r>
              <w:rPr/>
              <w:t> </w:t>
            </w:r>
          </w:p>
        </w:tc>
      </w:tr>
      <w:tr>
        <w:trPr/>
        <w:tc>
          <w:tcPr>
            <w:tcW w:w="4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r>
      <w:tr>
        <w:trPr/>
        <w:tc>
          <w:tcPr>
            <w:tcW w:w="40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23,291</w:t>
            </w:r>
          </w:p>
        </w:tc>
        <w:tc>
          <w:tcPr>
            <w:tcW w:w="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9,221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65,524</w:t>
            </w:r>
          </w:p>
        </w:tc>
        <w:tc>
          <w:tcPr>
            <w:tcW w:w="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50,247</w:t>
            </w:r>
          </w:p>
        </w:tc>
        <w:tc>
          <w:tcPr>
            <w:tcW w:w="6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0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common shares outstanding, diluted</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25,244,828</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25,787,625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25,340,602</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25,808,387</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 adjusted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0.92</w:t>
            </w:r>
          </w:p>
        </w:tc>
        <w:tc>
          <w:tcPr>
            <w:tcW w:w="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w:t>
            </w:r>
          </w:p>
        </w:tc>
        <w:tc>
          <w:tcPr>
            <w:tcW w:w="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w:t>
            </w:r>
          </w:p>
        </w:tc>
        <w:tc>
          <w:tcPr>
            <w:tcW w:w="6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Catastrophe Loss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Catastrophe loss ratio is defined as the ratio of catastrophe losses to net earned premiums.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Catastrophe loss ratio should not be viewed as a substitute for loss ratio calculated using unadjusted GAAP numbers, and other companies may define catastrophe loss ratio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Loss ratio and catastrophe loss ratio are calculated as follows:</w:t>
      </w:r>
    </w:p>
    <w:p>
      <w:pPr>
        <w:pStyle w:val="TextBody"/>
        <w:bidi w:val="0"/>
        <w:spacing w:before="0" w:after="0"/>
        <w:ind w:left="0" w:right="0" w:hanging="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3950"/>
        <w:gridCol w:w="60"/>
        <w:gridCol w:w="128"/>
        <w:gridCol w:w="608"/>
        <w:gridCol w:w="252"/>
        <w:gridCol w:w="61"/>
        <w:gridCol w:w="128"/>
        <w:gridCol w:w="608"/>
        <w:gridCol w:w="185"/>
        <w:gridCol w:w="60"/>
        <w:gridCol w:w="125"/>
        <w:gridCol w:w="695"/>
        <w:gridCol w:w="185"/>
        <w:gridCol w:w="60"/>
        <w:gridCol w:w="125"/>
        <w:gridCol w:w="695"/>
        <w:gridCol w:w="185"/>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5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Numerator: Losses and loss adjustment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16,139</w:t>
            </w:r>
          </w:p>
        </w:tc>
        <w:tc>
          <w:tcPr>
            <w:tcW w:w="25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30,900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54,696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60,251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Denominator: Net earned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85,817</w:t>
            </w:r>
          </w:p>
        </w:tc>
        <w:tc>
          <w:tcPr>
            <w:tcW w:w="25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77,942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252,164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234,239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ratio</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w:t>
            </w:r>
          </w:p>
        </w:tc>
        <w:tc>
          <w:tcPr>
            <w:tcW w:w="25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Numerator: Catastrophe losses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w:t>
            </w:r>
          </w:p>
        </w:tc>
        <w:tc>
          <w:tcPr>
            <w:tcW w:w="25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12,500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13,529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Denominator: Net earned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85,817</w:t>
            </w:r>
          </w:p>
        </w:tc>
        <w:tc>
          <w:tcPr>
            <w:tcW w:w="25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77,942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252,164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234,239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Catastrophe loss ratio</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w:t>
            </w:r>
          </w:p>
        </w:tc>
        <w:tc>
          <w:tcPr>
            <w:tcW w:w="25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Adjusted Combined Ratio Excluding Catastrophe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Adjusted combined ratio excluding catastrophe losses is defined as adjusted combined ratio excluding the impact of catastrophe losses.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Adjusted combined ratio excluding catastrophe losses should not be viewed as a substitute for combined ratio calculated using unadjusted GAAP numbers, and other companies may define adjusted combined ratio excluding catastrophe losses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Adjusted combined ratio excluding catastrophe losses is calculated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72"/>
        <w:gridCol w:w="60"/>
        <w:gridCol w:w="126"/>
        <w:gridCol w:w="598"/>
        <w:gridCol w:w="187"/>
        <w:gridCol w:w="60"/>
        <w:gridCol w:w="126"/>
        <w:gridCol w:w="659"/>
        <w:gridCol w:w="185"/>
        <w:gridCol w:w="60"/>
        <w:gridCol w:w="125"/>
        <w:gridCol w:w="695"/>
        <w:gridCol w:w="185"/>
        <w:gridCol w:w="60"/>
        <w:gridCol w:w="125"/>
        <w:gridCol w:w="695"/>
        <w:gridCol w:w="187"/>
      </w:tblGrid>
      <w:tr>
        <w:trPr/>
        <w:tc>
          <w:tcPr>
            <w:tcW w:w="60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187" w:type="dxa"/>
            <w:tcBorders/>
            <w:shd w:fill="FFFFFF" w:val="clear"/>
            <w:vAlign w:val="center"/>
          </w:tcPr>
          <w:p>
            <w:pPr>
              <w:pStyle w:val="TableContents"/>
              <w:bidi w:val="0"/>
              <w:spacing w:before="0" w:after="283"/>
              <w:jc w:val="left"/>
              <w:rPr/>
            </w:pPr>
            <w:r>
              <w:rPr/>
              <w:t> </w:t>
            </w:r>
          </w:p>
        </w:tc>
      </w:tr>
      <w:tr>
        <w:trPr/>
        <w:tc>
          <w:tcPr>
            <w:tcW w:w="60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1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0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0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187" w:type="dxa"/>
            <w:tcBorders/>
            <w:shd w:fill="FFFFFF" w:val="clear"/>
            <w:vAlign w:val="center"/>
          </w:tcPr>
          <w:p>
            <w:pPr>
              <w:pStyle w:val="TableContents"/>
              <w:bidi w:val="0"/>
              <w:spacing w:before="0" w:after="283"/>
              <w:jc w:val="left"/>
              <w:rPr/>
            </w:pPr>
            <w:r>
              <w:rPr/>
              <w:t> </w:t>
            </w:r>
          </w:p>
        </w:tc>
      </w:tr>
      <w:tr>
        <w:trPr/>
        <w:tc>
          <w:tcPr>
            <w:tcW w:w="6072"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Numerator: Sum of losses and loss adjustment expenses, acquisition expenses, and other underwriting expenses, net of commission and other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65,068</w:t>
            </w:r>
          </w:p>
        </w:tc>
        <w:tc>
          <w:tcPr>
            <w:tcW w:w="1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73,862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195,617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192,283</w:t>
            </w:r>
          </w:p>
        </w:tc>
        <w:tc>
          <w:tcPr>
            <w:tcW w:w="1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0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Denominator: Net earned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85,817</w:t>
            </w:r>
          </w:p>
        </w:tc>
        <w:tc>
          <w:tcPr>
            <w:tcW w:w="1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77,942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252,164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234,239</w:t>
            </w:r>
          </w:p>
        </w:tc>
        <w:tc>
          <w:tcPr>
            <w:tcW w:w="1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0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Combined ratio</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75.8</w:t>
            </w:r>
          </w:p>
        </w:tc>
        <w:tc>
          <w:tcPr>
            <w:tcW w:w="18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w:t>
            </w:r>
          </w:p>
        </w:tc>
        <w:tc>
          <w:tcPr>
            <w:tcW w:w="18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0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numerator:</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r>
      <w:tr>
        <w:trPr/>
        <w:tc>
          <w:tcPr>
            <w:tcW w:w="60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 associated with transactions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w:t>
            </w:r>
          </w:p>
        </w:tc>
        <w:tc>
          <w:tcPr>
            <w:tcW w:w="1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w:t>
            </w:r>
          </w:p>
        </w:tc>
        <w:tc>
          <w:tcPr>
            <w:tcW w:w="1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0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(3,589</w:t>
            </w:r>
          </w:p>
        </w:tc>
        <w:tc>
          <w:tcPr>
            <w:tcW w:w="1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(10,737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(8,556</w:t>
            </w:r>
          </w:p>
        </w:tc>
        <w:tc>
          <w:tcPr>
            <w:tcW w:w="1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0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intangibles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w:t>
            </w:r>
          </w:p>
        </w:tc>
        <w:tc>
          <w:tcPr>
            <w:tcW w:w="1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(942</w:t>
            </w:r>
          </w:p>
        </w:tc>
        <w:tc>
          <w:tcPr>
            <w:tcW w:w="1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0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 associated with catastrophe bond</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t>—</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(1,992</w:t>
            </w:r>
          </w:p>
        </w:tc>
        <w:tc>
          <w:tcPr>
            <w:tcW w:w="1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0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Catastrophe losses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w:t>
            </w:r>
          </w:p>
        </w:tc>
        <w:tc>
          <w:tcPr>
            <w:tcW w:w="1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(12,500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(13,529</w:t>
            </w:r>
          </w:p>
        </w:tc>
        <w:tc>
          <w:tcPr>
            <w:tcW w:w="18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0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combined ratio excluding catastrophe losses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71.5</w:t>
            </w:r>
          </w:p>
        </w:tc>
        <w:tc>
          <w:tcPr>
            <w:tcW w:w="18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70.8</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w:t>
            </w:r>
          </w:p>
        </w:tc>
        <w:tc>
          <w:tcPr>
            <w:tcW w:w="18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Tangible Stockholders</w:t>
      </w:r>
      <w:r>
        <w:rPr>
          <w:rFonts w:ascii="Times New Roman" w:hAnsi="Times New Roman"/>
          <w:caps w:val="false"/>
          <w:smallCaps w:val="false"/>
          <w:sz w:val="20"/>
        </w:rPr>
        <w:t xml:space="preserve">’ </w:t>
      </w:r>
      <w:r>
        <w:rPr>
          <w:rFonts w:ascii="Times New Roman" w:hAnsi="Times New Roman"/>
          <w:b/>
          <w:i/>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define tangible stockholders’ equity as stockholders’ equity less intangible assets. Our definition of tangible stockholders’ equity may not be comparable to that of other companies, and it should not be viewed as a substitute for stockholders’ equity calculated in accordance with GAAP. We use tangible stockholders’ equity internally to evaluate the strength of our balance sheet and to compare returns relative to this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Stockholders’ equity calculated in accordance with GAAP reconciles to tangible stockholders’ equity as follows:</w:t>
      </w:r>
    </w:p>
    <w:p>
      <w:pPr>
        <w:pStyle w:val="TextBody"/>
        <w:bidi w:val="0"/>
        <w:spacing w:before="0" w:after="0"/>
        <w:ind w:left="0" w:right="0" w:hanging="0"/>
        <w:jc w:val="left"/>
        <w:rPr>
          <w:caps w:val="false"/>
          <w:smallCaps w:val="false"/>
        </w:rPr>
      </w:pPr>
      <w:r>
        <w:rPr>
          <w:caps w:val="false"/>
          <w:smallCaps w:val="false"/>
        </w:rPr>
        <w:t> </w:t>
      </w:r>
    </w:p>
    <w:tbl>
      <w:tblPr>
        <w:tblW w:w="5198" w:type="dxa"/>
        <w:jc w:val="left"/>
        <w:tblInd w:w="0" w:type="dxa"/>
        <w:tblLayout w:type="fixed"/>
        <w:tblCellMar>
          <w:top w:w="0" w:type="dxa"/>
          <w:left w:w="0" w:type="dxa"/>
          <w:bottom w:w="0" w:type="dxa"/>
          <w:right w:w="0" w:type="dxa"/>
        </w:tblCellMar>
      </w:tblPr>
      <w:tblGrid>
        <w:gridCol w:w="2525"/>
        <w:gridCol w:w="60"/>
        <w:gridCol w:w="185"/>
        <w:gridCol w:w="1034"/>
        <w:gridCol w:w="80"/>
        <w:gridCol w:w="60"/>
        <w:gridCol w:w="178"/>
        <w:gridCol w:w="996"/>
        <w:gridCol w:w="80"/>
      </w:tblGrid>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3"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421,334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384,754</w:t>
            </w:r>
          </w:p>
        </w:tc>
        <w:tc>
          <w:tcPr>
            <w:tcW w:w="8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Goodwill and intangible assets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(8,261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Tangible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408,629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376,493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Sources and Uses of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operate as a holding company with no business operations of our own. Consequently, our ability to pay dividends to stockholders and pay taxes and administrative expenses is largely dependent on dividends or other distributions from our subsidiaries and affiliates, whose ability to pay us is highly regulated.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U.S. insurance company subsidiaries, PSIC and PESIC, are restricted by the statutes as to the amount of dividends that they may pay without prior approval by state insurance 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California and Oregon statute which govern PSIC, dividends paid in a consecutive twelve month period cannot exceed the greater of (i) 10% of an insurance company’s statutory policyholders’ surplus as of December 31 of the preceding year or (ii) 100% of its statutory net income for the preceding calendar year. Any dividends or distributions in excess of these amounts would require regulatory approval. In addition, under Oregon statute PSIC may only declare a dividend from earned surplus, which does not include contributed capital. Surplus arising from unrealized capital gains or revaluation of assets is not considered part of earned surplus. Based on the above restrictions, PSIC may pay a dividend or distribution of no greater than $78.2 million in 2023 without approval by the California and Oregon Insurance 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Arizona statute which governs PESIC, dividends paid in a consecutive twelve month period cannot exceed the lesser of (i) 10% of an insurance company’s statutory policyholders’ surplus as of December 31 of the preceding year or (ii) 100% of its statutory net income for the preceding calendar year. Based on the above restrictions, PESIC may not pay a dividend or distribution in 2023 without approval of the Arizona Insurance Commissioner due to incurring a statutory net loss in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State insurance regulators have broad powers to prevent the reduction of statutory surplus to inadequate levels, and there is no assurance that dividends up to the maximum amounts calculated under any applicable formula would be permitted. In addition, state insurance regulators may adopt statutory provisions and dividend limitations more restrictive than those currently in effect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Bermuda regulations limit the amount of dividends and return of capital paid by a regulated entity. A Class 3A insurer is prohibited from declaring or paying a dividend if it is in breach of its minimum solvency margin, its enhanced capital requirement, or its minimum liquidity ratio, or if the declaration or payment of such dividend would cause such a breach. If a Class 3A insurer has failed to meet its minimum solvency margin on the last day of any financial year, it will also be prohibited, without the approval of the BMA, from declaring or paying any dividends during the next financial year. Furthermore, the Insurance Act limits the ability of PSRE to pay dividends or make capital distributions by stipulating certain margin and solvency requirements and by requiring approval from the BMA prior to a reduction of 15% or more of a Class 3A insurer’s total statutory capital as reported on its prior year statutory balance sheet. Moreover, an insurer must submit an affidavit to the BMA, sworn by at least two directors and the principal representative in Bermuda of the Class 3A insurer, at least seven days prior to payment of any dividend which would exceed 25% of that insurer’s total statutory capital and surplus as reported on its prior year statutory balance sheet. The affidavit must state that in the opinion of those swearing the declaration of such dividend has not caused the insurer to fail to meet its relevant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Further, under the Companies Act, PSRE may only declare or pay a dividend, or make a distribution out of contributed surplus, if it has no reasonable grounds for believing that: (1) it is, or would after the payment be, unable to pay its liabilities as they become due or (2) the realizable value of its assets would be less than its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Bermuda regulations, the maximum amount of dividends and return of capital available to be paid by a reinsurer is determined pursuant to a formula. Under this formula, the maximum amount of dividends and return of capital available from PSRE during 2023 is calculated to be approximately $3.9 million. However, this dividend amount is subject to annual enhanced solvency requirement calculations.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One of our insurance company subsidiaries, PSIC, is a member of the Federal Home Loan Bank of San Francisco (FHLB). Membership allows PSIC access to collateralized advances, which may be used to support and enhance liquidity management. The amount of advances that may be taken is dependent on statutory admitted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primary sources of cash flow are written premiums, investment income, reinsurance recoveries, sales and redemptions of investments, and proceeds from borrowings on our lines of credit. We use our cash flows primarily to pay reinsurance premiums, operating expenses, losses and loss adjustment expenses, and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cash flows from operations may differ substantially from our net income due to non</w:t>
        <w:noBreakHyphen/>
        <w:t>cash charges or due to changes in balance sheet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timing of our cash flows from operating activities can also vary among periods due to the timing by which payments are made or received. Some of our payments and receipts, including loss settlements and subsequent reinsurance receipts, can be significant. Therefore, their timing can influence cash flows from operating activities in any given period. The potential for a large claim under an insurance or reinsurance contract means that our insurance subsidiaries may need to make substantial payments within relatively short periods of time, which would have a negative impact on our operating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Management believes that our current liquidity and cash receipts from written premiums, investment income, proceeds from investment sales and redemptions, and reinsurance recoveries, if necessary, are sufficient to cover cash outflows for each of the Company’s insurance subsidiaries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nine months ended September 30, 2023 and 2022:</w:t>
      </w:r>
    </w:p>
    <w:p>
      <w:pPr>
        <w:pStyle w:val="TextBody"/>
        <w:bidi w:val="0"/>
        <w:spacing w:before="0" w:after="0"/>
        <w:ind w:left="0" w:right="0" w:hanging="0"/>
        <w:jc w:val="left"/>
        <w:rPr>
          <w:caps w:val="false"/>
          <w:smallCaps w:val="false"/>
        </w:rPr>
      </w:pPr>
      <w:r>
        <w:rPr>
          <w:caps w:val="false"/>
          <w:smallCaps w:val="false"/>
        </w:rPr>
        <w:t> </w:t>
      </w:r>
    </w:p>
    <w:tbl>
      <w:tblPr>
        <w:tblW w:w="6335" w:type="dxa"/>
        <w:jc w:val="left"/>
        <w:tblInd w:w="0" w:type="dxa"/>
        <w:tblLayout w:type="fixed"/>
        <w:tblCellMar>
          <w:top w:w="0" w:type="dxa"/>
          <w:left w:w="0" w:type="dxa"/>
          <w:bottom w:w="0" w:type="dxa"/>
          <w:right w:w="0" w:type="dxa"/>
        </w:tblCellMar>
      </w:tblPr>
      <w:tblGrid>
        <w:gridCol w:w="4295"/>
        <w:gridCol w:w="60"/>
        <w:gridCol w:w="125"/>
        <w:gridCol w:w="755"/>
        <w:gridCol w:w="80"/>
        <w:gridCol w:w="60"/>
        <w:gridCol w:w="125"/>
        <w:gridCol w:w="755"/>
        <w:gridCol w:w="80"/>
      </w:tblGrid>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0"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0"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provided by (used 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93,836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94,544</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(104,156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(121,422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6,051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(14,876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(20,827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cash flow from operating activities was positive during the nine months ended September 30, 2023 and 2022 due to net income and a decrease in net operating assets in each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Variations in operating cash flow between periods are primarily driven by variations in our gross and ceded written premiums and the volume and timing of premium receipts, claim payments, reinsurance payments, and reinsurance recoveries on paid losses. In addition, fluctuations in losses and loss adjustment expenses and other insurance operating expenses impact operating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Cash used in investing activities for the nine months ended September 30, 2023 and 2022 related primarily to purchases of fixed maturity securities in excess of sales and maturities in each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Cash used in financing activities for nine months ended September 30, 2023 was related to $16.2 million in borrowings from our lines of credit, the receipt of $0.6 million in proceeds from stock option exercises and the receipt of $0.8 million in proceeds from our employee stock purchase plan, offset by the repurchase of $22.1 million of our common stock. Cash provided by financing activities for nine months ended September 30, 2022 was related to $26.4 million in borrowings from our FHLB line of credit, the receipt of $0.8 million in proceeds from stock option exercises and the receipt of $2.2 million in proceeds from our employee stock purchase plan, offset by the repurchase of $23.3 million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do not have any current plans for material capital expenditures other than current operating requirements. We believe that we will generate sufficient cash flows from operations to satisfy our liquidity requirements for at least the next 12 months and beyond. The key factor that will affect our future operating cash flows is the frequency and severity of catastrophe losses. To the extent our future operating cash flows are insufficient to cover our net losses from catastrophic events, we had $688.0 million in cash and investment securities available at September 30, 2023. We also have the ability to access additional capital through pursuing third</w:t>
        <w:noBreakHyphen/>
        <w:t>party borrowings, sales of our equity or debt securities or entrance into a reinsurance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Share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also have implemented a share repurchase plan and have used and may use our cash in the future to purchase outstanding shares of our common stock. Under our current share repurchase program, shares may be repurchased from time to time in the open market or negotiated transactions at prevailing market rates, or by other means in accordance with federal securities laws. We purchased 418,901 shares for $22.1 million under this program during the nine months ended September 30, 2023 and $43.5 million remains available for future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Credit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the ability to access additional capital through multiple credit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December 2021, we entered into a Credit Agreement (the “Credit Agreement”) with U.S. Bank National Association which provides a revolving credit facility of up to $100 million through December 8, 2026. Interest on the credit facility accrues on each SOFR rate loan at the applicable SOFR (as defined in the Credit Agreement) plus 1.75% and on each base rate loan at the applicable Alternate Base Rate (as defined in the Credit Agreement) plus 0.75%. A loan may be either a SOFR rate loan or a base rate loan, at our discretion. Outstanding amounts under the Credit Agreement may be prepaid in full or in part at any time with no prepayment premium and may be reduced in full or in part at any time upon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September 30, 2023, we had no borrowings outstanding through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predetermined term and the interest rate varies based on the term of the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September 30, 2023, we had $52.6 million of borrowings outstanding through the FHLB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Stockholders</w:t>
      </w:r>
      <w:r>
        <w:rPr>
          <w:rFonts w:ascii="Times New Roman" w:hAnsi="Times New Roman"/>
          <w:caps w:val="false"/>
          <w:smallCaps w:val="false"/>
          <w:sz w:val="20"/>
        </w:rPr>
        <w:t xml:space="preserve">’ </w:t>
      </w:r>
      <w:r>
        <w:rPr>
          <w:rFonts w:ascii="Times New Roman" w:hAnsi="Times New Roman"/>
          <w:b/>
          <w:i/>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September 30, 2023 total stockholders’ equity was $421.3 million and tangible stockholders’ equity was $408.6 million, compared to total stockholders’ equity of $384.8 million and tangible stockholders’ equity of $376.5 million as of December 31, 2022. Stockholder’s equity increased primarily due to net income earned for the period, activity related to stock-based compensation, and unrealized gains on fixed maturity securities and was partially offset by share repurchases made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Tangible stockholders’ equity is a non</w:t>
        <w:noBreakHyphen/>
        <w:t>GAAP financial measure. See “Reconciliation of Non</w:t>
        <w:noBreakHyphen/>
        <w:t>GAAP Financial Measures” for a reconciliation of stockholders’ equity in accordance with GAAP to tangible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Investment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primary investment objectives are to maintain liquidity, preserve capital and generate a stable level of investment income. We purchase securities that we believe are attractive on a relative value basis and seek to generate returns in excess of predetermined benchmarks. Our Board of Directors approves our investment guidelines in compliance with applicable regulatory restrictions on asset type, quality and concentration. Our current investment guidelines allow us to invest in taxable and tax</w:t>
        <w:noBreakHyphen/>
        <w:t>exempt fixed maturities, as well as publicly traded mutual funds and common stock of individual companies. Our cash and invested assets consist of cash and cash equivalents, fixed maturity securities, and equity securities. As of September 30, 2023, the majority of our investment portfolio, or $591.9 million, was comprised of fixed maturity securities that are classified as available</w:t>
        <w:noBreakHyphen/>
        <w:t>for</w:t>
        <w:noBreakHyphen/>
        <w:t>sale and carried at fair value with unrealized gains and losses on these securities, net of applicable taxes, reported as a separate component of accumulated other comprehensive income. Also included in our investment portfolio were $39.8 million of equity securities and $2.9 million of equity method investments. In addition, we maintained a non</w:t>
        <w:noBreakHyphen/>
        <w:t>restricted cash and cash equivalent balance of $53.0 million at September 30, 2023. Our fixed maturity securities, including cash equivalents, had a weighted average effective duration of 3.61 and 3.81 years and an average rating of “Aa3/A+” and “A1/A+” at September 30, 2023 and December 31, 2022, respectively. Our fixed income investment portfolio had a book yield of 3.90% as of September 30, 2023, compared to 3.30% as of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September 30, 2023 and December 31, 2022 the amortized cost and fair value on available</w:t>
        <w:noBreakHyphen/>
        <w:t>for</w:t>
        <w:noBreakHyphen/>
        <w:t>sale securities were as follows:</w:t>
      </w:r>
    </w:p>
    <w:p>
      <w:pPr>
        <w:pStyle w:val="TextBody"/>
        <w:bidi w:val="0"/>
        <w:spacing w:before="0" w:after="0"/>
        <w:ind w:left="0" w:right="0" w:hanging="0"/>
        <w:jc w:val="left"/>
        <w:rPr>
          <w:caps w:val="false"/>
          <w:smallCaps w:val="false"/>
        </w:rPr>
      </w:pPr>
      <w:r>
        <w:rPr>
          <w:caps w:val="false"/>
          <w:smallCaps w:val="false"/>
        </w:rPr>
        <w:t> </w:t>
      </w:r>
    </w:p>
    <w:tbl>
      <w:tblPr>
        <w:tblW w:w="8188" w:type="dxa"/>
        <w:jc w:val="left"/>
        <w:tblInd w:w="0" w:type="dxa"/>
        <w:tblLayout w:type="fixed"/>
        <w:tblCellMar>
          <w:top w:w="0" w:type="dxa"/>
          <w:left w:w="0" w:type="dxa"/>
          <w:bottom w:w="0" w:type="dxa"/>
          <w:right w:w="0" w:type="dxa"/>
        </w:tblCellMar>
      </w:tblPr>
      <w:tblGrid>
        <w:gridCol w:w="4895"/>
        <w:gridCol w:w="60"/>
        <w:gridCol w:w="160"/>
        <w:gridCol w:w="894"/>
        <w:gridCol w:w="60"/>
        <w:gridCol w:w="60"/>
        <w:gridCol w:w="125"/>
        <w:gridCol w:w="695"/>
        <w:gridCol w:w="60"/>
        <w:gridCol w:w="60"/>
        <w:gridCol w:w="102"/>
        <w:gridCol w:w="832"/>
        <w:gridCol w:w="185"/>
      </w:tblGrid>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185" w:type="dxa"/>
            <w:tcBorders/>
            <w:shd w:fill="FFFFFF" w:val="clear"/>
            <w:vAlign w:val="center"/>
          </w:tcPr>
          <w:p>
            <w:pPr>
              <w:pStyle w:val="TableContents"/>
              <w:bidi w:val="0"/>
              <w:spacing w:before="0" w:after="283"/>
              <w:jc w:val="left"/>
              <w:rPr/>
            </w:pPr>
            <w:r>
              <w:rPr/>
              <w:t> </w:t>
            </w:r>
          </w:p>
        </w:tc>
      </w:tr>
      <w:tr>
        <w:trPr/>
        <w:tc>
          <w:tcPr>
            <w:tcW w:w="48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September 30, 2023</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Cost or 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48"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States, territories, and possessions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Political subdivisions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253,287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235,355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available-for-sale investments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647,579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591,907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188" w:type="dxa"/>
        <w:jc w:val="left"/>
        <w:tblInd w:w="0" w:type="dxa"/>
        <w:tblLayout w:type="fixed"/>
        <w:tblCellMar>
          <w:top w:w="0" w:type="dxa"/>
          <w:left w:w="0" w:type="dxa"/>
          <w:bottom w:w="0" w:type="dxa"/>
          <w:right w:w="0" w:type="dxa"/>
        </w:tblCellMar>
      </w:tblPr>
      <w:tblGrid>
        <w:gridCol w:w="4895"/>
        <w:gridCol w:w="60"/>
        <w:gridCol w:w="160"/>
        <w:gridCol w:w="894"/>
        <w:gridCol w:w="60"/>
        <w:gridCol w:w="60"/>
        <w:gridCol w:w="125"/>
        <w:gridCol w:w="695"/>
        <w:gridCol w:w="60"/>
        <w:gridCol w:w="60"/>
        <w:gridCol w:w="102"/>
        <w:gridCol w:w="832"/>
        <w:gridCol w:w="185"/>
      </w:tblGrid>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185" w:type="dxa"/>
            <w:tcBorders/>
            <w:shd w:fill="FFFFFF" w:val="clear"/>
            <w:vAlign w:val="center"/>
          </w:tcPr>
          <w:p>
            <w:pPr>
              <w:pStyle w:val="TableContents"/>
              <w:bidi w:val="0"/>
              <w:spacing w:before="0" w:after="283"/>
              <w:jc w:val="left"/>
              <w:rPr/>
            </w:pPr>
            <w:r>
              <w:rPr/>
              <w:t> </w:t>
            </w:r>
          </w:p>
        </w:tc>
      </w:tr>
      <w:tr>
        <w:trPr/>
        <w:tc>
          <w:tcPr>
            <w:tcW w:w="48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Cost or 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48"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U.S. Governments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States, territories, and possessions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Political subdivisions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184,578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169,967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available-for-sale investments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561,580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515,064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tables provide the credit quality of investment securities as of September 30, 2023 and December 31, 2022:</w:t>
      </w:r>
    </w:p>
    <w:p>
      <w:pPr>
        <w:pStyle w:val="TextBody"/>
        <w:bidi w:val="0"/>
        <w:spacing w:before="0" w:after="0"/>
        <w:ind w:left="0" w:right="0" w:firstLine="720"/>
        <w:jc w:val="left"/>
        <w:rPr>
          <w:caps w:val="false"/>
          <w:smallCaps w:val="false"/>
        </w:rPr>
      </w:pPr>
      <w:r>
        <w:rPr>
          <w:caps w:val="false"/>
          <w:smallCaps w:val="false"/>
        </w:rPr>
        <w:t> </w:t>
      </w:r>
    </w:p>
    <w:tbl>
      <w:tblPr>
        <w:tblW w:w="3529" w:type="dxa"/>
        <w:jc w:val="left"/>
        <w:tblInd w:w="0" w:type="dxa"/>
        <w:tblLayout w:type="fixed"/>
        <w:tblCellMar>
          <w:top w:w="0" w:type="dxa"/>
          <w:left w:w="0" w:type="dxa"/>
          <w:bottom w:w="0" w:type="dxa"/>
          <w:right w:w="0" w:type="dxa"/>
        </w:tblCellMar>
      </w:tblPr>
      <w:tblGrid>
        <w:gridCol w:w="1685"/>
        <w:gridCol w:w="60"/>
        <w:gridCol w:w="142"/>
        <w:gridCol w:w="792"/>
        <w:gridCol w:w="60"/>
        <w:gridCol w:w="60"/>
        <w:gridCol w:w="60"/>
        <w:gridCol w:w="485"/>
        <w:gridCol w:w="185"/>
      </w:tblGrid>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Estimated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16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September 30, 2023</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9"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Rating</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AAA</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AA</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BBB</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BB</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CCC &amp; Below</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591,907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3484" w:type="dxa"/>
        <w:jc w:val="left"/>
        <w:tblInd w:w="0" w:type="dxa"/>
        <w:tblLayout w:type="fixed"/>
        <w:tblCellMar>
          <w:top w:w="0" w:type="dxa"/>
          <w:left w:w="0" w:type="dxa"/>
          <w:bottom w:w="0" w:type="dxa"/>
          <w:right w:w="0" w:type="dxa"/>
        </w:tblCellMar>
      </w:tblPr>
      <w:tblGrid>
        <w:gridCol w:w="1640"/>
        <w:gridCol w:w="60"/>
        <w:gridCol w:w="142"/>
        <w:gridCol w:w="792"/>
        <w:gridCol w:w="60"/>
        <w:gridCol w:w="60"/>
        <w:gridCol w:w="60"/>
        <w:gridCol w:w="485"/>
        <w:gridCol w:w="185"/>
      </w:tblGrid>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Estimated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16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9"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Rating</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AAA</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AA</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171,292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BBB</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BB</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CCC &amp; Below</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515,064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amortized cost and fair value of our available</w:t>
        <w:noBreakHyphen/>
        <w:t>for</w:t>
        <w:noBreakHyphen/>
        <w:t>sale investments in fixed maturity securities summarized by contractual maturity as of September 30, 2023 were as follows:</w:t>
      </w:r>
    </w:p>
    <w:p>
      <w:pPr>
        <w:pStyle w:val="TextBody"/>
        <w:bidi w:val="0"/>
        <w:spacing w:before="0" w:after="0"/>
        <w:ind w:left="0" w:right="0" w:firstLine="720"/>
        <w:jc w:val="left"/>
        <w:rPr>
          <w:caps w:val="false"/>
          <w:smallCaps w:val="false"/>
        </w:rPr>
      </w:pPr>
      <w:r>
        <w:rPr>
          <w:caps w:val="false"/>
          <w:smallCaps w:val="false"/>
        </w:rPr>
        <w:t> </w:t>
      </w:r>
    </w:p>
    <w:tbl>
      <w:tblPr>
        <w:tblW w:w="6209" w:type="dxa"/>
        <w:jc w:val="left"/>
        <w:tblInd w:w="0" w:type="dxa"/>
        <w:tblLayout w:type="fixed"/>
        <w:tblCellMar>
          <w:top w:w="0" w:type="dxa"/>
          <w:left w:w="0" w:type="dxa"/>
          <w:bottom w:w="0" w:type="dxa"/>
          <w:right w:w="0" w:type="dxa"/>
        </w:tblCellMar>
      </w:tblPr>
      <w:tblGrid>
        <w:gridCol w:w="3050"/>
        <w:gridCol w:w="60"/>
        <w:gridCol w:w="140"/>
        <w:gridCol w:w="780"/>
        <w:gridCol w:w="60"/>
        <w:gridCol w:w="60"/>
        <w:gridCol w:w="125"/>
        <w:gridCol w:w="695"/>
        <w:gridCol w:w="60"/>
        <w:gridCol w:w="60"/>
        <w:gridCol w:w="102"/>
        <w:gridCol w:w="832"/>
        <w:gridCol w:w="185"/>
      </w:tblGrid>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185" w:type="dxa"/>
            <w:tcBorders/>
            <w:shd w:fill="FFFFFF" w:val="clear"/>
            <w:vAlign w:val="center"/>
          </w:tcPr>
          <w:p>
            <w:pPr>
              <w:pStyle w:val="TableContents"/>
              <w:bidi w:val="0"/>
              <w:spacing w:before="0" w:after="283"/>
              <w:jc w:val="left"/>
              <w:rPr/>
            </w:pPr>
            <w:r>
              <w:rPr/>
              <w:t> </w:t>
            </w:r>
          </w:p>
        </w:tc>
      </w:tr>
      <w:tr>
        <w:trPr/>
        <w:tc>
          <w:tcPr>
            <w:tcW w:w="30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September 30, 2023</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4"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within one year</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after one year through five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170,789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after five years through ten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131,751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after ten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Mortgage and asset-backed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253,287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235,355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647,579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591,907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Expected maturities may differ from contractual maturities because borrowers may have the right to call or prepay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purchase a significant amount of reinsurance from third parties that we believe enhances our business by reducing our exposure to potential catastrophe losses, limiting volatility in our underwriting performance, and providing us with greater visibility into our future earnings. Reinsurance involves transferring, or ceding, a portion of our risk exposure on policies that we write to another insurer, the reinsurer, in exchange for a premium. To the extent that our reinsurers are unable to meet the obligations they assume under our reinsurance agreements, we remain liable for the entire insured loss; see “Risk Factors—Risks Related to Our Business and Industry—We may be unable to purchase third 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use treaty reinsurance and, on a limited basis, facultative reinsurance coverage. Treaty coverage refers to a reinsurance contract that is applied to a group or class of business where all the risks written meet the criteria for that class. Our treaty reinsurance program primarily consists of catastrophe XOL coverage, in which the reinsurer(s) agree to assume all or a portion of the ceding company’s losses relating to a group of policies occurring in relation to specified events, subject to customary exclusions, in excess of a specified amount. Additionally, we buy program specific reinsurance coverage for specific lines of business on a quota share, property per risk or a facultative basis. In quota share reinsurance, the reinsurer agrees to assume a specified percentage of the ceding company’s losses arising out of a defined class of business in exchange for a corresponding percentage of premiums, net of a ceding commission. Property per risk coverage is similar to catastrophe XOL coverage except that the treaty applies in individual property losses rather than in the aggregate for all claims associated with a single catastrophic loss occurrence. Facultative coverage refers to a reinsurance contract on individual risks as opposed to a group or class of business. We use facultative reinsurance selectively to supplement limits or to cover risks or perils excluded from other reinsurance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a robust program utilizing a mix of traditional reinsurers and insurance linked securities. We currently purchase reinsurance from over 100 reinsurers, who either have an “A−” (Excellent) (Outlook Stable) or better financial strength rating by A.M. Best or post collateral. Our reinsurance contracts include special termination provisions that allow us to cancel and replace any participating reinsurer that is downgraded below a rating of “A−” (Excellent) (Outlook Stable) from A.M. Best, or whose surplus drops by more than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reinsurance purchased from traditional reinsurers, the Company has historically incorporated collateralized protection from the insurance linked securities market via catastrophe bonds. During the first quarter of 2021, the Company closed a $400 million 144A catastrophe bond which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the Company closed a $275 million 144A catastrophe bond which became effective June 1, 2022. This catastrophe bond was completed through Torrey Pines Re Ltd., a Bermuda-domiciled special purpose insurer that provides indemnity-based reinsurance covering earthquake events through June 1, 2025. During the second quarter of 2023, the Company also closed a $200 million 144A catastrophe bond which became effective June 1, 2023. This catastrophe bond was also completed through Torrey Pines Re Ltd and provides indemnity-based reinsurance covering earthquake events through 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catastrophe event retention is currently $17.5 million for all perils. Our reinsurance coverage exhausts at $2.68 billion for earthquake events, $900 million for Hawaii hurricane events, and $100 million for continental U.S. hurricane events, providing coverage in excess of our 1 in 250 year peak zone PML and in excess of our A.M. Best requirement. In addition, we maintain reinsurance coverage equivalent to or better than the 1 in 250 year PML for our other 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event that multiple catastrophe events occur in a period, many of our contracts include the right to reinstate reinsurance limits for potential future recoveries during the same contract year and preserve our limit for subsequent events. This feature for subsequent event coverage is known as a “reinstatement.”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identified the accounting estimates which are critical to the understanding of our financial position and results of operations. Critical accounting estimates are defined as those estimates that are both important to the portrayal of our financial condition and results of operations and require us to exercise significant judgment. We use significant judgment concerning future results and developments in applying these critical accounting estimates and in preparing our condensed consolidated financial statements. These judgments and estimates affect our reported amounts of assets, liabilities, revenues and expenses and the disclosure of our material contingent assets and liabilities. Actual results may differ materially from the estimates and assumptions used in preparing the condensed consolidated financial statements. We evaluate our estimates regularly using information that we believe to be relevant. Our critical accounting policies and estimates are described in our annual consolidated financial statements and the related notes in our 2022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have been no significant changes in our critical accounting policies and estimates as compared to the critical accounting policies and estimates disclosed in Management’s Discussion and Analysis of Financial Condition and Operations included in our 2022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9" w:name="qqdmr"/>
      <w:bookmarkEnd w:id="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Market risk is a general term describing the potential economic loss associated with adverse changes in the fair value of financial instruments. Our condensed consolidated balance sheets include assets and liabilities with estimated fair values that are subject to market risk. Our primary market risks have been equity price risk associated with investments in equity securities and interest rate risk associated with investments in fixed maturities.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Credit risk is the potential loss resulting from adverse changes in an issuer’s ability to repay its debt obligations. In general, we manage the exposure to credit risk in our investment portfolio by investing in high quality securities and by diversifying our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monitor our investment portfolio to ensure that credit risk does not exceed prudent levels. The majority of our investment portfolio is invested in high credit quality, investment grade fixed maturity securities. We also invest in higher yielding fixed maturities and equity securities. Our fixed maturity portfolio has an average rating by at least one nationally recognized rating organization of “AA−,” with approximately 79.7% rated “A−” or better. At September 30, 2023, 1.7% of our fixed maturity portfolio was unrated or rated below investment grade. Our fixed maturity portfolio includes some securities issued with financial guaranty insurance. We purchase fixed maturities based on our assessment of the credit quality of the underlying assets without regard to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0" w:name="cps"/>
      <w:bookmarkEnd w:id="1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the end of the period covered by this Quarterly Report on Form 10</w:t>
        <w:noBreakHyphen/>
        <w:t>Q, we carried out an evaluation, under the supervision and with the participation of our management, including our CEO and CFO, of the effectiveness of the design and operation of our disclosure controls and procedures defined under Rules 13a</w:t>
        <w:noBreakHyphen/>
        <w:t>15(e) and 15d</w:t>
        <w:noBreakHyphen/>
        <w:t>15(e) under the Exchange Act. Based upon this evaluation, our CEO and CFO concluded that our disclosure controls and procedures were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 changes in our internal control over financial reporting (as defined in Rules 13a</w:t>
        <w:noBreakHyphen/>
        <w:t>15(f) and 15d</w:t>
        <w:noBreakHyphen/>
        <w:t>15(f) under the Exchange Act) occurred during the quarter ended September 30, 2023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Inherent Limitations on Effectiveness of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bookmarkStart w:id="11" w:name="partii"/>
      <w:bookmarkEnd w:id="11"/>
      <w:r>
        <w:rPr>
          <w:rFonts w:ascii="Times New Roman;Times;serif" w:hAnsi="Times New Roman;Times;serif"/>
          <w:b/>
          <w:sz w:val="20"/>
        </w:rPr>
        <w:t>PART</w:t>
      </w:r>
      <w:r>
        <w:rPr>
          <w:rFonts w:ascii="Times New Roman;Times;serif" w:hAnsi="Times New Roman;Times;serif"/>
          <w:sz w:val="20"/>
        </w:rPr>
        <w:t> </w:t>
      </w:r>
      <w:r>
        <w:rPr>
          <w:rFonts w:ascii="Times New Roman;Times;serif" w:hAnsi="Times New Roman;Times;serif"/>
          <w:b/>
          <w:sz w:val="20"/>
        </w:rPr>
        <w:t>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2" w:name="legal"/>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party to legal proceedings which arise in the ordinary course of business. We believe that the outcome of such matters, individually and in the aggregate, will not have a material adverse effect on our condensed consolidated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3" w:name="item1a"/>
      <w:bookmarkEnd w:id="13"/>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business is subject to numerous risks and uncertainties, these risks include, but are not limited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Risks related to our business and industry: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Claims arising from unpredictable and severe catastrophe events, including those caused by global climate change, could reduce or eliminate our earnings and stockholders' equity, and limit our ability to underwrite new insurance policies;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reinsurers may not pay claims on a timely basis, or at all, which may materially adversely affect our business,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loss reserves are established based on estimates and may be inadequate to cover actual incurred losses which could have a material adverse impact on our 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sz w:val="20"/>
              </w:rPr>
            </w:pPr>
            <w:r>
              <w:rPr>
                <w:sz w:val="20"/>
              </w:rPr>
              <w:t>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risk management and loss limitation methods, including estimates and models, may fail to adequately manage our exposure to losses from catastrophe events and our losses could be materially higher than our expectations;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business is concentrated in California and Texas and we are exposed more significantly to California and Texas loss activity and regulatory environments;</w:t>
            </w:r>
          </w:p>
        </w:tc>
      </w:tr>
    </w:tbl>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60"/>
        <w:gridCol w:w="170"/>
        <w:gridCol w:w="86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rely on a select group of brokers and program administrators, and such relationships may not continue;</w:t>
            </w:r>
          </w:p>
        </w:tc>
      </w:tr>
    </w:tbl>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60"/>
        <w:gridCol w:w="170"/>
        <w:gridCol w:w="46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 is intense competition for business in our industry;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Risks Related to the Economic Environment: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Adverse economic factors, including recession, inflation, periods of high unemployment or lower economic activity could affect our growth and profitability;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Risks Related to Technology:</w:t>
      </w:r>
    </w:p>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60"/>
        <w:gridCol w:w="170"/>
        <w:gridCol w:w="9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failure of our information technology and telecommunications systems could adversely affect our business;</w:t>
            </w:r>
          </w:p>
        </w:tc>
      </w:tr>
    </w:tbl>
    <w:p>
      <w:pPr>
        <w:pStyle w:val="TextBody"/>
        <w:bidi w:val="0"/>
        <w:spacing w:before="0" w:after="0"/>
        <w:ind w:left="0" w:right="0" w:hanging="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60"/>
        <w:gridCol w:w="170"/>
        <w:gridCol w:w="8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 breaches or cyber-attacks could expose us to liability and damage our reputation and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Risks Related to Laws and Regulations:</w:t>
      </w:r>
    </w:p>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60"/>
        <w:gridCol w:w="170"/>
        <w:gridCol w:w="92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subject to extensive regulation, which may adversely affect our ability to achieve our business objectives;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Unexpected changes in the interpretation of our coverage or provisions, including loss limitations and exclusions, in our policies could have a material adverse effect on our financial condition or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incur significant costs as a result of operating as a public company, and our management is required to devote substantial time to complying with public company regulations;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Risks Related to Ownership of our Common Stock: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operating results and stock price may be volatile, or may decline regardless of our operating performance, and holders of our common stock could lose all or part of their investment.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Risks Related to Our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Claims arising from unpredictable and severe catastrophe events, including those caused by global climate change, could reduce or eliminate our earnings and stockholders</w:t>
      </w:r>
      <w:r>
        <w:rPr>
          <w:rFonts w:ascii="Times New Roman" w:hAnsi="Times New Roman"/>
          <w:caps w:val="false"/>
          <w:smallCaps w:val="false"/>
          <w:sz w:val="20"/>
        </w:rPr>
        <w:t xml:space="preserve">’ </w:t>
      </w:r>
      <w:r>
        <w:rPr>
          <w:rFonts w:ascii="Times New Roman" w:hAnsi="Times New Roman"/>
          <w:b/>
          <w:i/>
          <w:caps w:val="false"/>
          <w:smallCaps w:val="false"/>
          <w:sz w:val="20"/>
        </w:rPr>
        <w:t>equity and limit our ability to underwrite new insurance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insurance operations expose us to claims arising from unpredictable catastrophe events, such as earthquakes, hurricanes, windstorms, floods and other severe events. We have experienced significant losses from catastrophe events multiple times in our history and we may incur significant losses from future catastrophe events. The actual occurrence, frequency and magnitude of such events are uncertain. While there can be no certainty surrounding the timing and magnitude of earthquakes, some observers believe that significant shifts in the tectonic plates, including the San Andreas Fault, may occur in the future. Over the past several years, changing weather patterns and climatic conditions, such as global warming, have added to the unpredictability and frequency of natural disasters in certain parts of the world, including the markets in which we operate. Climate change may increase the frequency and severity of extreme weather events. This effect has led to conditions in the ocean and atmosphere, including warmer-than-average sea-surface temperatures and low wind shear that increase hurricane activity. Hurricane activity typically increases between June and November of each year, though the actual occurrence and magnitude of such events is uncertain. The occurrence of a natural disaster or other catastrophe loss could materially adversely affect our business, financial condition, and results of operations. Additionally, any increased frequency and severity of such weather events, including hurricanes, could have a material adverse effect on our ability to predict, quantify, reinsure and manage catastrophe risk and may materially increase our losses resulting from such catastrophe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extent of losses from catastrophes is a function of both the frequency and severity of the insured events and the total amount of insured exposure in the areas affected. The frequency and severity of catastrophes are inherently unpredictable and the occurrence of one catastrophe does not make the occurrence of another catastrophe more or less likely. Increases in the replacement cost of insured property due to higher material and labor costs, increases in concentrations of insured property, the effects of inflation, and changes in cyclical weather patterns may increase the severity of claims from catastrophe events in the future. Claims from catastrophe events could reduce our earnings and cause substantial volatility in our results of operations for any fiscal quarter or year, which could materially adversely affect our financial condition, possibly to the extent of eliminating our total stockholders’ equity. Our ability to underwrite new insurance policies could also be materially adversely impacted as a result of corresponding reductions in our capital. In addition, a natural disaster could materially impact the financial condition of our policyholders, resulting in loss of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reinsurance coverage currently exhausts at $2.68 billion for earthquake events, $900 million for Hawaii hurricane events, and $100 million for continental U.S. hurricane events, with coverage in excess of our estimated peak zone 1 in 250 year PML event and in excess of our A.M. Best threshold. Our catastrophe event retention is currently $17.5 million for all perils. In addition to our event retention, we may also incur additional reinsurance expenses upon a catastrophe event. While we only select reinsurers whom we believe to have acceptable credit, if our reinsurers are unable to pay the claims for which they are responsible, we retain primary liability. Our earthquake policies do not provide coverage for fire damage arising from an earthquake. Catastrophe events which cause our reinsurers to incur losses may increase the cost of reinsurance in future periods or make it more difficult to obtain reinsurance on commercially acceptable terms. While we believe our risk transfer program reduces exposure to catastrophe losses and earnings volatility, one or more severe catastrophe events could result in claims that exceed the limits of our reinsurance coverage.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reinsurers may not pay claims on a timely basis, or at all, which may materially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ability to grow our business is dependent in part in our ability to secure reinsurance for a substantial portion of the risk associated with our policies. Although reinsurance makes the reinsurer liable to us to the extent the risk is transferred or ceded to the reinsurer, it does not relieve us (the ceding insurer) of our primary liability to our policyholders. While our current reinsurance program is designed to limit our risk retention, in the event of a major catastrophe, our reinsurers may not pay claims made by us on a timely basis, or they may not pay some or all these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reinsurers may default in their financial obligations to us as the result of insolvency, lack of liquidity, operational failure, fraud, asserted defenses based on agreement wordings or the principle of utmost good faith, asserted deficiencies in the documentation of agreements, or other reasons. Any disputes with reinsurers regarding coverage under reinsurance contracts could be time consuming, costly, and uncertain of success. If a catastrophe event were to occur and our reinsurers were unable to satisfy their commitments to us, we may be unable to satisfy our policyholder liabilities which would adversely impact our results of operations and financial condition. We evaluate each reinsurance claim based on the facts of the case, historical experience with the reinsurer on similar claims and existing case law and consider including any amounts deemed uncollectible from the reinsurer in a reserve for uncollectible reinsurance. As of September 30, 2023, we had $280.2 million of aggregate reinsurance recoverables.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loss reserves are established based on estimates which may be inadequate to cover actual incurred losses which could have a material adverse impact on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reserve for losses and loss adjustment expenses represents our estimated ultimate cost of all reported and unreported losses and loss adjustment expenses incurred and unpaid at the balance sheet date. We seek to establish adequate reserves; however, our ultimate liability may be greater than our estimate.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process of estimating the reserves for losses and loss adjustment expenses requires a high degree of judgment and is subject to several variables. Multiple actuarial methods are used to estimate the reserve for losses and loss adjustment expenses. These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subject to uncertainties which impact the adequacy of our reserves. For example, when we write “occurrence” policies, we are obligated to pay covered claims, up to the contractually agreed amount, for any covered loss that occurs while the policy is in force. Accordingly, claims may arise in years after a policy has lapsed. In addition, catastrophe events often involve a significant number of claims and ultimate cost of settling all claims is inherently difficult to predict upon the event’s occurrence.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reserves are driven by several important factors,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our loss reserves should prove to be inadequate, we will be required to increase our reserves resulting in a reduction in our net income and stockholders’ equity in the period where the inadequacy is identified. Material increases to our reserves may impact our liquidity, our financial rating, and our ability to comply with debt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further information on our loss reserving methodology, see “Management’s Discussion and Analysis-Critical Accounting Policies and Estimates- Reserve for Losses and Loss Adjustment Expenses” in our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purchase a significant amount of reinsurance from third parties that we believe enhances our business by reducing our exposure to potential catastrophe losses and reducing volatility in our underwriting performance, providing us with greater visibility into our future earnings. Reinsurance involves transferring, or ceding, a portion of our risk exposure on policies that we write to another insurer, the reinsurer, in exchange for a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buy multiple types of reinsurance including treaty excess of loss (“XOL”) coverage and program specific reinsurance coverage on a quota share, property per risk or a facultative basis. Treaty coverage refers to a reinsurance contract that is applied to a group or class of business where all the risks written meet the criteria for that class. Facultative coverage refers to a reinsurance contract on individual risks as opposed to a group or class of business. Our catastrophe XOL treaties are divided into multiple layers.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reinsurance market historically has been a cyclical market characterized by periods of sufficient or excess capital (soft market cycle) as well as shortages of capital (hard market cycle). Market conditions have limited, and in some cases prevented, insurers from obtaining the types and amounts of reinsurance they consider adequate for their business needs. As a result, we may not be able to purchase reinsurance in the areas and for the amounts we desire or on terms we deem acceptable or at all. Hard market cycles may increase our cost of reinsurance, force us to increase our loss retention, or limit the amount of reinsurance we are able to purchase, all of which would have an adverse impact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reinsurance purchased from traditional reinsurers, the Company has historically incorporated collateralized protection from the insurance linked securities market via catastrophe bonds. During the first quarter of 2021, the Company closed a $400 million 144A catastrophe bond which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the Company closed a $275 million 144A catastrophe bond which became effective June 1, 2022. This catastrophe bond was completed through Torrey Pines Re Ltd., a Bermuda-domiciled special purpose insurer that provides indemnity-based reinsurance covering earthquake events through June 1, 2025. During the second quarter of 2023, the Company also closed a $200 million 144A catastrophe bond which became effective June 1, 2023. This catastrophe bond was also completed through Torrey Pines Re Ltd and provides indemnity-based reinsurance covering earthquake events through June 1,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seek similar catastrophe bond offerings in the future. However, there can be no assurance that we will be able to complete such offerings on acceptable terms,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are unable to renew our expiring reinsurance contracts on acceptable terms or expand our reinsurance coverage through traditional reinsurers, catastrophe bonds, or otherwise, our loss exposure may increase, which would increase our potential losses related to catastrophe or non-catastrophe events. If we are unwilling to bear an increase in loss exposure, we may have to reduce our written premiums. These outcomes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as we grow our written premiums and enter new lines of business we will seek new types of reinsurance and will need to purchase reinsurance on commercially acceptable terms in order to reduce the risk associated with entering new lines of business. The inability to purchase appropriate reinsurance for new lines of business could negatively impact our ability to grow our written premiums and maintain our desired level of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Many reinsurance companies have begun to exclude certain coverages from, or alter terms in, our reinsurance contracts with them. As a result, we, like other insurance companies, write insurance policies which to some extent do not have the benefit of reinsurance protection. These gaps in reinsurance protection expose us to greater risk and greater potential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utilize several risk management and loss limitation methods, including relying on estimates and models. If these methods fail to adequately manage our exposure to losses from catastrophe events, our losses could be materially higher than our expectations, and our business, financial condition, and results of operations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approach to risk management relies on subjective variables that entail significant uncertainties. We manage our exposure to catastrophe losses by analyzing the probability of the occurrence of catastrophe events and their severity and impact on our underwriting and investment portfolio. We monitor and mitigate our exposure through a number of methods designed to minimize risk, including underwriting specialization, modeling and data systems, data quality control, strategic use of policy deductibles, regular review of aggregate exposure and probable maximum loss reports, which report the maximum amount of expected losses based on computer or actuarial modeling techniques. These estimates, models, data, and scenarios may not produce accurate predictions; consequently, we could incur losses both in the risks we underwrite and to the value of our investment portfolio due to the overall impact on financial markets from the occurrence of catastrophe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output from our risk modeling software is based on third-party data that we believe to be accurate and reliable. The estimates and assumptions we use are dependent on many variables, such as loss adjustment expenses, insurance to value, storm or earthquake intensity, building code compliance and demand surge, which is the temporary inflation of costs for building materials such as lumber and labor resulting from increased demand for rebuilding services in the aftermath of a catastrophe. Accordingly, if the estimates and assumptions used in our risk models are incorrect or if our risk models prove to be an inaccurate forecasting tool, the losses we incur from an actual catastrophe could be materially higher than our expectation of losses generated from modeled catastrophe scenarios, and our business, financial condition, and results of operations could be materially adversely affected. In addition, our third-party data providers may change the estimates or assumptions that we use in our risk models and/or their data may be inaccurate. Changes in these estimates or assumptions or the use of inaccurate third-party data could cause our actual losses to be materially higher than our current expectation of losses generated by modeled catastrophe scenarios, which in turn could materially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run many model simulations to understand the impact of these assumptions on a catastrophe’s loss potential. Furthermore, there are risks associated with catastrophe events, which are either poorly represented or not represented at all by catastrophe models. Each modeling assumption or un-modeled risk introduces uncertainty into probable maximum loss estimates that management must consider. These uncertainties can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models do not address all the possible hazard characteristics of a catastrophe peril (e.g., the precise path and wind speed of a hurricane);</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60"/>
        <w:gridCol w:w="110"/>
        <w:gridCol w:w="63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3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models may not accurately reflect the true frequency or severity of events;</w:t>
            </w:r>
          </w:p>
        </w:tc>
      </w:tr>
    </w:tbl>
    <w:p>
      <w:pPr>
        <w:pStyle w:val="TextBody"/>
        <w:bidi w:val="0"/>
        <w:spacing w:before="0" w:after="0"/>
        <w:ind w:left="0" w:right="0" w:hanging="0"/>
        <w:jc w:val="left"/>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60"/>
        <w:gridCol w:w="110"/>
        <w:gridCol w:w="96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6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models may not accurately reflect a risk’s vulnerability or susceptibility to damage for a given event characteristic;</w:t>
            </w:r>
          </w:p>
        </w:tc>
      </w:tr>
    </w:tbl>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60"/>
        <w:gridCol w:w="110"/>
        <w:gridCol w:w="63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models may not account for unusual or unprecedented catastrophe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8395" w:type="dxa"/>
        <w:jc w:val="left"/>
        <w:tblInd w:w="0" w:type="dxa"/>
        <w:tblLayout w:type="fixed"/>
        <w:tblCellMar>
          <w:top w:w="0" w:type="dxa"/>
          <w:left w:w="0" w:type="dxa"/>
          <w:bottom w:w="0" w:type="dxa"/>
          <w:right w:w="0" w:type="dxa"/>
        </w:tblCellMar>
      </w:tblPr>
      <w:tblGrid>
        <w:gridCol w:w="60"/>
        <w:gridCol w:w="110"/>
        <w:gridCol w:w="82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models may not adequately consider the impact of inflation on the magnitude of modeled losses;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models may not accurately represent loss potential to insurance or reinsurance contract coverage limits, terms and conditions;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models may not accurately reflect the impact on the economy of the area affected or the financial, judicial, political, or regulatory impacts on insurance claim payments during or following a catastrophe event.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result of these factors and contingencies, our reliance on assumptions and data used to evaluate our entire risk portfolio and specifically to estimate a probable maximum loss is subject to a high degree of uncertainty that could result in actual losses that are materially different from our probable maximum loss estimates and could adversely impact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 decline in our financial strength rating may adversely affect the amount of business we write and impact compliance with our debt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Participants in the insurance industry use ratings from independent ratings agencies, such as A.M. Best, as an important means of assessing the financial strength and quality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September 30, 2023, A.M. Best has assigned a financial strength rating of “A−” (Excellent) (Outlook Positive) to our insurance company subsidiaries, Palomar Specialty Insurance Company (“PSIC”) and Palomar Excess and Surplus Insurance Company (“PESIC”).  A.M. Best assigns ratings that are intended to provide an independent opinion of an insurance company’s ability to meet its obligations to policyholders and such ratings are not evaluations directed to investors and are not a recommendation to buy, sell or 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or revoke it at A.M. Best’s discretion based primarily on its analyses of our balance sheet strength (including capital adequacy and loss adjustment expense reserve adequacy), operating performance and business profile. Factors that could affect such analyses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we change our business practices from our organizational business plan in a manner that no longer supports A.M. Best’s rating;</w:t>
            </w:r>
          </w:p>
        </w:tc>
      </w:tr>
    </w:tbl>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60"/>
        <w:gridCol w:w="110"/>
        <w:gridCol w:w="77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unfavorable financial, regulatory or market trends affect us, including excess market capacity;</w:t>
            </w:r>
          </w:p>
        </w:tc>
      </w:tr>
    </w:tbl>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60"/>
        <w:gridCol w:w="110"/>
        <w:gridCol w:w="30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3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our losses exceed our loss reserves;</w:t>
            </w:r>
          </w:p>
        </w:tc>
      </w:tr>
    </w:tbl>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60"/>
        <w:gridCol w:w="110"/>
        <w:gridCol w:w="46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46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we have unresolved issues with government regulators;</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60"/>
        <w:gridCol w:w="110"/>
        <w:gridCol w:w="58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we are unable to retain our senior management or other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60"/>
        <w:gridCol w:w="110"/>
        <w:gridCol w:w="44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4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our investment portfolio incurs significant losses; or</w:t>
            </w:r>
          </w:p>
        </w:tc>
      </w:tr>
    </w:tbl>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60"/>
        <w:gridCol w:w="110"/>
        <w:gridCol w:w="93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A.M. Best alters its capital adequacy assessment methodology in a manner that would adversely affect our rating.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and other factors could result in a downgrade of our financial strength rating. A downgrade or withdrawal of our rating could result in any of the following consequences, among others: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60"/>
        <w:gridCol w:w="110"/>
        <w:gridCol w:w="91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Causing our current and future distribution partners and insureds to choose other, more highly rated competitors;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5650" w:type="dxa"/>
        <w:jc w:val="left"/>
        <w:tblInd w:w="0" w:type="dxa"/>
        <w:tblLayout w:type="fixed"/>
        <w:tblCellMar>
          <w:top w:w="0" w:type="dxa"/>
          <w:left w:w="0" w:type="dxa"/>
          <w:bottom w:w="0" w:type="dxa"/>
          <w:right w:w="0" w:type="dxa"/>
        </w:tblCellMar>
      </w:tblPr>
      <w:tblGrid>
        <w:gridCol w:w="60"/>
        <w:gridCol w:w="110"/>
        <w:gridCol w:w="54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4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Increasing the cost or reducing the availability of reinsurance to us;</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60"/>
        <w:gridCol w:w="110"/>
        <w:gridCol w:w="71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1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Severely limiting or preventing us from writing new and renewal insurance contracts; or</w:t>
            </w:r>
          </w:p>
        </w:tc>
      </w:tr>
    </w:tbl>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60"/>
        <w:gridCol w:w="110"/>
        <w:gridCol w:w="71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1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Causing us to be out of compliance with the financial covenants in our credit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or will increase the capital and other requirements employed in the rating organizations’ models for maintenance of certain ratings levels. If our credit rating were to be downgraded, or general market conditions were to ascribe higher risk to our rating levels, our access to capital markets and the cost of any equity or debt financing will be negatively impacted. We can offer no assurance that our rating will remain at its current level. It is possible that such reviews of us may result in adverse ratings consequences, which could have a material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and our customers could be negatively and adversely impacted by pandemics, disease outbreaks and other public health crises.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extent of the impact of pandemic, disease outbreak or other public health crisis on our operational and financial performance depends on several factors, including the ultimate duration and severity of the event, the emergence and severity of variant strains, actions taken and restrictions imposed by the government and health officials in response, the effectiveness and adoption of vaccines and therapeutics, the ability for our customers to continue to pay premiums, contraction of the insurance and reinsurance markets, and the ability for reinsurers to satisfy claims, all of which are uncertain and cannot be predicted. While policy terms and conditions in the lines of business written by us would be expected to preclude coverage for virus-related claims, court decisions and governmental actions may challenge the validity of any exclusions or our interpretation of how such terms and conditions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Global health crises have historically contributed to financial market volatility, supply chain disruptions, price inflation, and material and labor shortages, all of which may have a negative impact on our business. Furthermore, since our results of operations are partially dependent on the performance of our investment portfolio, a global health crisis' impact on the economy and financial markets could reduce our net investment income and result in realized investment losses in future periods. The macroeconomic effects of a global health crisis may persist for an indefinite period, even after the it has subsided. We cannot anticipate all the ways in which global health crises could adversely impact our business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business is concentrated in California and Texas and, as a result, we are exposed more significantly to California and Texas loss activity and regulatory environments.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policyholders and insurance risks are currently concentrated in California and Texas, which generated 47% and 10% of our gross written premiums for the year ended December 31, 2022 and 52% and 8% for the nine months ended September 30, 2023. We are exposed to business, economic, political, judicial and regulatory risks due to this concentration that are greater than the risks faced by insurance companies that conduct business over a more extensive geographic area. Any single, major catastrophe event, series of events or other condition causing significant losses in California or Texas could materially adversely affect our business, financial condition and results of operations. Additionally, unfavorable business, economic or regulatory conditions in these states may result in a significant reduction of our premiums or increase our loss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Changes in California or Texas political climates could result in new or changed legislation affecting the property and casualty insurance industry in general which could have a negative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could be adversely affected by the loss of one or more key executives or by an inability to attract and retain qualified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depend on our ability to attract and retain experienced personnel and seasoned key executives who are knowledgeable about our business. The pool of talent from which we actively recruit is limited and may fluctuate based on market dynamics specific to our industry and independent of overall economic conditions. As such, higher demand for employees having the desired skills and expertise could lead to increased compensation expectations for existing and prospective personnel, making it difficult for us to retain and recruit key personnel and maintain labor costs at desired levels. Recently, companies have had issues with employee turnover and finding, hiring, and retaining qualified employees. These challenges may continue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particular, our future success is substantially dependent on the continued service of our Founder, Chief Executive Officer and Chairman, Mac Armstrong, and our Chief Financial Officer, Christopher Uchida. Should any of our key executives terminate their employment with us, or if we are unable to retain and attract talented personnel, we may be unable to maintain our current competitive position in the specialized markets in which we operate, which could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rely on a select group of brokers and program administrators, and such relationships may not continue.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distribution networks of our products are multi-faceted and distinct to each line of business. Our relationship with our brokers or program administrators may be discontinued at any time. Even if the relationships do continue, they may not be on terms that are profitable for us. We distribute a significant portion of our Residential Earthquake, Commercial Earthquake, Hawaii Hurricane, and Fronting products through relationships with certain program administrators. Each of the products managed by the program administrators operates as a separate program that is governed by an independent, separately negotiated agreement with unique terms and conditions, including geographic scope, key person provisions, economics and exclusivity. These programs also feature separate managerial oversight and leadership, policy administration systems and retail agents originating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year ended December 31, 2022, our largest program administrator distributed $322.4 million or 36.6% of our gross written premiums and our second largest program administrator distributed $95.1 million, or 10.8% of our gross written premiums. There were no other program administrators which distributed greater than 10% of our gross written premiums 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nine months ended September 30, 2023, our largest program administrator distributed $262.1</w:t>
      </w:r>
      <w:r>
        <w:rPr>
          <w:rFonts w:ascii="Times New Roman" w:hAnsi="Times New Roman"/>
          <w:caps w:val="false"/>
          <w:smallCaps w:val="false"/>
          <w:color w:val="FF0000"/>
          <w:sz w:val="20"/>
        </w:rPr>
        <w:t> </w:t>
      </w:r>
      <w:r>
        <w:rPr>
          <w:rFonts w:ascii="Times New Roman" w:hAnsi="Times New Roman"/>
          <w:caps w:val="false"/>
          <w:smallCaps w:val="false"/>
          <w:sz w:val="20"/>
        </w:rPr>
        <w:t xml:space="preserve">million </w:t>
      </w:r>
      <w:r>
        <w:rPr>
          <w:rFonts w:ascii="Times New Roman" w:hAnsi="Times New Roman"/>
          <w:caps w:val="false"/>
          <w:smallCaps w:val="false"/>
          <w:color w:val="000000"/>
          <w:sz w:val="20"/>
        </w:rPr>
        <w:t>or 31.3%</w:t>
      </w:r>
      <w:r>
        <w:rPr>
          <w:rFonts w:ascii="Times New Roman" w:hAnsi="Times New Roman"/>
          <w:caps w:val="false"/>
          <w:smallCaps w:val="false"/>
          <w:sz w:val="20"/>
        </w:rPr>
        <w:t> of our gross written premiums and our second largest program administrator distributed $115.8 million, or 13.8% of our gross written premiums. There were no other program administrators which distributed greater than 10% of our gross written premiums for the nine months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largest program administrator, Arrowhead General Insurance Agency, distributes our Value Select Residential Earthquake program, which represents the majority of our Residential Earthquake premium and is administered through a mutually exclusive agreement with for the states of California, Oregon and Washington. The agreement remains in effect until terminated by either party upon 180 days’ prior written notice to the other party for cause. The termination of a relationship with one or more significant brokers or program administrators could result in lower gross written premiums and could have a material adverse effect on our results of operations or business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Because we provide our program administrators with specific quoting and binding authority, if any of them fail to comply with pre</w:t>
      </w:r>
      <w:r>
        <w:rPr>
          <w:rFonts w:ascii="Times New Roman" w:hAnsi="Times New Roman"/>
          <w:caps w:val="false"/>
          <w:smallCaps w:val="false"/>
          <w:sz w:val="20"/>
        </w:rPr>
        <w:noBreakHyphen/>
      </w:r>
      <w:r>
        <w:rPr>
          <w:rFonts w:ascii="Times New Roman" w:hAnsi="Times New Roman"/>
          <w:b/>
          <w:i/>
          <w:caps w:val="false"/>
          <w:smallCaps w:val="false"/>
          <w:sz w:val="20"/>
        </w:rPr>
        <w:t>established guidelines, our results of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market and distribute certain of our insurance products through program administrators that have limited quoting and binding authority and that in turn sell our insurance products to insureds through retail agents and wholesale brokers. These program administrators can bind certain risks without our expressed approval. If any of these program administrators fail to comply with our underwriting guidelines and the terms of their appointments, we could be bound on a particular risk or number of risks that were not anticipated when we developed the insurance products or estimated losses and loss adjustment expenses. Such actions could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Because our business depends on insurance brokers and program administrators, we are exposed to certain risks arising out of our reliance on these distribution channels that could adversely affect our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Certain premiums from policyholders, where the business is produced by brokers, are collected directly by the brokers and forwarded to our insurance subsidiaries. In certain jurisdictions, when the insured pays its policy premium to its broker for payment to us, the premium might be considered to have been paid under applicable insurance laws and regulations. Accordingly, the insured would no longer be liable to us for those amounts, whether or not we have actually received the premium from the broker. Consequently, we assume a degree of credit risk associated with the brokers with which we work. We review the financial condition of potential new brokers before we agree to transact business with them. Although the failure by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Additionally, the loss or disruption of business from our agents and brokers or the failure or inability of these agents and brokers to successfully market our insurance products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Because the possibility of these events occurring depends in large part upon the financial condition and internal operations of our brokers, we regularly meet and communicate with our brokers, monitor broker behavior, and review broker financial information on an as</w:t>
        <w:noBreakHyphen/>
        <w:t>needed basis. If we are unable to collect premiums from our brokers in the future, our underwriting profits may decline, and our financial condition and results of operations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Competition for business in our industry is intense.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face competition from other specialty insurance companies, standard insurance companies and underwriting agencies that are larger than we are and that have greater financial, marketing, and other resources than we do. Some of these competitors also have longer operating history and more market recognition than we do in certain lines of business. In addition, we compete against state or other publicly managed enterprises including the California Earthquake Authority (“CEA”), the National Flood Insurance Program, and the Texas Wind Insurance Association. If the CEA decided to provide coverage to non-CEA member carriers or lessened the capital requirements for membership, we would face additional competition in our markets, and our operating results could be adversely affected. Furthermore, it may be difficult or prohibitively expensive for us to implement technology systems and processes that are competitive with the systems and processes of these larger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Competition in the 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the experience and reputation of the members of our underwriting team in the particular lines of insurance and reinsurance we seek to underwrite. In recent years, the insurance industry has undergone increasing consolidation, which may further increase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Certain new, proposed or potential industry or legislative developments could further increase competition in our industry. For example, an increase in capital-raising by companies with whom we compete could result in new entrants to our markets and an excess of capital in the industry. Additionally, the possibility of federal regulatory reform of the insurance industry could increase competition from standard carriers.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this increased competition so limits our ability to transact business, our operating results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actual renewals of our existing policies do not meet expectations, our written premium in future years and our future results of operations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Most of our insurance policies are written for a one</w:t>
        <w:noBreakHyphen/>
        <w:t>year term. In our financial forecasting process, we make assumptions about the rates of renewal of our prior year’s policies. The insurance and reinsurance industries have historically been cyclical businesses with intense competition, often based on price. If actual renewals do not meet expectations or if we choose not to write a renewal because of pricing conditions, our written premium in future years and our future operations would be materially adversely affected. In addition, the volume of fronting premiums written may vary significantly in future periods due to the timing of entering large fronting partnerships and terminations of large fronting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failure to accurately and timely evaluate and pay claims could materially and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must accurately and timely evaluate and pay claims that are made under our policies. Many factors affect our ability to pay claims accurately and timely, including the training and experience of our claims representatives, including our third-party claims administrators (“TPAs”), the effectiveness of our management, and our ability to develop or select and implement appropriate procedures and systems to support our claims functions and other factors. Our failure to evaluate and pay claims accurately and timely could lead to regulatory and administrative actions or material litigation, undermine our reputation in the marketplace and materially and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if we do not manage our TPAs effectively, or if our TPAs are unable to effectively handle our volume of claims, our ability to handle our claims workload could be adversely affected. In addition to potentially requiring that growth be slowed in the affected markets, our business could suffer from decreased quality of claims work which, in turn, could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act based on inaccurate or incomplete information regarding the accounts we underwrite.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rely on information provided by insureds or their representatives when underwriting insurance policies. While we may make inquiries and take other steps to validate or supplement the information provided, we may make 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change our underwriting guidelines or our strategy without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management has the authority to change our underwriting guidelines or our strategy without notice to our stockholders and without stockholder approval. As a result, we may make fundamental changes to our operations without stockholder approval, which could result in our pursuing a strategy or implementing underwriting guidelines that may be materially different from the strategy or underwriting guidelines described in our public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employees could take excessive risks, which could negatively affect our financial condition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an insurance enterprise, we are in the business of binding certain risks. The employees who conduct our business, including executive officers and other members of management, underwriters, product managers and other employees, do so in part by making decisions and choices that involve exposing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employees incentives to take excessive risks. Employees may, however, take such risks regardless of the structure of our compensation programs and practices. Similarly, although we employ controls and procedures designed to monitor employees’ business decisions and prevent them from taking excessive risks, these controls and procedures may not be effective. If our employees take excessive risks, the impact of those risks could have a material adverse effect on our financial condition and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require additional capital in the future, which may not be available or may only be available on unfavorable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future capital requirements depend on many factors, including our ability to write new business successfully and to establish premium rates and reserves at levels sufficient to cover losses. Many factors will affect the amount and timing of our capital needs, including our growth rate and profitability, our claims experience, the availability of reinsurance, market disruptions, and other unforeseeable developments. If we need to raise additional capital, equity or debt financing may not be available at all or may be available only on terms that are not favorable to us. In the case of equity financings, dilution to our stockholders could result. In the case of debt financings, we would be subject to covenants that restrict our ability to freely operate our business. If we cannot obtain adequate capital on favorable terms or at all, we may not have sufficient funds to implement our operating plans and our business, financial condition or results of operations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not be able to manage our growth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intend to grow our business in the future, which could require additional capital, technology development, and skilled personnel. To grow effectively, we must be able to meet our capital needs and expand our systems, technology, and internal controls effectively. We also must allocate our human resources optimally, including identifying, hiring, and retaining qualified employees, and effectively incorporating the components of any businesses we may acquire in our effort to achieve growth. The failure to manage our growth effectively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operating results have in the past varied from quarter to quarter and may not be indicative of our long</w:t>
      </w:r>
      <w:r>
        <w:rPr>
          <w:rFonts w:ascii="Times New Roman" w:hAnsi="Times New Roman"/>
          <w:caps w:val="false"/>
          <w:smallCaps w:val="false"/>
          <w:sz w:val="20"/>
        </w:rPr>
        <w:noBreakHyphen/>
      </w:r>
      <w:r>
        <w:rPr>
          <w:rFonts w:ascii="Times New Roman" w:hAnsi="Times New Roman"/>
          <w:b/>
          <w:i/>
          <w:caps w:val="false"/>
          <w:smallCaps w:val="false"/>
          <w:sz w:val="20"/>
        </w:rPr>
        <w:t>term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and severity of catastrophe or other insured events, fluctuating interest rates, claims exceeding our loss reserves, competition in our industry, deviations from expected premium retention rates of our existing policies, volatility in investment performance and gains and losses on our equity securities, and the cost of reinsurance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 w:hAnsi="Times New Roman"/>
          <w:caps w:val="false"/>
          <w:smallCaps w:val="false"/>
          <w:sz w:val="20"/>
        </w:rPr>
      </w:pPr>
      <w:r>
        <w:rPr>
          <w:rFonts w:ascii="Times New Roman" w:hAnsi="Times New Roman"/>
          <w:caps w:val="false"/>
          <w:smallCaps w:val="false"/>
          <w:sz w:val="20"/>
        </w:rPr>
        <w:t>In addition, the insurance and reinsurance business historically has been a cyclical industry characterized by periods of intense price competition due to excessive underwriting capacity (soft market cycle) as well as periods when shortages of capacity increase premium levels (hard market cycle). We expect our business and results of operations to be continuously impacted by these market cycles.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seek to underwrite products and make investments to achieve favorable returns on tangible stockholders’ equity over the long term. Our opportunistic nature and focus on long</w:t>
        <w:noBreakHyphen/>
        <w:t>term growth in tangible equity may result in fluctuations in gross written premiums, reinsurance expenses, loss expenses, and other underwriting expenses from period to period as we concentrate on underwriting contracts that we believe will generate better long</w:t>
        <w:noBreakHyphen/>
        <w:t>term, rather than short</w:t>
        <w:noBreakHyphen/>
        <w:t>term, results. Accordingly, our short</w:t>
        <w:noBreakHyphen/>
        <w:t>term results of operations may not be indicative of our long</w:t>
        <w:noBreakHyphen/>
        <w:t>term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Credit Agreement contains restrictions and covenants that limit our flexibility in operating our business and any debt borrowed under our Credit Agreement exposes us to additional risk and may adversely affect our financial condition and future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December 2021, we entered into a Credit Agreement (the “Credit Agreement”) with certain lenders which provides a revolving credit facility of up to $100.0 million. Borrowings under the Credit Agreement may impact our business and financial condition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Requiring the dedication of a portion of our expected cash flows from operations to service our debt, thereby reducing the amount of expected cash flows available for other purposes, including investing, and paying claims and operating expenses and;</w:t>
            </w:r>
          </w:p>
        </w:tc>
      </w:tr>
    </w:tbl>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60"/>
        <w:gridCol w:w="110"/>
        <w:gridCol w:w="75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5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Exposing us to interest rate risk since the interest rate in the credit agreement is a variable 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the Credit Agreement contains financial covenants, restrictions on indebtedness, liens, investments, mergers, dispositions, prepayment of other indebtedness and dividends and other distributions. The financial covenants in the Credit agreement require the Company not to exceed a maximum leverage ratio and maintain a minimum net worth at the end of each quarter. The Company’s insurance subsidiaries are also required to maintain a minimum Risk Based Capital Ratio at the end of each year and must always maintain a minimum AM Best Financial Strength rating. All of these covenants and restrictions impact how we operate our business and may limit our flexibility in planning for, or reacting to, changes in our business and industry. Our ability to comply with these covenants may be affected by events beyond our control. If we breach any of the covenants and do not obtain a waiver from the noteholders or lenders, then, subject to applicable cure periods, any outstanding debt may be declared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Risks Related to the Economic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Factors, such as general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could be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or cease payment on existing insurance policies, modify their coverage, or not renew the policies they hold with us. Existing policyholders may exaggerate or even falsify claims to obtain higher claims payments. These outcomes would reduce our underwriting profit to the extent these factors are not reflected in the rates we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underwrite a significant portion of our insurance in California and Texas. An economic downturn which particularly impacts either state could have an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Performance of our investment portfolio is subject to a variety of investment risks that may adversely affect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results of operations depend, in part, on the performance of our investment portfolio. We seek to hold a diversified portfolio of investments that is managed by a professional investment advisory management firm in accordance with our investment policy and routinely reviewed by our Board of Directors. Our investments are subject to general economic conditions and market risks as well as risks inherent to particular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primary market risk exposures relate to changes in interest rates and credit quality considerations. Future increases in interest rates could cause the values of our fixed maturity securities portfolios to decline, with the magnitude of the decline depending on the duration of securities included in our portfolio and the amount by which interest rates increase. Interest rate fluctuations can also impact the business and results of operations of the companies that issue fixed maturity securities and may cause a decline in fair value of their securities. Some fixed maturity securities have call or prepayment options, which create reinvestment risk in declining rate environments. Other fixed maturity securities, such as mortgage</w:t>
        <w:noBreakHyphen/>
        <w:t>backed and asset</w:t>
        <w:noBreakHyphen/>
        <w:t>backed securities, carry prepayment risk or, in a rising interest rate environment, may not prepay as quickly as expected.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Such deteriorations may be caused or magnified by interest rate fluctuations. Downgrades in the credit ratings of fixed maturities also have a significant negative effect on the market valuation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also invest in marketable equity securities. These securities are carried on the balance sheet at fair market value and are subject to potential losses and declines in market value based on the performance of equity markets. Our equity invested assets totaled $39.8 million as of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National Association of Insurance Commissioners (“NAIC”), the Oregon Division of Financial Regulation and the California and Arizona Departments of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investment portfolio could also be adversely impacted by ratings downgrades, increased bankruptcies and credit spread widenings caused by economic downturns or other events. Severe economic downturns could cause impairments in our fixed income portfolio. In addition, declines in fixed income yields would result in decreases in net investment income from future investment activity, including re-investments.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in certain circumstances, invest immaterial amounts in private companies we believe provide strategic opportunities. These types of investments are typically illiquid, and we have limited ability to take actions that protect or increase the value of this type of investment. Net losses from this investment or impairment of this investment may negatively impact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could be forced to sell investments to meet our liquidity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invest the premiums we receive from our insureds until they are needed to pay policyholder claims. Consequently, we seek to manage the duration of our investment portfolio based on the duration of our losses and loss adjustment expense reserves to provide sufficient liquidity and avoid having to liquidate investments to fund claims. Risks such as inadequate losses and loss adjustment reserves, a significant catastrophe event, or unfavorable trends in litigation could potentially result in the need to sell 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Risks Related to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failure of our information technology and telecommunications systems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business is highly dependent upon our information technology and telecommunications systems, including our underwriting system. We rely on these systems to interact with brokers and insureds, to underwrite business, to prepare policies and process premiums, to perform actuarial and other modeling functions, to process claims and make claims payments, and to prepare internal and external financial statements and information. Some of these systems may include or rely on third</w:t>
        <w:noBreakHyphen/>
        <w:t>party systems not located on our premises or under our control. Events such as natural catastrophes, pandemics, cyber-attacks, terrorist attacks, industrial accidents or computer viruses may cause our systems to fail or be inaccessible for extended periods of time. While we have implemented business contingency plans and other reasonable plans to protect our systems, sustained or repeated system failures or service denials could severely limit our ability to write and process new and renewal business, provide customer service, pay claims in a timely manner or otherwise operate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significant portion of our employees work remotely and outside of our primary offices on a regular basis. We believe remote work increases the need for our information technology and telecommunications systems to work properly and creates additional operational risk and difficulty should these systems fail.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Security breaches or cyber-attacks could expose us to liability and damage our reputation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operations depend on the reliable and secure processing, storage, and transmission of confidential and other data and information in our computer systems and networks. Computer viruses, hackers, employee misconduct, and other external hazards could expose our systems to security breaches, cyber</w:t>
        <w:noBreakHyphen/>
        <w:t>attacks or other disruptions.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Cyberthreats are constantly evolving and becoming increasingly sophisticated and complex, making it increasingly difficult to detect and successfully defend against them.  In addition, cyber-attackers (which may include individuals or groups, as well as sophisticated groups such as nation-state and state-sponsored attackers, which can deploy significant resources to plan and carry out exploits) also develop and deploy viruses, worms, credential stuffing attack tools and other malicious software programs, some of which may be specifically designed to attack our products, information systems or networks. Outside parties have in the past and may in the future attempt to fraudulently induce our employees or users of our products or services to disclose sensitive, personal or confidential information via illegal electronic spamming, phishing or other tactics.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While we have implemented security measures and employee training designed to protect against breaches of security and other interference with our systems and networks, our systems and networks may be, and at times are, subject to breaches or interference. Any such event may result in operational disruptions as well as unauthorized access to or the disclosure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reputational harm or other damage to our business. While we maintain insurance coverage that may, subject to policy terms and conditions, cover certain aspects of cyber risks, such insurance coverage may be insufficient to cover all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the trend toward general public notification of such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w:t>
        <w:noBreakHyphen/>
        <w:t>ins or inappropriate access, or other developments will not compromise or breach the technology or other security measures protecting the networks and systems used in connection with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employ third</w:t>
      </w:r>
      <w:r>
        <w:rPr>
          <w:rFonts w:ascii="Times New Roman" w:hAnsi="Times New Roman"/>
          <w:caps w:val="false"/>
          <w:smallCaps w:val="false"/>
          <w:sz w:val="20"/>
        </w:rPr>
        <w:noBreakHyphen/>
      </w:r>
      <w:r>
        <w:rPr>
          <w:rFonts w:ascii="Times New Roman" w:hAnsi="Times New Roman"/>
          <w:b/>
          <w:i/>
          <w:caps w:val="false"/>
          <w:smallCaps w:val="false"/>
          <w:sz w:val="20"/>
        </w:rPr>
        <w:t>party licensed software for use in our business, and the inability to maintain these licenses, problems with the software we license, or increases to the cost of software licenses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Multiple areas of our business rely on certain third</w:t>
        <w:noBreakHyphen/>
        <w:t>party software obtained under licenses from other companies. We anticipate that we will continue to rely on such third</w:t>
        <w:noBreakHyphen/>
        <w:t>party software in the future. Unforeseen issues may arise in third-party software platforms which may have an adverse impact on our operations. Integration of new third</w:t>
        <w:noBreakHyphen/>
        <w:t>party software or modifications to our existing third-party software may require substantial investment of our time and resources. The inability to integrate or operate third-party software successfully or the inadequacy of third-party software may have a material adverse impact on our operations. In addition, the cost of third-party software is significant and we expect it to increase in the future. If we have issues with the functionality or expense of third-party software, we may not be able to find acceptable alternatives in a timely manner or at all. Many of the risks associated with the use of third</w:t>
        <w:noBreakHyphen/>
        <w:t>party software cannot be eliminated, and these risks could negatively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w:t>
        <w:noBreakHyphen/>
        <w:t>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Any cloud provider service failure or control weakness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employ cloud-based services to host our applications and intend to expand our use. As we expand our use of cloud-based services, we will increasingly rely on third-party cloud providers to maintain appropriate controls and safeguards to protect confidential information we receive, including personal, personally identifiable, sensitive, confidential or proprietary data, and the integrity and continuous operation of our proprietary technology platform. While we conduct due diligence on these cloud providers with respect to their security and business controls, we may not have the visibility to effectively monitor the implementation and efficacy of these controls. Outside parties may be able to circumvent controls or exploit vulnerabilities, resulting in operational disruption, data loss, defects or a security event. Migrating to the cloud increases the risk of operational disruption should internet service be interrupted. While we have implemented business contingency and other plans to facilitate continuous internet access, sustained or concurrent service denials or similar failures could limit our ability to write and process new and renewal business, provide customer service, pay claims in a timely manner or otherwise operate our business. Any such event or failure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Risks Related to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PSIC is subject to extensive regulation in Oregon, its state of domicile, California, where it is commercially domiciled, and to a lesser degree, the other states in which it operates. PESIC is subject to extensive regulation in Arizona, its state of domicile, and to a lesser degree, the other states in which it writes business. Our Bermuda based reinsurance subsidiary, Palomar Specialty Reinsurance Company Bermuda Ltd. (“PSRE”), is subject to regulation in Bermuda.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w:t>
        <w:noBreakHyphen/>
        <w:t>financial aspects of our business. Significant changes in these laws and regulations could further limit our discretion or make it more expensive to conduct our business. State insurance regulators and the Bermuda Monetary Authority (the “BMA”),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our business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U.S. insurance subsidiaries are part of an “insurance holding company system” within the meaning of applicable California, Oregon and Arizona statutes and regulations. As a result of such status, certain transactions between our U.S. insurance subsidiaries and one or more of their affiliates, such as a tax sharing agreement or cost sharing arrangement, may not be effected unless the insurer has provided notice of that transaction to the California Department of Insurance, the Oregon Division of Financial Regulation, or the Arizona Department of Insurance, as applicable, at least 30 days prior to engaging in the transaction and the California Department of Insurance, the Oregon Division of Financial Regulation, or the Arizona Department of Insurance, as applicable, has not disapproved such transaction within the 30</w:t>
        <w:noBreakHyphen/>
        <w:t>day time period. These prior notification requirements may result in business delays and additional business expenses. If any of our U.S. insurance subsidiaries fail to file a required notification or fail to comply with other applicable insurance regulations in California, Oregon or Arizona, as applicable, we may be subject to significant fines and penalties and our working relationship with the California Department of Insurance, the Oregon Division of Financial Regulation, or the Arizona Department of Insurance, as applicable, may be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state insurance regulators have broad discretion to deny, suspend,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U.S. insurance subsidiaries are subject to risk</w:t>
        <w:noBreakHyphen/>
        <w:t>based capital requirements, based upon the “risk based capital model” adopted by the NAIC, and other minimum capital and surplus restrictions imposed under Arizona, Oregon and California law. These requirements establish the minimum amount of risk</w:t>
        <w:noBreakHyphen/>
        <w:t>based capital necessary for a company to support its overall business operations. It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by any of our U.S. subsidiaries to maintain risk</w:t>
        <w:noBreakHyphen/>
        <w:t>based capital at the required levels could adversely affect their ability to maintain regulatory authority to conduct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PSRE is subject to regulation from the European Union. The European Union adopted the Economic Substance Act 2018 and the Economic Substance Regulations 2018 (together, the “ES Requirements”). As an insurance company, our Bermuda subsidiary conducts a relevant activity and is subject to the ES Requirements. As a result, our Bermuda subsidiary may be required to change or increase our business operations in Bermuda to meet these requirements.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Laulima is subject to regulation from the Hawaii Department of Commerce and Consumer Affairs, Hawaii Insurance Division which requires that Laulima comply with Hawaii Statutes and Insurance Code. If Laulima is unable to comply with the applicable insurance regulations in Hawaii, it may be subject to significant fines and penalties and its working relationship with the Hawaii Department of Commerce and Consumer Affairs, Hawaii Insurance Division may be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Unexpected changes in the interpretation of our coverage or provisions, including loss limitations and exclusions, in our policies could have a material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can be no assurances that specifically negotiated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or an executive action could nullify or void a limitation or exclusion, such as limitations on business interruption claims caused by pandemics or other crises, or legislation could be enacted modifying or barring the use of such limitations or exclusions. These types of governmental actions could result in higher than anticipated losses and loss adjustment expenses,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become subject to additional government or market regulation, including additional regulation around cyber-attacks, which may have a material adverse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business could be adversely affected by changes in state laws, including those relating to asset and reserve valuation requirements, surplus requirements, limitations on investments and dividends, enterprise risk and risk</w:t>
        <w:noBreakHyphen/>
        <w:t>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federal government has undertaken initiatives or considered legislation in several areas that may affect the insurance industry, including tort reform, corporate governance and the taxation of reinsurance companies. In addition, the Bermuda reinsurance regulatory framework has become subject to increased scrutiny in many jurisdictions. As a result, the BMA has implemented and imposed additional requirements on the companies it regulates, which requirements could adversely impact the operations of PSRE.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government mandates and/or legislative changes related to COVID-19 or other events, including mandated premium refunds or credits and extended premium grace periods, could have a material adverse effect on our results of operations and financial condition. Premium grace periods could significantly increase our expenses while decreasing our short-term revenues which would adversely impact our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in response to the growing threat of cyber-attacks in the insurance industry, new cybersecurity regulations have been adopted, which, among other things, require insurance companies to establish and maintain a cybersecurity program and implement and maintain cybersecurity policies and procedures.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We are required to file compliance certifications pertaining to this legislation.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will also be required by the SEC to make recurring cyber security disclosures in our annual reports and publicly disclose any material cybersecurity incidents beginning in December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routinely transmit and receive personal, confidential and proprietary data and information by electronic means and are subject to numerous data privacy laws and regulations enacted in the jurisdictions in which we do business, including recent laws in California whose impact on our business are difficult to predict.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While we have implemented cybersecurity policies and procedures, there is no guarantee our policies and procedures will protect our systems against all attacks or comply with all provisions of these evolving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tax laws as a result of the enactment of tax legislation could impact our operations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future tax legislation or changes to tax laws such as changing the corporate or personal tax rate or changes to allowed tax deductions could have a negative impact on our results of operations and profitability by causing us to incur additional tax expense or by having a financial impact on our policyholders.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states increase the assessments that we are required to pay, our business, financial condition and results of operations would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Certain jurisdictions in which PSIC is admitted to transact business require property and casualty insurers doing business within that jurisdiction to participate in insurance guaranty associations. These organizations pay contractual benefits owed pursuant to insurance policies issued by impaired, insolvent or failed insurers. They levy assessments, up to prescribed limits, on all member insurers in a particular state based on the proportionate share of the premiums written by member insurers in the lines of business in which the impaired, insolvent or failed insurer is engaged. States may also assess admitted companies to fund their respective department of insurance operations. Some states permit member insurers to recover assessments paid through full or partial premium tax offset or in limited circumstances by surcharging policyholders.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PSIC is licensed to conduct insurance operations on an admitted basis in 40 states. As PSIC grows, its share of any assessments in each state in which it underwrites business on an admitted basis may increase. PSIC paid assessments of and $0.6 million in 2022 and $0.2 million for the nine months ended September 30, 2023. We cannot predict with certainty the amount of future assessments, because they depend on factors outside our control, such as insolvencies of other insurance companies as well as the occurrence of significant catastrophes. Assessments may be covered by our catastrophe XOL treaties and, to the extent we have experienced a net loss from an event in excess of our net retention, assessments would be recovered from our reinsurers with no additional expense to us. Although reinsurance makes the reinsurer liable to us to the extent the risk is transferred or ceded to the reinsurer, it does not relieve us (the ceding insurer) of our primary liability to our policyholders. Significant assessments could result in higher operating expenses and have a material adverse effect on our business, financial condition, or results of operations. In addition, while some states permit member insurers to recover assessments paid through full or partial premium tax offset or, in limited circumstances, by surcharging policyholders, there is no certainty that offsets or surcharges will be permitted in connection with any future assessments.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Because we are a holding company and substantially all our operations are conducted by our insurance subsidiaries, our ability to pay dividends depends on our ability to obtain cash dividends or other permitted payments from our insurance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continued operation and growth of our business will require substantial capital. We do not intend to declare and pay cash dividends on shares of our common stock in the foreseeable future. Because we are a holding company with no business operations of our own, our ability to pay dividends to stockholders largely depends on dividends and other distributions from our insurance subsidiaries, PSIC, PESIC and PSRE. State insurance laws, including the laws of Oregon, California, Arizona, and the laws of Bermuda restrict the ability of our subsidiaries to declare stockholder dividends. State insurance regulators require insurance companies to maintain specified levels of statutory capital and surplus. The maximum dividend distribution absent the approval or non</w:t>
        <w:noBreakHyphen/>
        <w:t>disapproval of the insurance regulatory authority in Oregon, California and Arizona is limited by Oregon law at ORS 732.576, California law at Cal. Ins. Code 1215.5(g) and Arizona Revised Statute 20-481. Under Oregon statute, dividend payments from PSIC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that have jurisdiction over the payment of dividends by PSIC and PESIC may in the future adopt statutory provisions more restrictive than those currently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PSRE is highly regulated and is required to comply with various conditions before it is able to pay dividends or make distributions to us. Bermuda law, including the Insurance Act 1978, as amended (“Insurance Act”) and the Companies Act 1981, as amended (“Companies Act”) impose restrictions on PSRE’s ability to pay dividends to us based on solvency margins and surplus and capital requirements. These restrictions, and any other future restrictions adopted by the BMA, could have the effect, under certain circumstances, of significantly reducing dividends or other amounts payable to us by PSRE without affirmative approval of the BMA.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effects of litigation on our business are uncertain and could have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material litigation with our customers, other members of the insurance industry are the target of class action lawsuits and other types of litigation, some of which involve claims for substantial or indeterminate amounts, and the outcomes of which are unpredictable. This litigation is based on a variety of issues, including insurance and claim settlement practices. We cannot predict with any certainty whether we will be involved in such litigation in the future or what impact such litigation would have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rely on the use of credit scoring in pricing and underwriting certain of our insurance policies and any legal or regulatory requirements that restrict our ability to access credit score information could decrease the accuracy of our pricing and underwriting process and thus decrease our ability to be profitable.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use credit scoring as a factor in pricing and underwriting decisions where allowed by state law. Consumer groups and regulators have questioned whether the use of credit scoring unfairly discriminates against some groups of people and are calling for laws and regulations to prohibit or restrict the use of credit scoring in underwriting and pricing. Laws or regulations that significantly curtail or regulate the use of credit scoring, if enacted in states in which we operate, could impact the integrity of our pricing and underwriting processes, which could, in turn, materially and adversely affect our business, financial condition, results of operations and prospects, and make it harder for us to be profitable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Any failure to protect our intellectual property rights could impair our ability to protect our intellectual property, proprietary technology platform and brand, or we may be sued by third parties for alleged infringement of their proprietary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success and ability to compete depend in part on our intellectual property, which includes our rights in our proprietary technology platform and our brand. We primarily rely on copyright, trade secret and trademark laws, and confidentiality agreements with our employees, customers, service providers, partners and others to protect our intellectual property rights. However, the steps we take to protect our intellectual property may be inadequate. Litigation brought to protect and enforce our intellectual property rights could be costly, time</w:t>
        <w:noBreakHyphen/>
        <w:t>consuming and distracting to management and could result in the impairment or loss of portions of our intellectual property. Additionally,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success also depends in part on us not infringing on the intellectual property rights of others. Our competitors, as well as a number of other entities and individuals, may own or claim to own intellectual property relating to our industry.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 from offering our services, or require that we comply with other unfavorable terms. Even if we were to prevail in such a dispute, any litigation could be costly and time</w:t>
        <w:noBreakHyphen/>
        <w:t>consuming and divert the attention of our management and key personnel from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accounting practices and future pronouncements may materially affect our reported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Developments in accounting practices may require us to incur considerable additional expenses to comply, particularly if we are required to prepare information relating to prior periods for comparative purposes or to apply the new requirements retroactively. Our consolidated financial statements are prepared in accordance with Generally Accepted Accounting Principles (“GAAP”). The impact of changes in GAAP cannot be predicted but may affect the calculation of net income, stockholders’ equity, and other relevant financial statement line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compliance with GAAP on a consolidated basis, PSIC, PESIC, and PSRE are required to comply with statutory accounting principles (“SAP”). SAP and various components of SAP are subject to constant review by the NAIC and its task forces and committees, as well as state insurance departments to address emerging issues and otherwise improve financial reporting. Various proposals are pending before committees and task forces of the NAIC, some of which, if enacted,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incur significant costs as a public company, and our management is required to devote substantial time to complying with public company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public company, we incur certain legal, accounting, and other expenses that we would not incur as a private company. We are subject to the reporting requirements of the Exchange Act, which require, among other things, that we file with the SEC annual, quarterly, and current reports with respect to our business and financial condition and therefore we need to have the ability to prepare financial statements that comply with all SEC reporting requirements on a timely basis. In addition, we are subject to other reporting and corporate governance requirements, including certain requirements of and certain provisions of the Sarbanes</w:t>
        <w:noBreakHyphen/>
        <w:t>Oxley Act and the regulations promulgated thereunder, which impose significant compliance obligations upon us.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w:t>
        <w:noBreakHyphen/>
        <w:t>Oxley Act. Our compliance with Section 404 requires that we incur substantial accounting expense and expend significant management efforts. We must maintain accounting and finance staff and consultants with appropriate public company reporting, technical accounting, and internal control knowledge to satisfy the ongoing requirements of Section 404 and provide internal audit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Sarbanes</w:t>
        <w:noBreakHyphen/>
        <w:t>Oxley Act and the Dodd</w:t>
        <w:noBreakHyphen/>
        <w:t>Frank Act, as well as new rules subsequently implemented by the SEC and Nasdaq, have increased regulation of, and imposed enhanced disclosure and corporate governance requirements on, public companies. Our efforts to comply with these evolving laws, regulations and standards increases our operating costs and divert management’s time and attention from revenue</w:t>
        <w:noBreakHyphen/>
        <w:t>generating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requirements also place significant additional demands on our finance and accounting staff and on our financial accounting and information systems. We must retain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and listing fees, as well as other expenses. As a public company, we are required, among other things,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prepare and file periodic reports and distribute other stockholder communications, in compliance with the federal securities laws and requirements of Nasdaq;</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60"/>
        <w:gridCol w:w="110"/>
        <w:gridCol w:w="71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1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define and expand the roles and the duties of our Board of Directors and its committees;</w:t>
            </w:r>
          </w:p>
        </w:tc>
      </w:tr>
    </w:tbl>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60"/>
        <w:gridCol w:w="110"/>
        <w:gridCol w:w="5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institute comprehensive compliance and investor relations functions;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 and maintain our system of internal control over financial reporting, and report on management’s assessment thereof, in compliance with rules and regulations of the SEC and the Public Company Accounting Oversight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not be successful in complying with these requirements, and compliance with them could materially adversely affect our business. These requirements increase our costs and may cause us to reduce costs in other areas of our business or increase the prices of our products or services. For example, these rules and regulations to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if we fail to implement and maintain the required controls with respect to our internal accounting and audit functions, our ability to report our results of operations on a timely and accurate basis could be impaired. If we do not implement the required controls in a timely manner or with adequate compliance, we may be subject to sanctions or investigation by regulatory authorities, such as the SEC or Nasdaq. Any such action could harm our reputation and the confidence of our investors and customers and could negatively affect our business and cause the price of our shares of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are required by Section</w:t>
      </w:r>
      <w:r>
        <w:rPr>
          <w:rFonts w:ascii="Times New Roman" w:hAnsi="Times New Roman"/>
          <w:caps w:val="false"/>
          <w:smallCaps w:val="false"/>
          <w:sz w:val="20"/>
        </w:rPr>
        <w:t> </w:t>
      </w:r>
      <w:r>
        <w:rPr>
          <w:rFonts w:ascii="Times New Roman" w:hAnsi="Times New Roman"/>
          <w:b/>
          <w:i/>
          <w:caps w:val="false"/>
          <w:smallCaps w:val="false"/>
          <w:sz w:val="20"/>
        </w:rPr>
        <w:t>404 of the Sarbanes</w:t>
      </w:r>
      <w:r>
        <w:rPr>
          <w:rFonts w:ascii="Times New Roman" w:hAnsi="Times New Roman"/>
          <w:caps w:val="false"/>
          <w:smallCaps w:val="false"/>
          <w:sz w:val="20"/>
        </w:rPr>
        <w:noBreakHyphen/>
      </w:r>
      <w:r>
        <w:rPr>
          <w:rFonts w:ascii="Times New Roman" w:hAnsi="Times New Roman"/>
          <w:b/>
          <w:i/>
          <w:caps w:val="false"/>
          <w:smallCaps w:val="false"/>
          <w:sz w:val="20"/>
        </w:rPr>
        <w:t>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public company with SEC reporting obligations, we are required to document and test our internal control procedures to satisfy the requirements of Section 404(b) of the Sarbanes</w:t>
        <w:noBreakHyphen/>
        <w:t>Oxley Act, which requires annual assessments by management of the effectiveness of our internal control over financial reporting. We must implement and maintain substantial internal control systems and procedures to satisfy the reporting requirements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Sarbanes</w:t>
        <w:noBreakHyphen/>
        <w:t>Oxley.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stock listing on Nasdaq to be suspended or terminated, which could have a negative effect on the trading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Applicable insurance laws may make it difficult to effect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applicable Oregon, California and Arizona insurance laws and regulations, no person may acquire control of a domestic insurer until written approval is obtained from the state insurance commissioner following a public hearing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w:t>
        <w:noBreakHyphen/>
        <w:t>competitive results that may arise from the consummation of the acquisition of control. Oregon, California and Arizona insurance laws and regulations pertaining to changes of control apply to both the direct and indirect acquisition of ten percent or more of the voting stock of an insurer domiciled in that state. Accordingly, the acquisition of ten percent or more of our common stock would be considered an indirect change of control of Palomar Holdings, Inc. and would trigger the applicable change of control filing requirements under Oregon, California and Arizona insurance laws and regulations, absent a disclaimer of control filing and its acceptance by the Oregon, California and Arizona Insurance Departments. These requirements may discourage potential acquisition proposals and may delay, deter or prevent a change of control of Palomar Holdings, Inc., including through transactions that some or all of the stockholders of Palomar Holdings, Inc. might consider to be desirable.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Risks Related to Ownership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Future transactions where we raise capital may negatively affect our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currently a “Well-Known Seasoned Issuer” and may file automatic shelf registration statements at any time with the SEC. Sales of substantial amounts of shares of our common stock or other securities under our current or future shelf registration statements could lower the market price of our common stock and impair our ability to raise capital through the sale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operating results and stock price may be volatile, or may decline regardless of our operating performance, and holders of our common stock could lose all or part of their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quarterly operating results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Although we believe we have adequate sources of liquidity over the short- and long-term, the success of our operations, the global economic outlook, and the pace of sustainable growth in our markets, among other factors, could impact our business and liquidity. You should consider an investment in our common stock to be risky, and you should invest in our common stock only if you can withstand a significant loss and wide fluctuation in the market value of your investment. The market price of our common stock is likely to continue to be subject to significant fluctuations in response to the factors described in this “Risk Factors” section and other factors, many of which are beyond our control. Among the factors that could affect our stock price are:</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60"/>
        <w:gridCol w:w="110"/>
        <w:gridCol w:w="38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3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 conditions in the broader stock market;</w:t>
            </w:r>
          </w:p>
        </w:tc>
      </w:tr>
    </w:tbl>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60"/>
        <w:gridCol w:w="110"/>
        <w:gridCol w:w="65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5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actual or anticipated fluctuations in our quarterly financial and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110"/>
        <w:gridCol w:w="53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introduction of new products or services by us or our competitors;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6340" w:type="dxa"/>
        <w:jc w:val="left"/>
        <w:tblInd w:w="0" w:type="dxa"/>
        <w:tblLayout w:type="fixed"/>
        <w:tblCellMar>
          <w:top w:w="0" w:type="dxa"/>
          <w:left w:w="0" w:type="dxa"/>
          <w:bottom w:w="0" w:type="dxa"/>
          <w:right w:w="0" w:type="dxa"/>
        </w:tblCellMar>
      </w:tblPr>
      <w:tblGrid>
        <w:gridCol w:w="60"/>
        <w:gridCol w:w="110"/>
        <w:gridCol w:w="61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new or changed securities analysts’ reports or recommendations;</w:t>
            </w:r>
          </w:p>
        </w:tc>
      </w:tr>
    </w:tbl>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60"/>
        <w:gridCol w:w="110"/>
        <w:gridCol w:w="68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8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results of operations that vary from expectations of securities analysis and investors;</w:t>
            </w:r>
          </w:p>
        </w:tc>
      </w:tr>
    </w:tbl>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60"/>
        <w:gridCol w:w="110"/>
        <w:gridCol w:w="61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sales, hedging and other derivative transactions in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60"/>
        <w:gridCol w:w="110"/>
        <w:gridCol w:w="91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guidance, if any, that we provide to the public, any changes in this guidance or our failure to meet this guidance;</w:t>
            </w:r>
          </w:p>
        </w:tc>
      </w:tr>
    </w:tbl>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60"/>
        <w:gridCol w:w="110"/>
        <w:gridCol w:w="34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3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actions by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60"/>
        <w:gridCol w:w="110"/>
        <w:gridCol w:w="51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announcement by us, our competitors or our acquisition targets;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or anticipated sales, of large blocks of our stock, including by our directors, executive officers and principal stockholders;</w:t>
            </w:r>
          </w:p>
        </w:tc>
      </w:tr>
    </w:tbl>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60"/>
        <w:gridCol w:w="110"/>
        <w:gridCol w:w="75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or departures in our Board or Directors, senior management or other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60"/>
        <w:gridCol w:w="110"/>
        <w:gridCol w:w="35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3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regulatory, legal or political developments;</w:t>
            </w:r>
          </w:p>
        </w:tc>
      </w:tr>
    </w:tbl>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60"/>
        <w:gridCol w:w="110"/>
        <w:gridCol w:w="98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response to press releases or other public announcements by us or third parties, including our filings with the SEC;</w:t>
            </w:r>
          </w:p>
        </w:tc>
      </w:tr>
    </w:tbl>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60"/>
        <w:gridCol w:w="110"/>
        <w:gridCol w:w="35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and governmental investigations;</w:t>
            </w:r>
          </w:p>
        </w:tc>
      </w:tr>
    </w:tbl>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0"/>
        <w:gridCol w:w="110"/>
        <w:gridCol w:w="26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26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changing economic conditions;</w:t>
            </w:r>
          </w:p>
        </w:tc>
      </w:tr>
    </w:tbl>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60"/>
        <w:gridCol w:w="110"/>
        <w:gridCol w:w="27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27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60"/>
        <w:gridCol w:w="110"/>
        <w:gridCol w:w="57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7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indebtedness we may incur or securities we may issue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60"/>
        <w:gridCol w:w="110"/>
        <w:gridCol w:w="44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4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default under agreements governing our indebtedness;</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60"/>
        <w:gridCol w:w="110"/>
        <w:gridCol w:w="91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exposure to capital and credit market risks that adversely affect our investment portfolio or our capital resources;</w:t>
            </w:r>
          </w:p>
        </w:tc>
      </w:tr>
    </w:tbl>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60"/>
        <w:gridCol w:w="110"/>
        <w:gridCol w:w="23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2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our credit ratings;</w:t>
            </w:r>
          </w:p>
        </w:tc>
      </w:tr>
    </w:tbl>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60"/>
        <w:gridCol w:w="110"/>
        <w:gridCol w:w="24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24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corporate tax rates;</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60"/>
        <w:gridCol w:w="110"/>
        <w:gridCol w:w="34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34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or exchange rate fluctuations;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events or factors, including those from natural disasters, war, pandemics, acts of terrorism, cyber-attacks or responses to these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securities markets have from time to time experienced extreme price and volume fluctuations that often have been unrelated or disproportionate to the operating performance of particular companies. As a result of these factors, investors in our common stock may not be able to resell their shares at or above the price at which they purchased their shares. These broad market fluctuations, as well as general market, economic and political conditions, such as recessions, loss of investor confidence or interest rate changes, may negatively affect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Anti</w:t>
      </w:r>
      <w:r>
        <w:rPr>
          <w:rFonts w:ascii="Times New Roman" w:hAnsi="Times New Roman"/>
          <w:caps w:val="false"/>
          <w:smallCaps w:val="false"/>
          <w:sz w:val="20"/>
        </w:rPr>
        <w:noBreakHyphen/>
      </w:r>
      <w:r>
        <w:rPr>
          <w:rFonts w:ascii="Times New Roman" w:hAnsi="Times New Roman"/>
          <w:b/>
          <w:i/>
          <w:caps w:val="false"/>
          <w:smallCaps w:val="false"/>
          <w:sz w:val="20"/>
        </w:rPr>
        <w:t>takeover provisions in our organizational documents could delay a change in management and limit our share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charter documents contain anti</w:t>
        <w:noBreakHyphen/>
        <w:t>takeover provisions that will hinder takeover attempts and could reduce the market value of our common stock or prevent sale at a premium. Our anti</w:t>
        <w:noBreakHyphen/>
        <w:t>takeover provisions:</w:t>
      </w:r>
    </w:p>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60"/>
        <w:gridCol w:w="110"/>
        <w:gridCol w:w="97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7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permit the Board of Directors to establish the number of directors and fill any vacancies and newly created directorships;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provide, through 2027, that our Board of Directors are classified into three classes with staggered, three year terms and that directors may only be removed for cause;</w:t>
            </w:r>
          </w:p>
        </w:tc>
      </w:tr>
    </w:tbl>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60"/>
        <w:gridCol w:w="110"/>
        <w:gridCol w:w="78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require super</w:t>
              <w:noBreakHyphen/>
              <w:t>majority voting to amend provisions in our certificate of incorporation and bylaws;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 blank</w:t>
              <w:noBreakHyphen/>
              <w:t>check preferred stock, the preference, rights and other terms of which may be set by the Board of Directors and could delay or prevent a transaction or a change in control that might involve a premium price for our common stock or otherwise benefit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60"/>
        <w:gridCol w:w="110"/>
        <w:gridCol w:w="65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5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eliminate the ability of our stockholders to call special meetings of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specify that special meetings of our stockholders can be called only by our Board of Directors, the chairman of our Board of Directors, or our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60"/>
        <w:gridCol w:w="110"/>
        <w:gridCol w:w="56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6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prohibit stockholder action by other than unanimous written consent;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provide that vacancies on our Board of Directors may be filled only by a majority of directors then in office, even though less than a quorum;</w:t>
            </w:r>
          </w:p>
        </w:tc>
      </w:tr>
    </w:tbl>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60"/>
        <w:gridCol w:w="110"/>
        <w:gridCol w:w="48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48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prohibit cumulative voting in the election of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establish advance notice requirements for nominations for election to our Board of Directors or for proposing matters that can be acted upon by stockholders at annual stockholder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certificate of incorporation and bylaws provide that the Court of Chancery of the State of Delaware is the exclusive forum for substantially all disputes between us and our stockholders, which could limit our stockholders</w:t>
      </w:r>
      <w:r>
        <w:rPr>
          <w:rFonts w:ascii="Times New Roman" w:hAnsi="Times New Roman"/>
          <w:caps w:val="false"/>
          <w:smallCaps w:val="false"/>
          <w:sz w:val="20"/>
        </w:rPr>
        <w:t xml:space="preserve">’ </w:t>
      </w:r>
      <w:r>
        <w:rPr>
          <w:rFonts w:ascii="Times New Roman" w:hAnsi="Times New Roman"/>
          <w:b/>
          <w:i/>
          <w:caps w:val="false"/>
          <w:smallCaps w:val="false"/>
          <w:sz w:val="20"/>
        </w:rPr>
        <w:t>ability to obtain a favorable judicial forum for disputes with us or our directors, officers or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certificate of incorporation and bylaws provide that the Court of Chancery of the State of Delaware is the exclusive forum for the following civil actions:</w:t>
      </w:r>
    </w:p>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60"/>
        <w:gridCol w:w="110"/>
        <w:gridCol w:w="47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derivative action or proceeding brought on our behalf;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action asserting a claim of breach of a fiduciary duty by any of our directors, officers, employees or agents or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action asserting a claim arising pursuant to any provision of the DGCL or our certificate of incorporation or bylaws or as to which the DGCL confers jurisdiction on the Court of Chancery of the State of Delaware;</w:t>
            </w:r>
          </w:p>
        </w:tc>
      </w:tr>
    </w:tbl>
    <w:p>
      <w:pPr>
        <w:pStyle w:val="TextBody"/>
        <w:bidi w:val="0"/>
        <w:spacing w:before="0" w:after="0"/>
        <w:ind w:left="0" w:right="0" w:hanging="0"/>
        <w:jc w:val="left"/>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60"/>
        <w:gridCol w:w="110"/>
        <w:gridCol w:w="92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action to interpret, apply, enforce or determine the validity of our certificate of incorporation or our bylaws; or</w:t>
            </w:r>
          </w:p>
        </w:tc>
      </w:tr>
    </w:tbl>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60"/>
        <w:gridCol w:w="110"/>
        <w:gridCol w:w="56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6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action asserting a claim governed by the internal affairs doctrine.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However, this provision would not apply to suits brought to enforce a duty or liability created by the Exchange Act. Furthermore, this provision applies to Securities Act claims and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securities or industry analysts do not publish research or publish inaccurate or unfavorable research about our business, our stock price and trading volume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trading market for our common stock depends, in part, on the research and reports that securities or industry analysts publish about us or our business and our industry. If one or more of the analysts who cover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4" w:name="uses"/>
      <w:bookmarkEnd w:id="1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Share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Our purchases of our equity securities in the third quarter of fiscal year 2023 were: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1"/>
        <w:gridCol w:w="115"/>
        <w:gridCol w:w="1015"/>
        <w:gridCol w:w="60"/>
        <w:gridCol w:w="307"/>
        <w:gridCol w:w="1201"/>
        <w:gridCol w:w="60"/>
        <w:gridCol w:w="175"/>
        <w:gridCol w:w="1614"/>
        <w:gridCol w:w="60"/>
        <w:gridCol w:w="125"/>
        <w:gridCol w:w="3663"/>
        <w:gridCol w:w="99"/>
      </w:tblGrid>
      <w:tr>
        <w:trPr/>
        <w:tc>
          <w:tcPr>
            <w:tcW w:w="1711"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 of</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ind w:left="0" w:right="0" w:hanging="0"/>
              <w:jc w:val="left"/>
              <w:rPr/>
            </w:pPr>
            <w:r>
              <w:rPr/>
              <w:t> </w:t>
            </w:r>
          </w:p>
        </w:tc>
        <w:tc>
          <w:tcPr>
            <w:tcW w:w="1201" w:type="dxa"/>
            <w:tcBorders/>
            <w:shd w:fill="FFFFFF" w:val="clear"/>
            <w:vAlign w:val="center"/>
          </w:tcPr>
          <w:p>
            <w:pPr>
              <w:pStyle w:val="TableContents"/>
              <w:bidi w:val="0"/>
              <w:spacing w:before="0" w:after="283"/>
              <w:ind w:left="0" w:right="0" w:hanging="0"/>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 of Shares Purchased as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663" w:type="dxa"/>
            <w:tcBorders/>
            <w:shd w:fill="FFFFFF" w:val="cle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Approximate Dollar Value of Shares that May Yet Be Purchased Under the Plans or Programs</w:t>
            </w:r>
          </w:p>
        </w:tc>
        <w:tc>
          <w:tcPr>
            <w:tcW w:w="99" w:type="dxa"/>
            <w:tcBorders/>
            <w:shd w:fill="FFFFFF" w:val="clear"/>
            <w:vAlign w:val="center"/>
          </w:tcPr>
          <w:p>
            <w:pPr>
              <w:pStyle w:val="TableContents"/>
              <w:bidi w:val="0"/>
              <w:spacing w:before="0" w:after="283"/>
              <w:jc w:val="left"/>
              <w:rPr/>
            </w:pPr>
            <w:r>
              <w:rPr/>
              <w:t> </w:t>
            </w:r>
          </w:p>
        </w:tc>
      </w:tr>
      <w:tr>
        <w:trPr/>
        <w:tc>
          <w:tcPr>
            <w:tcW w:w="1711"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Purchased</w:t>
            </w:r>
          </w:p>
        </w:tc>
        <w:tc>
          <w:tcPr>
            <w:tcW w:w="60" w:type="dxa"/>
            <w:tcBorders/>
            <w:shd w:fill="FFFFFF" w:val="clear"/>
            <w:vAlign w:val="center"/>
          </w:tcPr>
          <w:p>
            <w:pPr>
              <w:pStyle w:val="TableContents"/>
              <w:bidi w:val="0"/>
              <w:spacing w:before="0" w:after="283"/>
              <w:ind w:left="0" w:right="0" w:hanging="0"/>
              <w:jc w:val="center"/>
              <w:rPr/>
            </w:pPr>
            <w:r>
              <w:rPr/>
              <w:t> </w:t>
            </w:r>
          </w:p>
        </w:tc>
        <w:tc>
          <w:tcPr>
            <w:tcW w:w="15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Price Paid Per Share (1)</w:t>
            </w:r>
          </w:p>
        </w:tc>
        <w:tc>
          <w:tcPr>
            <w:tcW w:w="60" w:type="dxa"/>
            <w:tcBorders/>
            <w:shd w:fill="FFFFFF" w:val="clear"/>
            <w:vAlign w:val="center"/>
          </w:tcPr>
          <w:p>
            <w:pPr>
              <w:pStyle w:val="TableContents"/>
              <w:bidi w:val="0"/>
              <w:spacing w:before="0" w:after="283"/>
              <w:ind w:left="0" w:right="0" w:hanging="0"/>
              <w:jc w:val="left"/>
              <w:rPr/>
            </w:pPr>
            <w:r>
              <w:rPr/>
              <w:t> </w:t>
            </w:r>
          </w:p>
        </w:tc>
        <w:tc>
          <w:tcPr>
            <w:tcW w:w="17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Part of Publicly Announced Plans</w:t>
            </w:r>
          </w:p>
        </w:tc>
        <w:tc>
          <w:tcPr>
            <w:tcW w:w="60" w:type="dxa"/>
            <w:tcBorders/>
            <w:shd w:fill="FFFFFF" w:val="clear"/>
            <w:vAlign w:val="center"/>
          </w:tcPr>
          <w:p>
            <w:pPr>
              <w:pStyle w:val="TableContents"/>
              <w:bidi w:val="0"/>
              <w:spacing w:before="0" w:after="283"/>
              <w:ind w:left="0" w:right="0" w:hanging="0"/>
              <w:jc w:val="center"/>
              <w:rPr/>
            </w:pPr>
            <w:r>
              <w:rPr/>
              <w:t> </w:t>
            </w:r>
          </w:p>
        </w:tc>
        <w:tc>
          <w:tcPr>
            <w:tcW w:w="37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11"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614" w:type="dxa"/>
            <w:tcBorders/>
            <w:shd w:fill="FFFFFF" w:val="clear"/>
            <w:vAlign w:val="center"/>
          </w:tcPr>
          <w:p>
            <w:pPr>
              <w:pStyle w:val="TableContents"/>
              <w:bidi w:val="0"/>
              <w:spacing w:before="0" w:after="283"/>
              <w:ind w:left="0" w:right="0" w:hanging="0"/>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378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in thousands)</w:t>
            </w:r>
          </w:p>
        </w:tc>
        <w:tc>
          <w:tcPr>
            <w:tcW w:w="99" w:type="dxa"/>
            <w:tcBorders/>
            <w:shd w:fill="FFFFFF" w:val="clear"/>
            <w:vAlign w:val="center"/>
          </w:tcPr>
          <w:p>
            <w:pPr>
              <w:pStyle w:val="TableContents"/>
              <w:bidi w:val="0"/>
              <w:spacing w:before="0" w:after="283"/>
              <w:jc w:val="left"/>
              <w:rPr/>
            </w:pPr>
            <w:r>
              <w:rPr/>
              <w:t> </w:t>
            </w:r>
          </w:p>
        </w:tc>
      </w:tr>
      <w:tr>
        <w:trPr/>
        <w:tc>
          <w:tcPr>
            <w:tcW w:w="171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1, 2023 to July 31, 2023</w:t>
            </w:r>
          </w:p>
        </w:tc>
        <w:tc>
          <w:tcPr>
            <w:tcW w:w="115" w:type="dxa"/>
            <w:tcBorders/>
            <w:shd w:fill="CCEEFF" w:val="clear"/>
            <w:vAlign w:val="center"/>
          </w:tcPr>
          <w:p>
            <w:pPr>
              <w:pStyle w:val="TableContents"/>
              <w:bidi w:val="0"/>
              <w:spacing w:before="0" w:after="283"/>
              <w:ind w:left="0" w:right="0" w:hanging="0"/>
              <w:jc w:val="left"/>
              <w:rPr/>
            </w:pPr>
            <w:r>
              <w:rPr/>
              <w:t> </w:t>
            </w:r>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77,844</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57.65</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6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77,844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6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45,545</w:t>
            </w:r>
          </w:p>
        </w:tc>
        <w:tc>
          <w:tcPr>
            <w:tcW w:w="99" w:type="dxa"/>
            <w:tcBorders/>
            <w:shd w:fill="CCEEFF" w:val="clear"/>
            <w:vAlign w:val="center"/>
          </w:tcPr>
          <w:p>
            <w:pPr>
              <w:pStyle w:val="TableContents"/>
              <w:bidi w:val="0"/>
              <w:spacing w:before="0" w:after="283"/>
              <w:jc w:val="left"/>
              <w:rPr/>
            </w:pPr>
            <w:r>
              <w:rPr/>
              <w:t> </w:t>
            </w:r>
          </w:p>
        </w:tc>
      </w:tr>
      <w:tr>
        <w:trPr/>
        <w:tc>
          <w:tcPr>
            <w:tcW w:w="171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August 1, 2023 to August 31, 2023</w:t>
            </w:r>
          </w:p>
        </w:tc>
        <w:tc>
          <w:tcPr>
            <w:tcW w:w="115" w:type="dxa"/>
            <w:tcBorders/>
            <w:shd w:fill="FFFFFF" w:val="clear"/>
            <w:vAlign w:val="center"/>
          </w:tcPr>
          <w:p>
            <w:pPr>
              <w:pStyle w:val="TableContents"/>
              <w:bidi w:val="0"/>
              <w:spacing w:before="0" w:after="283"/>
              <w:ind w:left="0" w:right="0" w:hanging="0"/>
              <w:jc w:val="left"/>
              <w:rPr/>
            </w:pPr>
            <w:r>
              <w:rPr/>
              <w:t> </w:t>
            </w:r>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35,000</w:t>
            </w:r>
          </w:p>
        </w:tc>
        <w:tc>
          <w:tcPr>
            <w:tcW w:w="60" w:type="dxa"/>
            <w:tcBorders/>
            <w:shd w:fill="FFFFFF" w:val="clear"/>
            <w:vAlign w:val="center"/>
          </w:tcPr>
          <w:p>
            <w:pPr>
              <w:pStyle w:val="TableContents"/>
              <w:bidi w:val="0"/>
              <w:spacing w:before="0" w:after="283"/>
              <w:ind w:left="0" w:right="0" w:hanging="0"/>
              <w:jc w:val="left"/>
              <w:rPr/>
            </w:pPr>
            <w:r>
              <w:rPr/>
              <w:t> </w:t>
            </w:r>
          </w:p>
        </w:tc>
        <w:tc>
          <w:tcPr>
            <w:tcW w:w="307" w:type="dxa"/>
            <w:tcBorders/>
            <w:shd w:fill="FFFFFF" w:val="clear"/>
            <w:vAlign w:val="center"/>
          </w:tcPr>
          <w:p>
            <w:pPr>
              <w:pStyle w:val="TableContents"/>
              <w:bidi w:val="0"/>
              <w:spacing w:before="0" w:after="283"/>
              <w:ind w:left="0" w:right="0" w:hanging="0"/>
              <w:jc w:val="left"/>
              <w:rPr/>
            </w:pPr>
            <w:r>
              <w:rPr/>
              <w:t> </w:t>
            </w:r>
          </w:p>
        </w:tc>
        <w:tc>
          <w:tcPr>
            <w:tcW w:w="12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53.00</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6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35,000</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6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43,694</w:t>
            </w:r>
          </w:p>
        </w:tc>
        <w:tc>
          <w:tcPr>
            <w:tcW w:w="99" w:type="dxa"/>
            <w:tcBorders/>
            <w:shd w:fill="FFFFFF" w:val="clear"/>
            <w:vAlign w:val="center"/>
          </w:tcPr>
          <w:p>
            <w:pPr>
              <w:pStyle w:val="TableContents"/>
              <w:bidi w:val="0"/>
              <w:spacing w:before="0" w:after="283"/>
              <w:jc w:val="left"/>
              <w:rPr/>
            </w:pPr>
            <w:r>
              <w:rPr/>
              <w:t> </w:t>
            </w:r>
          </w:p>
        </w:tc>
      </w:tr>
      <w:tr>
        <w:trPr/>
        <w:tc>
          <w:tcPr>
            <w:tcW w:w="171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 2023 to September 30, 2023</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4,895</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shd w:fill="CCEEFF" w:val="clear"/>
            <w:vAlign w:val="center"/>
          </w:tcPr>
          <w:p>
            <w:pPr>
              <w:pStyle w:val="TableContents"/>
              <w:bidi w:val="0"/>
              <w:spacing w:before="0" w:after="283"/>
              <w:ind w:left="0" w:right="0" w:hanging="0"/>
              <w:jc w:val="left"/>
              <w:rPr/>
            </w:pPr>
            <w:r>
              <w:rPr/>
              <w:t> </w:t>
            </w:r>
          </w:p>
        </w:tc>
        <w:tc>
          <w:tcPr>
            <w:tcW w:w="12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49.77</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6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43,451</w:t>
            </w:r>
          </w:p>
        </w:tc>
        <w:tc>
          <w:tcPr>
            <w:tcW w:w="99" w:type="dxa"/>
            <w:tcBorders/>
            <w:shd w:fill="CCEEFF" w:val="clear"/>
            <w:vAlign w:val="center"/>
          </w:tcPr>
          <w:p>
            <w:pPr>
              <w:pStyle w:val="TableContents"/>
              <w:bidi w:val="0"/>
              <w:spacing w:before="0" w:after="283"/>
              <w:jc w:val="left"/>
              <w:rPr/>
            </w:pPr>
            <w:r>
              <w:rPr/>
              <w:t> </w:t>
            </w:r>
          </w:p>
        </w:tc>
      </w:tr>
      <w:tr>
        <w:trPr/>
        <w:tc>
          <w:tcPr>
            <w:tcW w:w="171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117,739</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117,739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663"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Average Price Paid Per Share excludes cash paid for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On January 24, 2022, the Company’s Board of Directors approved the adoption of a share repurchase plan that authorizes the repurchase of up to $100 million of outstanding shares of common stock through the period ending on March 31, 2024. The approved plan replaced the Company’s previous $40 million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5" w:name="duss"/>
      <w:bookmarkEnd w:id="15"/>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6" w:name="msd"/>
      <w:bookmarkEnd w:id="16"/>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7" w:name="oi"/>
      <w:bookmarkEnd w:id="17"/>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pPr>
      <w:r>
        <w:rPr>
          <w:rFonts w:ascii="Times New Roman" w:hAnsi="Times New Roman"/>
          <w:i/>
          <w:caps w:val="false"/>
          <w:smallCaps w:val="false"/>
          <w:sz w:val="20"/>
        </w:rPr>
        <w:t xml:space="preserve">Rule </w:t>
      </w:r>
      <w:r>
        <w:rPr>
          <w:rStyle w:val="Emphasis"/>
          <w:rFonts w:ascii="Times New Roman" w:hAnsi="Times New Roman"/>
          <w:i/>
          <w:caps w:val="false"/>
          <w:smallCaps w:val="false"/>
          <w:sz w:val="20"/>
        </w:rPr>
        <w:t>10b5</w:t>
      </w:r>
      <w:r>
        <w:rPr>
          <w:rFonts w:ascii="Times New Roman" w:hAnsi="Times New Roman"/>
          <w:i/>
          <w:caps w:val="false"/>
          <w:smallCaps w:val="false"/>
          <w:sz w:val="20"/>
        </w:rPr>
        <w:t>-</w:t>
      </w:r>
      <w:r>
        <w:rPr>
          <w:rStyle w:val="Emphasis"/>
          <w:rFonts w:ascii="Times New Roman" w:hAnsi="Times New Roman"/>
          <w:i/>
          <w:caps w:val="false"/>
          <w:smallCaps w:val="false"/>
          <w:sz w:val="20"/>
        </w:rPr>
        <w:t>1</w:t>
      </w:r>
      <w:r>
        <w:rPr>
          <w:rFonts w:ascii="Times New Roman" w:hAnsi="Times New Roman"/>
          <w:i/>
          <w:caps w:val="false"/>
          <w:smallCaps w:val="false"/>
          <w:sz w:val="20"/>
        </w:rPr>
        <w:t xml:space="preserve">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pPr>
      <w:r>
        <w:rPr>
          <w:rFonts w:ascii="Times New Roman" w:hAnsi="Times New Roman"/>
          <w:caps w:val="false"/>
          <w:smallCaps w:val="false"/>
          <w:sz w:val="20"/>
        </w:rPr>
        <w:t xml:space="preserve">During the quarter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none of our directors or officers (as defined in Rule </w:t>
      </w:r>
      <w:r>
        <w:rPr>
          <w:rStyle w:val="Emphasis"/>
          <w:rFonts w:ascii="Times New Roman" w:hAnsi="Times New Roman"/>
          <w:caps w:val="false"/>
          <w:smallCaps w:val="false"/>
          <w:sz w:val="20"/>
        </w:rPr>
        <w:t>16a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 of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adopted, terminated or modified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such terms are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 xml:space="preserve">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8" w:name="exs"/>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36"/>
        <w:gridCol w:w="60"/>
        <w:gridCol w:w="9409"/>
      </w:tblGrid>
      <w:tr>
        <w:trPr/>
        <w:tc>
          <w:tcPr>
            <w:tcW w:w="736"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br/>
            </w: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409"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283"/>
              <w:jc w:val="left"/>
              <w:rPr/>
            </w:pPr>
            <w:r>
              <w:rPr/>
              <w:t>10.11</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hyperlink r:id="rId2">
              <w:r>
                <w:rPr>
                  <w:rStyle w:val="InternetLink"/>
                </w:rPr>
                <w:t>Form of Executive Employment Agreement (Named Executive Officers)</w:t>
              </w:r>
            </w:hyperlink>
            <w:hyperlink r:id="rId3">
              <w:r>
                <w:rPr>
                  <w:rStyle w:val="InternetLink"/>
                  <w:u w:val="single"/>
                </w:rPr>
                <w:t xml:space="preserve"> (incorporated by reference to Exhibit 10.11 to the Company’s Quarterly Report on Form 10-Q, filed with the SEC on August 3, 2023).</w:t>
              </w:r>
            </w:hyperlink>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pPr>
            <w:hyperlink w:anchor="ex_561516.htm">
              <w:r>
                <w:rPr>
                  <w:rStyle w:val="InternetLink"/>
                  <w:rFonts w:ascii="Times New Roman" w:hAnsi="Times New Roman"/>
                  <w:caps w:val="false"/>
                  <w:smallCaps w:val="false"/>
                  <w:sz w:val="20"/>
                </w:rPr>
                <w:t>Certification of principal executive officer pursuant to Section 302 of the Sarbanes-Oxley Act of 2002</w:t>
              </w:r>
            </w:hyperlink>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pPr>
            <w:hyperlink w:anchor="ex_561517.htm">
              <w:r>
                <w:rPr>
                  <w:rStyle w:val="InternetLink"/>
                  <w:rFonts w:ascii="Times New Roman" w:hAnsi="Times New Roman"/>
                  <w:caps w:val="false"/>
                  <w:smallCaps w:val="false"/>
                  <w:sz w:val="20"/>
                </w:rPr>
                <w:t>Certification of principal financial officer pursuant to Section 302 of the Sarbanes-Oxley Act of 2002</w:t>
              </w:r>
            </w:hyperlink>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pPr>
            <w:hyperlink w:anchor="ex_561518.htm">
              <w:r>
                <w:rPr>
                  <w:rStyle w:val="InternetLink"/>
                  <w:rFonts w:ascii="Times New Roman" w:hAnsi="Times New Roman"/>
                  <w:caps w:val="false"/>
                  <w:smallCaps w:val="false"/>
                  <w:sz w:val="20"/>
                </w:rPr>
                <w:t>Certifications pursuant to Section 906 of the Sarbanes-Oxley Act of 2002</w:t>
              </w:r>
            </w:hyperlink>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3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40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Date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9" w:name="sigs"/>
      <w:bookmarkEnd w:id="19"/>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495" w:type="dxa"/>
        <w:jc w:val="left"/>
        <w:tblInd w:w="0" w:type="dxa"/>
        <w:tblLayout w:type="fixed"/>
        <w:tblCellMar>
          <w:top w:w="0" w:type="dxa"/>
          <w:left w:w="0" w:type="dxa"/>
          <w:bottom w:w="0" w:type="dxa"/>
          <w:right w:w="0" w:type="dxa"/>
        </w:tblCellMar>
      </w:tblPr>
      <w:tblGrid>
        <w:gridCol w:w="2000"/>
        <w:gridCol w:w="320"/>
        <w:gridCol w:w="4175"/>
      </w:tblGrid>
      <w:tr>
        <w:trPr/>
        <w:tc>
          <w:tcPr>
            <w:tcW w:w="2000"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Palomar</w:t>
            </w:r>
            <w:r>
              <w:rPr>
                <w:rFonts w:ascii="Times New Roman" w:hAnsi="Times New Roman"/>
                <w:caps w:val="false"/>
                <w:smallCaps w:val="false"/>
                <w:sz w:val="20"/>
              </w:rPr>
              <w:t> </w:t>
            </w:r>
            <w:r>
              <w:rPr>
                <w:rFonts w:ascii="Times New Roman" w:hAnsi="Times New Roman"/>
                <w:b/>
                <w:caps w:val="false"/>
                <w:smallCaps w:val="false"/>
                <w:sz w:val="20"/>
              </w:rPr>
              <w:t>Holdings,</w:t>
            </w:r>
            <w:r>
              <w:rPr>
                <w:rFonts w:ascii="Times New Roman" w:hAnsi="Times New Roman"/>
                <w:caps w:val="false"/>
                <w:smallCaps w:val="false"/>
                <w:sz w:val="20"/>
              </w:rPr>
              <w:t> </w:t>
            </w:r>
            <w:r>
              <w:rPr>
                <w:rFonts w:ascii="Times New Roman" w:hAnsi="Times New Roman"/>
                <w:b/>
                <w:caps w:val="false"/>
                <w:smallCaps w:val="false"/>
                <w:sz w:val="20"/>
              </w:rPr>
              <w:t>Inc.</w:t>
            </w:r>
          </w:p>
        </w:tc>
      </w:tr>
      <w:tr>
        <w:trPr/>
        <w:tc>
          <w:tcPr>
            <w:tcW w:w="2000"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2, 2023</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1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Mac Armstrong</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Mac Armstrong</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 and Chief Executive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2000"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2, 2023</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1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 Christopher Uchida</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T. Christopher Uchida</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72 </w:t>
      </w:r>
    </w:p>
    <w:p>
      <w:pPr>
        <w:pStyle w:val="TextBody"/>
        <w:bidi w:val="0"/>
        <w:spacing w:before="0" w:after="0"/>
        <w:ind w:left="0" w:right="0" w:hanging="0"/>
        <w:jc w:val="right"/>
        <w:rPr>
          <w:rFonts w:ascii="Times New Roman" w:hAnsi="Times New Roman"/>
          <w:b/>
          <w:caps w:val="false"/>
          <w:smallCaps w:val="false"/>
          <w:sz w:val="20"/>
        </w:rPr>
      </w:pPr>
      <w:bookmarkStart w:id="20" w:name="ex_561516.htm"/>
      <w:bookmarkStart w:id="21" w:name="ksex_561516"/>
      <w:bookmarkEnd w:id="20"/>
      <w:bookmarkEnd w:id="21"/>
      <w:r>
        <w:rPr>
          <w:rFonts w:ascii="Times New Roman" w:hAnsi="Times New Roman"/>
          <w:b/>
          <w:caps w:val="false"/>
          <w:smallCaps w:val="false"/>
          <w:sz w:val="20"/>
        </w:rPr>
        <w:t>Exhibit 31.1</w:t>
      </w:r>
      <w:r>
        <w:br w:type="page"/>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Mac Armstrong, certify that:</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60"/>
        <w:gridCol w:w="170"/>
        <w:gridCol w:w="5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4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report on Form 10-Q of Palomar Holdings, Inc.;</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 ​</w:t>
      </w:r>
    </w:p>
    <w:tbl>
      <w:tblPr>
        <w:tblW w:w="10205" w:type="dxa"/>
        <w:jc w:val="left"/>
        <w:tblInd w:w="0" w:type="dxa"/>
        <w:tblLayout w:type="fixed"/>
        <w:tblCellMar>
          <w:top w:w="0" w:type="dxa"/>
          <w:left w:w="0" w:type="dxa"/>
          <w:bottom w:w="0" w:type="dxa"/>
          <w:right w:w="0" w:type="dxa"/>
        </w:tblCellMar>
      </w:tblPr>
      <w:tblGrid>
        <w:gridCol w:w="60"/>
        <w:gridCol w:w="147"/>
        <w:gridCol w:w="9998"/>
      </w:tblGrid>
      <w:tr>
        <w:trPr/>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2000"/>
        <w:gridCol w:w="4175"/>
      </w:tblGrid>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2" w:name="led408018F20234241684899305457"/>
            <w:bookmarkEnd w:id="22"/>
            <w:r>
              <w:rPr>
                <w:rFonts w:ascii="Times New Roman" w:hAnsi="Times New Roman"/>
                <w:caps w:val="false"/>
                <w:smallCaps w:val="false"/>
                <w:sz w:val="20"/>
              </w:rPr>
              <w:t>November 2, 2023</w:t>
            </w:r>
          </w:p>
        </w:tc>
        <w:tc>
          <w:tcPr>
            <w:tcW w:w="41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Mac Armstrong</w:t>
            </w:r>
          </w:p>
        </w:tc>
      </w:tr>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Mac Armstrong</w:t>
            </w:r>
          </w:p>
        </w:tc>
      </w:tr>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smallCaps/>
          <w:sz w:val="20"/>
        </w:rPr>
      </w:pPr>
      <w:bookmarkStart w:id="23" w:name="ex_561517.htm"/>
      <w:bookmarkStart w:id="24" w:name="ksex_561517"/>
      <w:bookmarkEnd w:id="23"/>
      <w:bookmarkEnd w:id="24"/>
      <w:r>
        <w:rPr>
          <w:rFonts w:ascii="Times New Roman" w:hAnsi="Times New Roman"/>
          <w:b/>
          <w:smallCaps/>
          <w:sz w:val="20"/>
        </w:rPr>
        <w:t>Exhibit 31.2</w:t>
      </w:r>
      <w:r>
        <w:br w:type="page"/>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Certification of Principal Financial Officer</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T. Christopher Uchida, certify that:</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60"/>
        <w:gridCol w:w="170"/>
        <w:gridCol w:w="5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4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report on Form 10-Q of Palomar Holdings, Inc.;</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 ​</w:t>
      </w:r>
    </w:p>
    <w:tbl>
      <w:tblPr>
        <w:tblW w:w="10205" w:type="dxa"/>
        <w:jc w:val="left"/>
        <w:tblInd w:w="0" w:type="dxa"/>
        <w:tblLayout w:type="fixed"/>
        <w:tblCellMar>
          <w:top w:w="0" w:type="dxa"/>
          <w:left w:w="0" w:type="dxa"/>
          <w:bottom w:w="0" w:type="dxa"/>
          <w:right w:w="0" w:type="dxa"/>
        </w:tblCellMar>
      </w:tblPr>
      <w:tblGrid>
        <w:gridCol w:w="60"/>
        <w:gridCol w:w="147"/>
        <w:gridCol w:w="9998"/>
      </w:tblGrid>
      <w:tr>
        <w:trPr/>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2000"/>
        <w:gridCol w:w="2060"/>
      </w:tblGrid>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5" w:name="led408018F20234241684899413341"/>
            <w:bookmarkEnd w:id="25"/>
            <w:r>
              <w:rPr>
                <w:rFonts w:ascii="Times New Roman" w:hAnsi="Times New Roman"/>
                <w:caps w:val="false"/>
                <w:smallCaps w:val="false"/>
                <w:sz w:val="20"/>
              </w:rPr>
              <w:t>November 2, 2023</w:t>
            </w:r>
          </w:p>
        </w:tc>
        <w:tc>
          <w:tcPr>
            <w:tcW w:w="20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 Christopher Uchida</w:t>
            </w:r>
          </w:p>
        </w:tc>
      </w:tr>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 Christopher Uchida</w:t>
            </w:r>
          </w:p>
        </w:tc>
      </w:tr>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6" w:name="ex_561518.htm"/>
      <w:bookmarkStart w:id="27" w:name="ksex_561518"/>
      <w:bookmarkEnd w:id="26"/>
      <w:bookmarkEnd w:id="27"/>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PURSUANT TO 18 U.S.C. SECTION 1350, AS ADOPTED PURSUANT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on Form 10-Q of Palomar Holdings, Inc. (the “Company”) for the quarter ended </w:t>
      </w:r>
      <w:bookmarkStart w:id="28" w:name="led408018F20234241684899535316"/>
      <w:bookmarkEnd w:id="28"/>
      <w:r>
        <w:rPr>
          <w:rFonts w:ascii="Times New Roman" w:hAnsi="Times New Roman"/>
          <w:caps w:val="false"/>
          <w:smallCaps w:val="false"/>
          <w:sz w:val="20"/>
        </w:rPr>
        <w:t>September 30, 2023, as filed with the Securities and Exchange Commission on the date hereof (the “Report”), we, Mac Armstrong, as Chief Executive Officer of the Company, and T. Christopher Uchida, Chief Financial Officer, hereby certify pursuant to Title 18, Chapter 63, Section 1350 of the United States Code, as adopted by Section 906 of the Sarbanes-Oxley Act of 2002, that to the best of our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as applicable, of the Securities Exchange Act of 1934, as amended;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720" w:type="dxa"/>
        <w:jc w:val="left"/>
        <w:tblInd w:w="0" w:type="dxa"/>
        <w:tblLayout w:type="fixed"/>
        <w:tblCellMar>
          <w:top w:w="0" w:type="dxa"/>
          <w:left w:w="0" w:type="dxa"/>
          <w:bottom w:w="0" w:type="dxa"/>
          <w:right w:w="0" w:type="dxa"/>
        </w:tblCellMar>
      </w:tblPr>
      <w:tblGrid>
        <w:gridCol w:w="2000"/>
        <w:gridCol w:w="545"/>
        <w:gridCol w:w="4175"/>
      </w:tblGrid>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9" w:name="led408018F20234241684899496773"/>
            <w:bookmarkEnd w:id="29"/>
            <w:r>
              <w:rPr>
                <w:rFonts w:ascii="Times New Roman" w:hAnsi="Times New Roman"/>
                <w:caps w:val="false"/>
                <w:smallCaps w:val="false"/>
                <w:sz w:val="20"/>
              </w:rPr>
              <w:t>November 2, 2023</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1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Mac Armstrong</w:t>
            </w:r>
          </w:p>
        </w:tc>
      </w:tr>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Mac Armstrong</w:t>
            </w:r>
          </w:p>
        </w:tc>
      </w:tr>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 and Chief Executive Officer</w:t>
            </w:r>
          </w:p>
        </w:tc>
      </w:tr>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30" w:name="led408018F202342416848994967731"/>
            <w:bookmarkEnd w:id="30"/>
            <w:r>
              <w:rPr>
                <w:rFonts w:ascii="Times New Roman" w:hAnsi="Times New Roman"/>
                <w:caps w:val="false"/>
                <w:smallCaps w:val="false"/>
                <w:sz w:val="20"/>
              </w:rPr>
              <w:t>November 2, 2023</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1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 Christopher Uchida</w:t>
            </w:r>
          </w:p>
        </w:tc>
      </w:tr>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 Christopher Uchida</w:t>
            </w:r>
          </w:p>
        </w:tc>
      </w:tr>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61312/000143774923021982/ex_553170.htm" TargetMode="External"/><Relationship Id="rId3" Type="http://schemas.openxmlformats.org/officeDocument/2006/relationships/hyperlink" Target="http://www.sec.gov/Archives/edgar/data/1761312/000143774923021982/ex_553170.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37708</Words>
  <Characters>207500</Characters>
  <CharactersWithSpaces>248698</CharactersWithSpaces>
  <Paragraphs>12698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