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820" w:right="2400" w:hanging="488"/>
        <w:spacing w:after="0" w:line="264" w:lineRule="auto"/>
        <w:tabs>
          <w:tab w:leader="none" w:pos="658"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June 30, 2023</w:t>
      </w:r>
    </w:p>
    <w:p>
      <w:pPr>
        <w:jc w:val="center"/>
        <w:spacing w:after="0"/>
        <w:rPr>
          <w:sz w:val="20"/>
          <w:szCs w:val="20"/>
          <w:color w:val="auto"/>
        </w:rPr>
      </w:pPr>
      <w:r>
        <w:rPr>
          <w:rFonts w:ascii="Arial" w:cs="Arial" w:eastAsia="Arial" w:hAnsi="Arial"/>
          <w:sz w:val="16"/>
          <w:szCs w:val="16"/>
          <w:color w:val="auto"/>
        </w:rPr>
        <w:t>or</w:t>
      </w:r>
    </w:p>
    <w:p>
      <w:pPr>
        <w:spacing w:after="0" w:line="213" w:lineRule="exact"/>
        <w:rPr>
          <w:sz w:val="24"/>
          <w:szCs w:val="24"/>
          <w:color w:val="auto"/>
        </w:rPr>
      </w:pPr>
    </w:p>
    <w:p>
      <w:pPr>
        <w:ind w:left="820" w:right="2380" w:hanging="488"/>
        <w:spacing w:after="0" w:line="298" w:lineRule="auto"/>
        <w:tabs>
          <w:tab w:leader="none" w:pos="658"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 to ___________</w:t>
      </w:r>
    </w:p>
    <w:p>
      <w:pPr>
        <w:spacing w:after="0" w:line="74"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60" w:type="dxa"/>
            <w:vAlign w:val="bottom"/>
            <w:gridSpan w:val="6"/>
          </w:tcPr>
          <w:p>
            <w:pPr>
              <w:jc w:val="center"/>
              <w:ind w:right="480"/>
              <w:spacing w:after="0"/>
              <w:rPr>
                <w:sz w:val="20"/>
                <w:szCs w:val="20"/>
                <w:color w:val="auto"/>
              </w:rPr>
            </w:pPr>
            <w:r>
              <w:rPr>
                <w:rFonts w:ascii="Arial" w:cs="Arial" w:eastAsia="Arial" w:hAnsi="Arial"/>
                <w:sz w:val="16"/>
                <w:szCs w:val="16"/>
                <w:color w:val="auto"/>
                <w:w w:val="93"/>
              </w:rPr>
              <w:t>Commission File Number: 001-38873</w:t>
            </w:r>
          </w:p>
        </w:tc>
        <w:tc>
          <w:tcPr>
            <w:tcW w:w="3800" w:type="dxa"/>
            <w:vAlign w:val="bottom"/>
          </w:tcPr>
          <w:p>
            <w:pPr>
              <w:spacing w:after="0"/>
              <w:rPr>
                <w:sz w:val="17"/>
                <w:szCs w:val="17"/>
                <w:color w:val="auto"/>
              </w:rPr>
            </w:pPr>
          </w:p>
        </w:tc>
      </w:tr>
      <w:tr>
        <w:trPr>
          <w:trHeight w:val="654"/>
        </w:trPr>
        <w:tc>
          <w:tcPr>
            <w:tcW w:w="380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Arial" w:cs="Arial" w:eastAsia="Arial" w:hAnsi="Arial"/>
                <w:sz w:val="36"/>
                <w:szCs w:val="36"/>
                <w:b w:val="1"/>
                <w:bCs w:val="1"/>
                <w:color w:val="auto"/>
                <w:w w:val="91"/>
              </w:rPr>
              <w:t>Palomar Holdings, Inc.</w:t>
            </w:r>
          </w:p>
        </w:tc>
        <w:tc>
          <w:tcPr>
            <w:tcW w:w="3800" w:type="dxa"/>
            <w:vAlign w:val="bottom"/>
          </w:tcPr>
          <w:p>
            <w:pPr>
              <w:spacing w:after="0"/>
              <w:rPr>
                <w:sz w:val="24"/>
                <w:szCs w:val="24"/>
                <w:color w:val="auto"/>
              </w:rPr>
            </w:pPr>
          </w:p>
        </w:tc>
      </w:tr>
      <w:tr>
        <w:trPr>
          <w:trHeight w:val="332"/>
        </w:trPr>
        <w:tc>
          <w:tcPr>
            <w:tcW w:w="380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c>
          <w:tcPr>
            <w:tcW w:w="3800" w:type="dxa"/>
            <w:vAlign w:val="bottom"/>
          </w:tcPr>
          <w:p>
            <w:pPr>
              <w:spacing w:after="0"/>
              <w:rPr>
                <w:sz w:val="24"/>
                <w:szCs w:val="24"/>
                <w:color w:val="auto"/>
              </w:rPr>
            </w:pPr>
          </w:p>
        </w:tc>
      </w:tr>
      <w:tr>
        <w:trPr>
          <w:trHeight w:val="408"/>
        </w:trPr>
        <w:tc>
          <w:tcPr>
            <w:tcW w:w="380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b w:val="1"/>
                <w:bCs w:val="1"/>
                <w:color w:val="auto"/>
                <w:w w:val="93"/>
              </w:rPr>
              <w:t>Delaware</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2119"/>
              <w:spacing w:after="0"/>
              <w:rPr>
                <w:sz w:val="20"/>
                <w:szCs w:val="20"/>
                <w:color w:val="auto"/>
              </w:rPr>
            </w:pPr>
            <w:r>
              <w:rPr>
                <w:rFonts w:ascii="Arial" w:cs="Arial" w:eastAsia="Arial" w:hAnsi="Arial"/>
                <w:sz w:val="16"/>
                <w:szCs w:val="16"/>
                <w:b w:val="1"/>
                <w:bCs w:val="1"/>
                <w:color w:val="auto"/>
              </w:rPr>
              <w:t>83-3972551</w:t>
            </w:r>
          </w:p>
        </w:tc>
      </w:tr>
      <w:tr>
        <w:trPr>
          <w:trHeight w:val="189"/>
        </w:trPr>
        <w:tc>
          <w:tcPr>
            <w:tcW w:w="3800" w:type="dxa"/>
            <w:vAlign w:val="bottom"/>
          </w:tcPr>
          <w:p>
            <w:pPr>
              <w:jc w:val="center"/>
              <w:ind w:left="1319"/>
              <w:spacing w:after="0"/>
              <w:rPr>
                <w:sz w:val="20"/>
                <w:szCs w:val="20"/>
                <w:color w:val="auto"/>
              </w:rPr>
            </w:pPr>
            <w:r>
              <w:rPr>
                <w:rFonts w:ascii="Arial" w:cs="Arial" w:eastAsia="Arial" w:hAnsi="Arial"/>
                <w:sz w:val="16"/>
                <w:szCs w:val="16"/>
                <w:color w:val="auto"/>
                <w:w w:val="93"/>
              </w:rPr>
              <w:t>(State or other jurisdiction of</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0" w:type="dxa"/>
            <w:vAlign w:val="bottom"/>
          </w:tcPr>
          <w:p>
            <w:pPr>
              <w:jc w:val="center"/>
              <w:ind w:right="127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3800" w:type="dxa"/>
            <w:vAlign w:val="bottom"/>
          </w:tcPr>
          <w:p>
            <w:pPr>
              <w:jc w:val="center"/>
              <w:ind w:left="1299"/>
              <w:spacing w:after="0"/>
              <w:rPr>
                <w:sz w:val="20"/>
                <w:szCs w:val="20"/>
                <w:color w:val="auto"/>
              </w:rPr>
            </w:pPr>
            <w:r>
              <w:rPr>
                <w:rFonts w:ascii="Arial" w:cs="Arial" w:eastAsia="Arial" w:hAnsi="Arial"/>
                <w:sz w:val="16"/>
                <w:szCs w:val="16"/>
                <w:color w:val="auto"/>
                <w:w w:val="93"/>
              </w:rPr>
              <w:t>incorporation or organization)</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397"/>
        </w:trPr>
        <w:tc>
          <w:tcPr>
            <w:tcW w:w="3800" w:type="dxa"/>
            <w:vAlign w:val="bottom"/>
          </w:tcPr>
          <w:p>
            <w:pPr>
              <w:jc w:val="center"/>
              <w:ind w:left="1299"/>
              <w:spacing w:after="0"/>
              <w:rPr>
                <w:sz w:val="20"/>
                <w:szCs w:val="20"/>
                <w:color w:val="auto"/>
              </w:rPr>
            </w:pPr>
            <w:r>
              <w:rPr>
                <w:rFonts w:ascii="Arial" w:cs="Arial" w:eastAsia="Arial" w:hAnsi="Arial"/>
                <w:sz w:val="16"/>
                <w:szCs w:val="16"/>
                <w:b w:val="1"/>
                <w:bCs w:val="1"/>
                <w:color w:val="auto"/>
                <w:w w:val="90"/>
              </w:rPr>
              <w:t>7979 Ivanhoe Avenue, Suite 500</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3"/>
        </w:trPr>
        <w:tc>
          <w:tcPr>
            <w:tcW w:w="380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b w:val="1"/>
                <w:bCs w:val="1"/>
                <w:color w:val="auto"/>
                <w:w w:val="94"/>
              </w:rPr>
              <w:t>La Jolla, California</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jc w:val="right"/>
              <w:ind w:right="2299"/>
              <w:spacing w:after="0"/>
              <w:rPr>
                <w:sz w:val="20"/>
                <w:szCs w:val="20"/>
                <w:color w:val="auto"/>
              </w:rPr>
            </w:pPr>
            <w:r>
              <w:rPr>
                <w:rFonts w:ascii="Arial" w:cs="Arial" w:eastAsia="Arial" w:hAnsi="Arial"/>
                <w:sz w:val="16"/>
                <w:szCs w:val="16"/>
                <w:b w:val="1"/>
                <w:bCs w:val="1"/>
                <w:color w:val="auto"/>
              </w:rPr>
              <w:t>92037</w:t>
            </w:r>
          </w:p>
        </w:tc>
      </w:tr>
      <w:tr>
        <w:trPr>
          <w:trHeight w:val="203"/>
        </w:trPr>
        <w:tc>
          <w:tcPr>
            <w:tcW w:w="5180" w:type="dxa"/>
            <w:vAlign w:val="bottom"/>
            <w:gridSpan w:val="4"/>
          </w:tcPr>
          <w:p>
            <w:pPr>
              <w:jc w:val="center"/>
              <w:spacing w:after="0"/>
              <w:rPr>
                <w:sz w:val="20"/>
                <w:szCs w:val="20"/>
                <w:color w:val="auto"/>
              </w:rPr>
            </w:pPr>
            <w:r>
              <w:rPr>
                <w:rFonts w:ascii="Arial" w:cs="Arial" w:eastAsia="Arial" w:hAnsi="Arial"/>
                <w:sz w:val="16"/>
                <w:szCs w:val="16"/>
                <w:color w:val="auto"/>
                <w:w w:val="94"/>
              </w:rPr>
              <w:t>(Address of principal executive offices)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0" w:type="dxa"/>
            <w:vAlign w:val="bottom"/>
          </w:tcPr>
          <w:p>
            <w:pPr>
              <w:jc w:val="center"/>
              <w:ind w:right="1279"/>
              <w:spacing w:after="0"/>
              <w:rPr>
                <w:sz w:val="20"/>
                <w:szCs w:val="20"/>
                <w:color w:val="auto"/>
              </w:rPr>
            </w:pPr>
            <w:r>
              <w:rPr>
                <w:rFonts w:ascii="Arial" w:cs="Arial" w:eastAsia="Arial" w:hAnsi="Arial"/>
                <w:sz w:val="16"/>
                <w:szCs w:val="16"/>
                <w:color w:val="auto"/>
                <w:w w:val="95"/>
              </w:rPr>
              <w:t>(Zip Code)</w:t>
            </w:r>
          </w:p>
        </w:tc>
      </w:tr>
      <w:tr>
        <w:trPr>
          <w:trHeight w:val="601"/>
        </w:trPr>
        <w:tc>
          <w:tcPr>
            <w:tcW w:w="380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(619) 567-5290</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3"/>
        </w:trPr>
        <w:tc>
          <w:tcPr>
            <w:tcW w:w="3800" w:type="dxa"/>
            <w:vAlign w:val="bottom"/>
          </w:tcPr>
          <w:p>
            <w:pPr>
              <w:spacing w:after="0"/>
              <w:rPr>
                <w:sz w:val="17"/>
                <w:szCs w:val="17"/>
                <w:color w:val="auto"/>
              </w:rPr>
            </w:pPr>
          </w:p>
        </w:tc>
        <w:tc>
          <w:tcPr>
            <w:tcW w:w="3640" w:type="dxa"/>
            <w:vAlign w:val="bottom"/>
            <w:gridSpan w:val="7"/>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3800" w:type="dxa"/>
            <w:vAlign w:val="bottom"/>
          </w:tcPr>
          <w:p>
            <w:pPr>
              <w:spacing w:after="0"/>
              <w:rPr>
                <w:sz w:val="17"/>
                <w:szCs w:val="17"/>
                <w:color w:val="auto"/>
              </w:rPr>
            </w:pPr>
          </w:p>
        </w:tc>
      </w:tr>
      <w:tr>
        <w:trPr>
          <w:trHeight w:val="395"/>
        </w:trPr>
        <w:tc>
          <w:tcPr>
            <w:tcW w:w="3800" w:type="dxa"/>
            <w:vAlign w:val="bottom"/>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25"/>
        </w:trPr>
        <w:tc>
          <w:tcPr>
            <w:tcW w:w="3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r>
      <w:tr>
        <w:trPr>
          <w:trHeight w:val="220"/>
        </w:trPr>
        <w:tc>
          <w:tcPr>
            <w:tcW w:w="3800" w:type="dxa"/>
            <w:vAlign w:val="bottom"/>
            <w:tcBorders>
              <w:left w:val="single" w:sz="8" w:color="auto"/>
              <w:bottom w:val="single" w:sz="8" w:color="auto"/>
            </w:tcBorders>
          </w:tcPr>
          <w:p>
            <w:pPr>
              <w:jc w:val="center"/>
              <w:ind w:left="399"/>
              <w:spacing w:after="0"/>
              <w:rPr>
                <w:sz w:val="20"/>
                <w:szCs w:val="20"/>
                <w:color w:val="auto"/>
              </w:rPr>
            </w:pPr>
            <w:r>
              <w:rPr>
                <w:rFonts w:ascii="Arial" w:cs="Arial" w:eastAsia="Arial" w:hAnsi="Arial"/>
                <w:sz w:val="16"/>
                <w:szCs w:val="16"/>
                <w:color w:val="auto"/>
                <w:w w:val="90"/>
              </w:rPr>
              <w:t>Title of each class</w:t>
            </w:r>
          </w:p>
        </w:tc>
        <w:tc>
          <w:tcPr>
            <w:tcW w:w="48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6"/>
                <w:szCs w:val="16"/>
                <w:color w:val="auto"/>
                <w:w w:val="93"/>
              </w:rPr>
              <w:t>Trading Symbol(s)</w:t>
            </w:r>
          </w:p>
        </w:tc>
        <w:tc>
          <w:tcPr>
            <w:tcW w:w="46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jc w:val="center"/>
              <w:ind w:right="399"/>
              <w:spacing w:after="0"/>
              <w:rPr>
                <w:sz w:val="20"/>
                <w:szCs w:val="20"/>
                <w:color w:val="auto"/>
              </w:rPr>
            </w:pPr>
            <w:r>
              <w:rPr>
                <w:rFonts w:ascii="Arial" w:cs="Arial" w:eastAsia="Arial" w:hAnsi="Arial"/>
                <w:sz w:val="16"/>
                <w:szCs w:val="16"/>
                <w:color w:val="auto"/>
                <w:w w:val="90"/>
              </w:rPr>
              <w:t>Name of each exchange on which registered</w:t>
            </w:r>
          </w:p>
        </w:tc>
      </w:tr>
      <w:tr>
        <w:trPr>
          <w:trHeight w:val="203"/>
        </w:trPr>
        <w:tc>
          <w:tcPr>
            <w:tcW w:w="3800" w:type="dxa"/>
            <w:vAlign w:val="bottom"/>
            <w:tcBorders>
              <w:left w:val="single" w:sz="8" w:color="auto"/>
              <w:bottom w:val="single" w:sz="8" w:color="auto"/>
            </w:tcBorders>
          </w:tcPr>
          <w:p>
            <w:pPr>
              <w:jc w:val="center"/>
              <w:ind w:left="399"/>
              <w:spacing w:after="0"/>
              <w:rPr>
                <w:sz w:val="20"/>
                <w:szCs w:val="20"/>
                <w:color w:val="auto"/>
              </w:rPr>
            </w:pPr>
            <w:r>
              <w:rPr>
                <w:rFonts w:ascii="Arial" w:cs="Arial" w:eastAsia="Arial" w:hAnsi="Arial"/>
                <w:sz w:val="16"/>
                <w:szCs w:val="16"/>
                <w:color w:val="auto"/>
                <w:w w:val="90"/>
              </w:rPr>
              <w:t>Common Stock, par value $0.0001 per share</w:t>
            </w:r>
          </w:p>
        </w:tc>
        <w:tc>
          <w:tcPr>
            <w:tcW w:w="4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jc w:val="center"/>
              <w:ind w:right="920"/>
              <w:spacing w:after="0"/>
              <w:rPr>
                <w:sz w:val="20"/>
                <w:szCs w:val="20"/>
                <w:color w:val="auto"/>
              </w:rPr>
            </w:pPr>
            <w:r>
              <w:rPr>
                <w:rFonts w:ascii="Arial" w:cs="Arial" w:eastAsia="Arial" w:hAnsi="Arial"/>
                <w:sz w:val="16"/>
                <w:szCs w:val="16"/>
                <w:color w:val="auto"/>
                <w:w w:val="98"/>
              </w:rPr>
              <w:t>PLMR</w:t>
            </w:r>
          </w:p>
        </w:tc>
        <w:tc>
          <w:tcPr>
            <w:tcW w:w="460" w:type="dxa"/>
            <w:vAlign w:val="bottom"/>
            <w:tcBorders>
              <w:bottom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jc w:val="center"/>
              <w:ind w:right="399"/>
              <w:spacing w:after="0"/>
              <w:rPr>
                <w:sz w:val="20"/>
                <w:szCs w:val="20"/>
                <w:color w:val="auto"/>
              </w:rPr>
            </w:pPr>
            <w:r>
              <w:rPr>
                <w:rFonts w:ascii="Arial" w:cs="Arial" w:eastAsia="Arial" w:hAnsi="Arial"/>
                <w:sz w:val="16"/>
                <w:szCs w:val="16"/>
                <w:color w:val="auto"/>
                <w:w w:val="93"/>
              </w:rPr>
              <w:t>The Nasdaq Stock Market LLC</w:t>
            </w:r>
          </w:p>
        </w:tc>
      </w:tr>
    </w:tbl>
    <w:p>
      <w:pPr>
        <w:spacing w:after="0" w:line="395" w:lineRule="exact"/>
        <w:rPr>
          <w:sz w:val="24"/>
          <w:szCs w:val="24"/>
          <w:color w:val="auto"/>
        </w:rPr>
      </w:pPr>
    </w:p>
    <w:p>
      <w:pPr>
        <w:jc w:val="both"/>
        <w:ind w:firstLine="324"/>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3" w:lineRule="exact"/>
        <w:rPr>
          <w:sz w:val="24"/>
          <w:szCs w:val="24"/>
          <w:color w:val="auto"/>
        </w:rPr>
      </w:pPr>
    </w:p>
    <w:p>
      <w:pPr>
        <w:jc w:val="both"/>
        <w:ind w:firstLine="324"/>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3"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2" w:right="339" w:bottom="1440" w:gutter="0" w:footer="0" w:header="0"/>
        </w:sectPr>
      </w:pPr>
    </w:p>
    <w:p>
      <w:pPr>
        <w:spacing w:after="0" w:line="17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5560" w:space="720"/>
            <w:col w:w="4960"/>
          </w:cols>
          <w:pgMar w:left="320" w:top="692" w:right="3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2">
            <w:col w:w="5560" w:space="720"/>
            <w:col w:w="4960"/>
          </w:cols>
          <w:pgMar w:left="320" w:top="692" w:right="3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692" w:right="339" w:bottom="1440" w:gutter="0" w:footer="0" w:header="0"/>
          <w:type w:val="continuous"/>
        </w:sectPr>
      </w:pPr>
    </w:p>
    <w:p>
      <w:pPr>
        <w:spacing w:after="0" w:line="325" w:lineRule="exact"/>
        <w:rPr>
          <w:sz w:val="24"/>
          <w:szCs w:val="24"/>
          <w:color w:val="auto"/>
        </w:rPr>
      </w:pPr>
    </w:p>
    <w:p>
      <w:pPr>
        <w:ind w:firstLine="324"/>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4" w:lineRule="exact"/>
        <w:rPr>
          <w:sz w:val="24"/>
          <w:szCs w:val="24"/>
          <w:color w:val="auto"/>
        </w:rPr>
      </w:pPr>
    </w:p>
    <w:p>
      <w:pPr>
        <w:ind w:left="340"/>
        <w:spacing w:after="0" w:line="173" w:lineRule="exact"/>
        <w:tabs>
          <w:tab w:leader="none" w:pos="76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7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Number of shares of the registrant’s common shares outstanding at August 1, 2023: 24,741,788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60" w:type="dxa"/>
            <w:vAlign w:val="bottom"/>
            <w:gridSpan w:val="23"/>
          </w:tcPr>
          <w:p>
            <w:pPr>
              <w:spacing w:after="0"/>
              <w:rPr>
                <w:sz w:val="20"/>
                <w:szCs w:val="20"/>
                <w:color w:val="auto"/>
              </w:rPr>
            </w:pPr>
            <w:r>
              <w:rPr>
                <w:rFonts w:ascii="Arial" w:cs="Arial" w:eastAsia="Arial" w:hAnsi="Arial"/>
                <w:sz w:val="18"/>
                <w:szCs w:val="18"/>
                <w:color w:val="0000EE"/>
              </w:rPr>
              <w:t>Table of Contents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40" w:type="dxa"/>
            <w:vAlign w:val="bottom"/>
            <w:gridSpan w:val="9"/>
          </w:tcPr>
          <w:p>
            <w:pPr>
              <w:jc w:val="center"/>
              <w:ind w:right="2440"/>
              <w:spacing w:after="0"/>
              <w:rPr>
                <w:sz w:val="20"/>
                <w:szCs w:val="20"/>
                <w:color w:val="auto"/>
              </w:rPr>
            </w:pPr>
            <w:r>
              <w:rPr>
                <w:rFonts w:ascii="Arial" w:cs="Arial" w:eastAsia="Arial" w:hAnsi="Arial"/>
                <w:sz w:val="18"/>
                <w:szCs w:val="18"/>
                <w:b w:val="1"/>
                <w:bCs w:val="1"/>
                <w:color w:val="auto"/>
              </w:rPr>
              <w:t>PALOMAR HOLDINGS, INC.</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40" w:type="dxa"/>
            <w:vAlign w:val="bottom"/>
            <w:gridSpan w:val="9"/>
          </w:tcPr>
          <w:p>
            <w:pPr>
              <w:jc w:val="center"/>
              <w:ind w:right="244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60" w:type="dxa"/>
            <w:vAlign w:val="bottom"/>
            <w:gridSpan w:val="23"/>
            <w:vMerge w:val="restart"/>
          </w:tcPr>
          <w:p>
            <w:pPr>
              <w:spacing w:after="0"/>
              <w:rPr>
                <w:sz w:val="20"/>
                <w:szCs w:val="20"/>
                <w:color w:val="auto"/>
              </w:rPr>
            </w:pPr>
            <w:r>
              <w:rPr>
                <w:rFonts w:ascii="Arial" w:cs="Arial" w:eastAsia="Arial" w:hAnsi="Arial"/>
                <w:sz w:val="18"/>
                <w:szCs w:val="18"/>
                <w:b w:val="1"/>
                <w:bCs w:val="1"/>
                <w:color w:val="0000EE"/>
              </w:rPr>
              <w:t>PART I. FINANCIAL INFORMATION</w:t>
            </w:r>
          </w:p>
        </w:tc>
        <w:tc>
          <w:tcPr>
            <w:tcW w:w="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23"/>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226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Financial Statements</w:t>
            </w:r>
          </w:p>
        </w:tc>
        <w:tc>
          <w:tcPr>
            <w:tcW w:w="750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84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8"/>
              </w:rPr>
              <w:t>Condensed Consolidated Balance Sheets at June 30, 2023 (Unaudited) and December 31, 2022</w:t>
            </w:r>
          </w:p>
        </w:tc>
        <w:tc>
          <w:tcPr>
            <w:tcW w:w="2920" w:type="dxa"/>
            <w:vAlign w:val="bottom"/>
            <w:gridSpan w:val="4"/>
          </w:tcPr>
          <w:p>
            <w:pPr>
              <w:spacing w:after="0"/>
              <w:rPr>
                <w:sz w:val="17"/>
                <w:szCs w:val="17"/>
                <w:color w:val="auto"/>
              </w:rPr>
            </w:pPr>
          </w:p>
        </w:tc>
        <w:tc>
          <w:tcPr>
            <w:tcW w:w="5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3</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2"/>
          </w:tcPr>
          <w:p>
            <w:pPr>
              <w:spacing w:after="0" w:line="196" w:lineRule="exact"/>
              <w:rPr>
                <w:sz w:val="20"/>
                <w:szCs w:val="20"/>
                <w:color w:val="auto"/>
              </w:rPr>
            </w:pPr>
            <w:r>
              <w:rPr>
                <w:rFonts w:ascii="Arial" w:cs="Arial" w:eastAsia="Arial" w:hAnsi="Arial"/>
                <w:sz w:val="18"/>
                <w:szCs w:val="18"/>
                <w:color w:val="0000EE"/>
                <w:w w:val="92"/>
              </w:rPr>
              <w:t>Condensed Consolidated Statements of Income (Loss) and Comprehensive Income (Loss) (Unaudited) for the Three and Six Months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5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Ended June 30, 2023 and 2022</w:t>
            </w:r>
          </w:p>
        </w:tc>
        <w:tc>
          <w:tcPr>
            <w:tcW w:w="20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4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Condensed Consolidated Statements of Changes in Stockholders’ Equity (Unaudited) for the Three and Six Months Ended June 30,</w:t>
            </w:r>
          </w:p>
        </w:tc>
        <w:tc>
          <w:tcPr>
            <w:tcW w:w="2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2023 and 2022</w:t>
            </w:r>
          </w:p>
        </w:tc>
        <w:tc>
          <w:tcPr>
            <w:tcW w:w="8680" w:type="dxa"/>
            <w:vAlign w:val="bottom"/>
            <w:gridSpan w:val="17"/>
          </w:tcPr>
          <w:p>
            <w:pPr>
              <w:spacing w:after="0"/>
              <w:rPr>
                <w:sz w:val="17"/>
                <w:szCs w:val="17"/>
                <w:color w:val="auto"/>
              </w:rPr>
            </w:pPr>
          </w:p>
        </w:tc>
        <w:tc>
          <w:tcPr>
            <w:tcW w:w="5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3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Condensed Consolidated Statements of Cash Flows (Unaudited) for the Six Months Ended June 30, 2023 and 2022</w:t>
            </w:r>
          </w:p>
        </w:tc>
        <w:tc>
          <w:tcPr>
            <w:tcW w:w="1460" w:type="dxa"/>
            <w:vAlign w:val="bottom"/>
            <w:gridSpan w:val="3"/>
          </w:tcPr>
          <w:p>
            <w:pPr>
              <w:spacing w:after="0"/>
              <w:rPr>
                <w:sz w:val="17"/>
                <w:szCs w:val="17"/>
                <w:color w:val="auto"/>
              </w:rPr>
            </w:pPr>
          </w:p>
        </w:tc>
        <w:tc>
          <w:tcPr>
            <w:tcW w:w="5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6</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2"/>
          </w:tcPr>
          <w:p>
            <w:pPr>
              <w:spacing w:after="0" w:line="196" w:lineRule="exact"/>
              <w:rPr>
                <w:sz w:val="20"/>
                <w:szCs w:val="20"/>
                <w:color w:val="auto"/>
              </w:rPr>
            </w:pPr>
            <w:r>
              <w:rPr>
                <w:rFonts w:ascii="Arial" w:cs="Arial" w:eastAsia="Arial" w:hAnsi="Arial"/>
                <w:sz w:val="18"/>
                <w:szCs w:val="18"/>
                <w:color w:val="0000EE"/>
              </w:rPr>
              <w:t>Notes to Condensed Consolidated Financial Statements (Unaudited)</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60" w:type="dxa"/>
            <w:vAlign w:val="bottom"/>
            <w:gridSpan w:val="22"/>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332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45</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798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46</w:t>
            </w:r>
          </w:p>
        </w:tc>
        <w:tc>
          <w:tcPr>
            <w:tcW w:w="0" w:type="dxa"/>
            <w:vAlign w:val="bottom"/>
          </w:tcPr>
          <w:p>
            <w:pPr>
              <w:spacing w:after="0"/>
              <w:rPr>
                <w:sz w:val="1"/>
                <w:szCs w:val="1"/>
                <w:color w:val="auto"/>
              </w:rPr>
            </w:pPr>
          </w:p>
        </w:tc>
      </w:tr>
      <w:tr>
        <w:trPr>
          <w:trHeight w:val="412"/>
        </w:trPr>
        <w:tc>
          <w:tcPr>
            <w:tcW w:w="27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rPr>
              <w:t>PART II. OTHER INFORMATION</w:t>
            </w:r>
          </w:p>
        </w:tc>
        <w:tc>
          <w:tcPr>
            <w:tcW w:w="778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8"/>
              </w:rPr>
              <w:t>Legal Proceedings</w:t>
            </w:r>
          </w:p>
        </w:tc>
        <w:tc>
          <w:tcPr>
            <w:tcW w:w="842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47</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76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60" w:type="dxa"/>
            <w:vAlign w:val="bottom"/>
            <w:gridSpan w:val="22"/>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70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542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70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Mine Safety Disclosures</w:t>
            </w:r>
          </w:p>
        </w:tc>
        <w:tc>
          <w:tcPr>
            <w:tcW w:w="540" w:type="dxa"/>
            <w:vAlign w:val="bottom"/>
            <w:tcBorders>
              <w:top w:val="single" w:sz="8" w:color="0000EE"/>
            </w:tcBorders>
            <w:gridSpan w:val="4"/>
          </w:tcPr>
          <w:p>
            <w:pPr>
              <w:spacing w:after="0"/>
              <w:rPr>
                <w:sz w:val="17"/>
                <w:szCs w:val="17"/>
                <w:color w:val="auto"/>
              </w:rPr>
            </w:pPr>
          </w:p>
        </w:tc>
        <w:tc>
          <w:tcPr>
            <w:tcW w:w="744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70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844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70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760" w:type="dxa"/>
            <w:vAlign w:val="bottom"/>
            <w:gridSpan w:val="22"/>
          </w:tcPr>
          <w:p>
            <w:pPr>
              <w:spacing w:after="0" w:line="196" w:lineRule="exact"/>
              <w:rPr>
                <w:sz w:val="20"/>
                <w:szCs w:val="20"/>
                <w:color w:val="auto"/>
              </w:rPr>
            </w:pPr>
            <w:r>
              <w:rPr>
                <w:rFonts w:ascii="Arial" w:cs="Arial" w:eastAsia="Arial" w:hAnsi="Arial"/>
                <w:sz w:val="18"/>
                <w:szCs w:val="18"/>
                <w:color w:val="0000EE"/>
              </w:rPr>
              <w:t>Exhibits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71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0" w:type="dxa"/>
            <w:vAlign w:val="bottom"/>
            <w:gridSpan w:val="1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2"/>
          </w:tcPr>
          <w:p>
            <w:pPr>
              <w:spacing w:after="0" w:line="196" w:lineRule="exact"/>
              <w:rPr>
                <w:sz w:val="20"/>
                <w:szCs w:val="20"/>
                <w:color w:val="auto"/>
              </w:rPr>
            </w:pPr>
            <w:r>
              <w:rPr>
                <w:rFonts w:ascii="Arial" w:cs="Arial" w:eastAsia="Arial" w:hAnsi="Arial"/>
                <w:sz w:val="18"/>
                <w:szCs w:val="18"/>
                <w:color w:val="0000EE"/>
              </w:rPr>
              <w:t>Signatures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72</w:t>
            </w:r>
          </w:p>
        </w:tc>
        <w:tc>
          <w:tcPr>
            <w:tcW w:w="0" w:type="dxa"/>
            <w:vAlign w:val="bottom"/>
          </w:tcPr>
          <w:p>
            <w:pPr>
              <w:spacing w:after="0"/>
              <w:rPr>
                <w:sz w:val="1"/>
                <w:szCs w:val="1"/>
                <w:color w:val="auto"/>
              </w:rPr>
            </w:pPr>
          </w:p>
        </w:tc>
      </w:tr>
      <w:tr>
        <w:trPr>
          <w:trHeight w:val="695"/>
        </w:trPr>
        <w:tc>
          <w:tcPr>
            <w:tcW w:w="80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140" w:type="dxa"/>
            <w:vAlign w:val="bottom"/>
            <w:gridSpan w:val="13"/>
          </w:tcPr>
          <w:p>
            <w:pPr>
              <w:jc w:val="center"/>
              <w:ind w:left="3890"/>
              <w:spacing w:after="0"/>
              <w:rPr>
                <w:sz w:val="20"/>
                <w:szCs w:val="20"/>
                <w:color w:val="auto"/>
              </w:rPr>
            </w:pPr>
            <w:r>
              <w:rPr>
                <w:rFonts w:ascii="Arial" w:cs="Arial" w:eastAsia="Arial" w:hAnsi="Arial"/>
                <w:sz w:val="18"/>
                <w:szCs w:val="18"/>
                <w:color w:val="auto"/>
                <w:w w:val="79"/>
              </w:rPr>
              <w:t>2</w:t>
            </w: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677"/>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540" w:type="dxa"/>
            <w:vAlign w:val="bottom"/>
          </w:tcPr>
          <w:p>
            <w:pPr>
              <w:jc w:val="center"/>
              <w:ind w:left="2070"/>
              <w:spacing w:after="0"/>
              <w:rPr>
                <w:sz w:val="20"/>
                <w:szCs w:val="20"/>
                <w:color w:val="auto"/>
              </w:rPr>
            </w:pPr>
            <w:r>
              <w:rPr>
                <w:rFonts w:ascii="Arial" w:cs="Arial" w:eastAsia="Arial" w:hAnsi="Arial"/>
                <w:sz w:val="18"/>
                <w:szCs w:val="18"/>
                <w:b w:val="1"/>
                <w:bCs w:val="1"/>
                <w:color w:val="auto"/>
                <w:w w:val="90"/>
              </w:rPr>
              <w:t>Palomar Holdings, Inc. and Subsidiaries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540" w:type="dxa"/>
            <w:vAlign w:val="bottom"/>
          </w:tcPr>
          <w:p>
            <w:pPr>
              <w:jc w:val="center"/>
              <w:ind w:left="20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540" w:type="dxa"/>
            <w:vAlign w:val="bottom"/>
          </w:tcPr>
          <w:p>
            <w:pPr>
              <w:jc w:val="center"/>
              <w:ind w:left="2070"/>
              <w:spacing w:after="0"/>
              <w:rPr>
                <w:sz w:val="20"/>
                <w:szCs w:val="20"/>
                <w:color w:val="auto"/>
              </w:rPr>
            </w:pPr>
            <w:r>
              <w:rPr>
                <w:rFonts w:ascii="Arial" w:cs="Arial" w:eastAsia="Arial" w:hAnsi="Arial"/>
                <w:sz w:val="18"/>
                <w:szCs w:val="18"/>
                <w:b w:val="1"/>
                <w:bCs w:val="1"/>
                <w:color w:val="auto"/>
                <w:w w:val="88"/>
              </w:rPr>
              <w:t>(in thousands, except shares and par value data)</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09"/>
        </w:trPr>
        <w:tc>
          <w:tcPr>
            <w:tcW w:w="128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2"/>
        </w:trPr>
        <w:tc>
          <w:tcPr>
            <w:tcW w:w="7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Fixed maturity securities available for sale, at fair value (amortized cost: $605,040 in 2023; $561,580 in</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1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65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515,064</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Equity securities, at fair value (cost: $43,297 in 2023; $42,352 in 2022)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41,428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38,576</w:t>
            </w:r>
          </w:p>
        </w:tc>
      </w:tr>
      <w:tr>
        <w:trPr>
          <w:trHeight w:val="209"/>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601,549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553,640</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58,310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68,108</w:t>
            </w: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Accrued investment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3,777</w:t>
            </w: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receivable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243,002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162,858</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Deferred policy acquisition costs, net of ceding commissions and fronting fees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55,913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56,740</w:t>
            </w: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recoverable on paid losses and loss adjustment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39,718</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Reinsurance recoverable on unpaid losses and loss adjustment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216,783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153,895</w:t>
            </w: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Ceded unearned premiums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242,452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204,084</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44,088</w:t>
            </w: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10,622</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603</w:t>
            </w:r>
          </w:p>
        </w:tc>
      </w:tr>
      <w:tr>
        <w:trPr>
          <w:trHeight w:val="216"/>
        </w:trPr>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assets, net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13,095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8,261</w:t>
            </w:r>
          </w:p>
        </w:tc>
      </w:tr>
      <w:tr>
        <w:trPr>
          <w:trHeight w:val="210"/>
        </w:trPr>
        <w:tc>
          <w:tcPr>
            <w:tcW w:w="7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1,546,307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1,306,450</w:t>
            </w:r>
          </w:p>
        </w:tc>
      </w:tr>
      <w:tr>
        <w:trPr>
          <w:trHeight w:val="20"/>
        </w:trPr>
        <w:tc>
          <w:tcPr>
            <w:tcW w:w="1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other accrued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25,760</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298,083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231,415</w:t>
            </w: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528,289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471,314</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Ceded premium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199,611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146,127</w:t>
            </w: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Funds held under reinsurance treaty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10,680</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Borrowings from credit agreements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71,400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36,400</w:t>
            </w:r>
          </w:p>
        </w:tc>
      </w:tr>
      <w:tr>
        <w:trPr>
          <w:trHeight w:val="209"/>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1,132,599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921,696</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2"/>
        </w:trPr>
        <w:tc>
          <w:tcPr>
            <w:tcW w:w="7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$0.0001 par value, 5,000,000 shares authorized, 0 shares issued and outstanding as of</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30, 2023 and December 31, 2022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78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Common stock, $0.0001 par value, 500,000,000 shares authorized, 24,794,269 and 25,027,467 shares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7820" w:type="dxa"/>
            <w:vAlign w:val="bottom"/>
            <w:gridSpan w:val="2"/>
          </w:tcPr>
          <w:p>
            <w:pPr>
              <w:ind w:left="340"/>
              <w:spacing w:after="0"/>
              <w:rPr>
                <w:sz w:val="20"/>
                <w:szCs w:val="20"/>
                <w:color w:val="auto"/>
              </w:rPr>
            </w:pPr>
            <w:r>
              <w:rPr>
                <w:rFonts w:ascii="Arial" w:cs="Arial" w:eastAsia="Arial" w:hAnsi="Arial"/>
                <w:sz w:val="18"/>
                <w:szCs w:val="18"/>
                <w:color w:val="auto"/>
              </w:rPr>
              <w:t>issued and outstanding as of June 30, 2023 and December 31, 2022,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341,413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333,558</w:t>
            </w:r>
          </w:p>
        </w:tc>
      </w:tr>
      <w:tr>
        <w:trPr>
          <w:trHeight w:val="216"/>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(34,726)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(36,515)</w:t>
            </w:r>
          </w:p>
        </w:tc>
      </w:tr>
      <w:tr>
        <w:trPr>
          <w:trHeight w:val="216"/>
        </w:trPr>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107,018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87,708</w:t>
            </w:r>
          </w:p>
        </w:tc>
      </w:tr>
      <w:tr>
        <w:trPr>
          <w:trHeight w:val="210"/>
        </w:trPr>
        <w:tc>
          <w:tcPr>
            <w:tcW w:w="78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413,708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384,754</w:t>
            </w:r>
          </w:p>
        </w:tc>
      </w:tr>
      <w:tr>
        <w:trPr>
          <w:trHeight w:val="250"/>
        </w:trPr>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1,546,307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1,306,450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5920" w:type="dxa"/>
            <w:vAlign w:val="bottom"/>
            <w:gridSpan w:val="4"/>
          </w:tcPr>
          <w:p>
            <w:pPr>
              <w:jc w:val="center"/>
              <w:ind w:left="2690"/>
              <w:spacing w:after="0"/>
              <w:rPr>
                <w:sz w:val="20"/>
                <w:szCs w:val="20"/>
                <w:color w:val="auto"/>
              </w:rPr>
            </w:pPr>
            <w:r>
              <w:rPr>
                <w:rFonts w:ascii="Arial" w:cs="Arial" w:eastAsia="Arial" w:hAnsi="Arial"/>
                <w:sz w:val="18"/>
                <w:szCs w:val="18"/>
                <w:b w:val="1"/>
                <w:bCs w:val="1"/>
                <w:color w:val="auto"/>
                <w:w w:val="90"/>
              </w:rPr>
              <w:t>Palomar Holdings, Inc. and Subsidiaries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86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8"/>
              </w:rPr>
              <w:t>Condensed Consolidated Statements of Income and Comprehensive Income (Loss) (Unaudited)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280" w:type="dxa"/>
            <w:vAlign w:val="bottom"/>
            <w:gridSpan w:val="6"/>
          </w:tcPr>
          <w:p>
            <w:pPr>
              <w:jc w:val="center"/>
              <w:ind w:left="2310"/>
              <w:spacing w:after="0"/>
              <w:rPr>
                <w:sz w:val="20"/>
                <w:szCs w:val="20"/>
                <w:color w:val="auto"/>
              </w:rPr>
            </w:pPr>
            <w:r>
              <w:rPr>
                <w:rFonts w:ascii="Arial" w:cs="Arial" w:eastAsia="Arial" w:hAnsi="Arial"/>
                <w:sz w:val="18"/>
                <w:szCs w:val="18"/>
                <w:b w:val="1"/>
                <w:bCs w:val="1"/>
                <w:color w:val="auto"/>
                <w:w w:val="87"/>
              </w:rPr>
              <w:t>(in thousands, except shares and per share data)</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Gross written premiums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274,296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218,689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524,407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389,623</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Ceded written premiums</w:t>
            </w:r>
          </w:p>
        </w:tc>
        <w:tc>
          <w:tcPr>
            <w:tcW w:w="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(169,109)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(122,627)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(212,179)</w:t>
            </w:r>
          </w:p>
        </w:tc>
      </w:tr>
      <w:tr>
        <w:trPr>
          <w:trHeight w:val="21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Net written premiums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105,187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96,062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184,954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177,444</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(21,147)</w:t>
            </w:r>
          </w:p>
        </w:tc>
      </w:tr>
      <w:tr>
        <w:trPr>
          <w:trHeight w:val="209"/>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Net earned premiums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83,107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80,265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166,347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156,297</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5,719</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(6,014)</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Commission and other income</w:t>
            </w:r>
          </w:p>
        </w:tc>
        <w:tc>
          <w:tcPr>
            <w:tcW w:w="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r>
      <w:tr>
        <w:trPr>
          <w:trHeight w:val="209"/>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90,396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79,660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179,597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157,769</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Losses and loss adjustment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38,557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29,351</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expenses, net of ceding commissions and fronting fees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56,718</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Other underwriting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22,350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41,572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34,119</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r>
      <w:tr>
        <w:trPr>
          <w:trHeight w:val="21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Total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67,376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61,367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133,949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120,392</w:t>
            </w: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37,377</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10,774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8,251</w:t>
            </w:r>
          </w:p>
        </w:tc>
      </w:tr>
      <w:tr>
        <w:trPr>
          <w:trHeight w:val="250"/>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29,126</w:t>
            </w:r>
          </w:p>
        </w:tc>
      </w:tr>
      <w:tr>
        <w:trPr>
          <w:trHeight w:val="196"/>
        </w:trPr>
        <w:tc>
          <w:tcPr>
            <w:tcW w:w="54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Other comprehensive income (loss), net: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unrealized gains (losses) on securities available for sale</w:t>
            </w:r>
          </w:p>
        </w:tc>
        <w:tc>
          <w:tcPr>
            <w:tcW w:w="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(32,528)</w:t>
            </w:r>
          </w:p>
        </w:tc>
      </w:tr>
      <w:tr>
        <w:trPr>
          <w:trHeight w:val="209"/>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Net comprehensive income (loss)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13,877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36,663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(3,402)</w:t>
            </w:r>
          </w:p>
        </w:tc>
      </w:tr>
      <w:tr>
        <w:trPr>
          <w:trHeight w:val="20"/>
        </w:trPr>
        <w:tc>
          <w:tcPr>
            <w:tcW w:w="1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1.15</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r>
      <w:tr>
        <w:trPr>
          <w:trHeight w:val="216"/>
        </w:trPr>
        <w:tc>
          <w:tcPr>
            <w:tcW w:w="1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24,833,852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25,211,924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24,901,403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25,283,222</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25,309,526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25,746,780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25,384,409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25,817,442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4000" w:type="dxa"/>
            <w:vAlign w:val="bottom"/>
            <w:gridSpan w:val="8"/>
          </w:tcPr>
          <w:p>
            <w:pPr>
              <w:jc w:val="center"/>
              <w:ind w:left="770"/>
              <w:spacing w:after="0"/>
              <w:rPr>
                <w:sz w:val="20"/>
                <w:szCs w:val="20"/>
                <w:color w:val="auto"/>
              </w:rPr>
            </w:pPr>
            <w:r>
              <w:rPr>
                <w:rFonts w:ascii="Arial" w:cs="Arial" w:eastAsia="Arial" w:hAnsi="Arial"/>
                <w:sz w:val="18"/>
                <w:szCs w:val="18"/>
                <w:b w:val="1"/>
                <w:bCs w:val="1"/>
                <w:color w:val="auto"/>
                <w:w w:val="90"/>
              </w:rPr>
              <w:t>Palomar Holdings, Inc. and Subsidiaries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8600" w:type="dxa"/>
            <w:vAlign w:val="bottom"/>
            <w:gridSpan w:val="15"/>
          </w:tcPr>
          <w:p>
            <w:pPr>
              <w:jc w:val="center"/>
              <w:ind w:left="10"/>
              <w:spacing w:after="0"/>
              <w:rPr>
                <w:sz w:val="20"/>
                <w:szCs w:val="20"/>
                <w:color w:val="auto"/>
              </w:rPr>
            </w:pPr>
            <w:r>
              <w:rPr>
                <w:rFonts w:ascii="Arial" w:cs="Arial" w:eastAsia="Arial" w:hAnsi="Arial"/>
                <w:sz w:val="18"/>
                <w:szCs w:val="18"/>
                <w:b w:val="1"/>
                <w:bCs w:val="1"/>
                <w:color w:val="auto"/>
                <w:w w:val="89"/>
              </w:rPr>
              <w:t>Condensed Consolidated Statements of Changes in Stockholders</w:t>
            </w:r>
            <w:r>
              <w:rPr>
                <w:rFonts w:ascii="Arial" w:cs="Arial" w:eastAsia="Arial" w:hAnsi="Arial"/>
                <w:sz w:val="18"/>
                <w:szCs w:val="18"/>
                <w:color w:val="auto"/>
                <w:w w:val="89"/>
              </w:rPr>
              <w:t>’</w:t>
            </w:r>
            <w:r>
              <w:rPr>
                <w:rFonts w:ascii="Arial" w:cs="Arial" w:eastAsia="Arial" w:hAnsi="Arial"/>
                <w:sz w:val="18"/>
                <w:szCs w:val="18"/>
                <w:b w:val="1"/>
                <w:bCs w:val="1"/>
                <w:color w:val="auto"/>
                <w:w w:val="89"/>
              </w:rPr>
              <w:t xml:space="preserve"> Equity (Unaudited)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0" w:type="dxa"/>
            <w:vAlign w:val="bottom"/>
            <w:gridSpan w:val="8"/>
          </w:tcPr>
          <w:p>
            <w:pPr>
              <w:jc w:val="center"/>
              <w:ind w:left="750"/>
              <w:spacing w:after="0"/>
              <w:rPr>
                <w:sz w:val="20"/>
                <w:szCs w:val="20"/>
                <w:color w:val="auto"/>
              </w:rPr>
            </w:pPr>
            <w:r>
              <w:rPr>
                <w:rFonts w:ascii="Arial" w:cs="Arial" w:eastAsia="Arial" w:hAnsi="Arial"/>
                <w:sz w:val="18"/>
                <w:szCs w:val="18"/>
                <w:b w:val="1"/>
                <w:bCs w:val="1"/>
                <w:color w:val="auto"/>
                <w:w w:val="88"/>
              </w:rPr>
              <w:t>(in thousands, except share data)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Paid-In</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Comprehensive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Retained</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40" w:type="dxa"/>
            <w:vAlign w:val="bottom"/>
          </w:tcPr>
          <w:p>
            <w:pPr>
              <w:spacing w:after="0"/>
              <w:rPr>
                <w:sz w:val="20"/>
                <w:szCs w:val="20"/>
                <w:color w:val="auto"/>
              </w:rPr>
            </w:pPr>
          </w:p>
        </w:tc>
        <w:tc>
          <w:tcPr>
            <w:tcW w:w="13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Earnings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25,428,929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318,902</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69,952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394,169</w:t>
            </w:r>
          </w:p>
        </w:tc>
      </w:tr>
      <w:tr>
        <w:trPr>
          <w:trHeight w:val="209"/>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(32,528)</w:t>
            </w: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5,463</w:t>
            </w:r>
          </w:p>
        </w:tc>
      </w:tr>
      <w:tr>
        <w:trPr>
          <w:trHeight w:val="202"/>
        </w:trPr>
        <w:tc>
          <w:tcPr>
            <w:tcW w:w="32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Issuance of common stock via employee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3200" w:type="dxa"/>
            <w:vAlign w:val="bottom"/>
            <w:gridSpan w:val="2"/>
          </w:tcPr>
          <w:p>
            <w:pPr>
              <w:ind w:left="340"/>
              <w:spacing w:after="0"/>
              <w:rPr>
                <w:sz w:val="20"/>
                <w:szCs w:val="20"/>
                <w:color w:val="auto"/>
              </w:rPr>
            </w:pPr>
            <w:r>
              <w:rPr>
                <w:rFonts w:ascii="Arial" w:cs="Arial" w:eastAsia="Arial" w:hAnsi="Arial"/>
                <w:sz w:val="18"/>
                <w:szCs w:val="18"/>
                <w:color w:val="auto"/>
              </w:rPr>
              <w:t>stock purchase plan</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333</w:t>
            </w:r>
          </w:p>
        </w:tc>
      </w:tr>
      <w:tr>
        <w:trPr>
          <w:trHeight w:val="202"/>
        </w:trPr>
        <w:tc>
          <w:tcPr>
            <w:tcW w:w="32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via equity</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3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incentive plan</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132,137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1,775</w:t>
            </w:r>
          </w:p>
        </w:tc>
      </w:tr>
      <w:tr>
        <w:trPr>
          <w:trHeight w:val="21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Repurchases of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(347,013)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(20,273)</w:t>
            </w:r>
          </w:p>
        </w:tc>
      </w:tr>
      <w:tr>
        <w:trPr>
          <w:trHeight w:val="216"/>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29,126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29,126</w:t>
            </w:r>
          </w:p>
        </w:tc>
      </w:tr>
      <w:tr>
        <w:trPr>
          <w:trHeight w:val="209"/>
        </w:trPr>
        <w:tc>
          <w:tcPr>
            <w:tcW w:w="3200" w:type="dxa"/>
            <w:vAlign w:val="bottom"/>
            <w:gridSpan w:val="2"/>
          </w:tcPr>
          <w:p>
            <w:pPr>
              <w:spacing w:after="0"/>
              <w:rPr>
                <w:sz w:val="20"/>
                <w:szCs w:val="20"/>
                <w:color w:val="auto"/>
              </w:rPr>
            </w:pPr>
            <w:r>
              <w:rPr>
                <w:rFonts w:ascii="Arial" w:cs="Arial" w:eastAsia="Arial" w:hAnsi="Arial"/>
                <w:sz w:val="18"/>
                <w:szCs w:val="18"/>
                <w:color w:val="auto"/>
              </w:rPr>
              <w:t>Balance at June 30, 2022</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25,220,131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326,473</w:t>
            </w:r>
          </w:p>
        </w:tc>
        <w:tc>
          <w:tcPr>
            <w:tcW w:w="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78,805</w:t>
            </w:r>
          </w:p>
        </w:tc>
        <w:tc>
          <w:tcPr>
            <w:tcW w:w="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378,065</w:t>
            </w: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Balance at December 31, 2022</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25,027,467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333,558</w:t>
            </w:r>
          </w:p>
        </w:tc>
        <w:tc>
          <w:tcPr>
            <w:tcW w:w="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87,708</w:t>
            </w:r>
          </w:p>
        </w:tc>
        <w:tc>
          <w:tcPr>
            <w:tcW w:w="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384,754</w:t>
            </w:r>
          </w:p>
        </w:tc>
      </w:tr>
      <w:tr>
        <w:trPr>
          <w:trHeight w:val="20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Other comprehensive income, net of tax</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1,789</w:t>
            </w:r>
          </w:p>
        </w:tc>
      </w:tr>
      <w:tr>
        <w:trPr>
          <w:trHeight w:val="21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7,147</w:t>
            </w:r>
          </w:p>
        </w:tc>
      </w:tr>
      <w:tr>
        <w:trPr>
          <w:trHeight w:val="202"/>
        </w:trPr>
        <w:tc>
          <w:tcPr>
            <w:tcW w:w="32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Issuance of common stock via employee</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3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purchase plan</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r>
      <w:tr>
        <w:trPr>
          <w:trHeight w:val="202"/>
        </w:trPr>
        <w:tc>
          <w:tcPr>
            <w:tcW w:w="32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Issuance of common stock via equity</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3200" w:type="dxa"/>
            <w:vAlign w:val="bottom"/>
            <w:gridSpan w:val="2"/>
          </w:tcPr>
          <w:p>
            <w:pPr>
              <w:ind w:left="340"/>
              <w:spacing w:after="0"/>
              <w:rPr>
                <w:sz w:val="20"/>
                <w:szCs w:val="20"/>
                <w:color w:val="auto"/>
              </w:rPr>
            </w:pPr>
            <w:r>
              <w:rPr>
                <w:rFonts w:ascii="Arial" w:cs="Arial" w:eastAsia="Arial" w:hAnsi="Arial"/>
                <w:sz w:val="18"/>
                <w:szCs w:val="18"/>
                <w:color w:val="auto"/>
              </w:rPr>
              <w:t>incentive plan</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314</w:t>
            </w: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r>
      <w:tr>
        <w:trPr>
          <w:trHeight w:val="21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34,874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34,874</w:t>
            </w:r>
          </w:p>
        </w:tc>
      </w:tr>
      <w:tr>
        <w:trPr>
          <w:trHeight w:val="250"/>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24,794,269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341,413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413,708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5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30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Palomar Holdings, Inc. and Subsidiaries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70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30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09"/>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580" w:type="dxa"/>
            <w:vAlign w:val="bottom"/>
            <w:gridSpan w:val="2"/>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23,203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82,799</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costs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Purchases of fixed maturity securities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(120,203)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(203,616)</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equity securities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Sales and maturities of fixed maturity securities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76,655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115,314</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securities receivable or payable, net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7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(101,497)</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line of credit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23,000</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Proceeds from common stock issued via employee stock purchase plan</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333</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common stock issued via stock option exercises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1,775</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(20,273)</w:t>
            </w:r>
          </w:p>
        </w:tc>
      </w:tr>
      <w:tr>
        <w:trPr>
          <w:trHeight w:val="209"/>
        </w:trPr>
        <w:tc>
          <w:tcPr>
            <w:tcW w:w="7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20,144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4,835</w:t>
            </w:r>
          </w:p>
        </w:tc>
      </w:tr>
      <w:tr>
        <w:trPr>
          <w:trHeight w:val="210"/>
        </w:trPr>
        <w:tc>
          <w:tcPr>
            <w:tcW w:w="7580" w:type="dxa"/>
            <w:vAlign w:val="bottom"/>
            <w:gridSpan w:val="2"/>
          </w:tcPr>
          <w:p>
            <w:pPr>
              <w:ind w:left="1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(13,863)</w:t>
            </w:r>
          </w:p>
        </w:tc>
      </w:tr>
      <w:tr>
        <w:trPr>
          <w:trHeight w:val="216"/>
        </w:trPr>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68,164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50,371</w:t>
            </w:r>
          </w:p>
        </w:tc>
      </w:tr>
      <w:tr>
        <w:trPr>
          <w:trHeight w:val="210"/>
        </w:trPr>
        <w:tc>
          <w:tcPr>
            <w:tcW w:w="75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58,604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36,508</w:t>
            </w:r>
          </w:p>
        </w:tc>
      </w:tr>
      <w:tr>
        <w:trPr>
          <w:trHeight w:val="20"/>
        </w:trPr>
        <w:tc>
          <w:tcPr>
            <w:tcW w:w="12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Supplementary cash flow information:</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Cash paid for income taxes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15,652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13,085</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our cash and cash equivalents and restricted cash and cash equivalents within the condensed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10"/>
        </w:trPr>
        <w:tc>
          <w:tcPr>
            <w:tcW w:w="5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68,108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Restricted cash</w:t>
            </w:r>
          </w:p>
        </w:tc>
        <w:tc>
          <w:tcPr>
            <w:tcW w:w="2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r>
      <w:tr>
        <w:trPr>
          <w:trHeight w:val="250"/>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w:t>
            </w:r>
          </w:p>
        </w:tc>
        <w:tc>
          <w:tcPr>
            <w:tcW w:w="2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68,164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Palomar Holdings, Inc. and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ind w:right="71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Operations and Basis of Presentation Summary of Operations</w:t>
      </w:r>
    </w:p>
    <w:p>
      <w:pPr>
        <w:ind w:right="100" w:firstLine="648"/>
        <w:spacing w:after="0" w:line="257" w:lineRule="auto"/>
        <w:rPr>
          <w:sz w:val="20"/>
          <w:szCs w:val="20"/>
          <w:color w:val="auto"/>
        </w:rPr>
      </w:pPr>
      <w:r>
        <w:rPr>
          <w:rFonts w:ascii="Arial" w:cs="Arial" w:eastAsia="Arial" w:hAnsi="Arial"/>
          <w:sz w:val="18"/>
          <w:szCs w:val="18"/>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and a California domiciled property and casualty insurance agency, Palomar Insurance Agency, DBA Palomar General Insurance Agency (“PGIA”).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for interim financial information and include the accounts of the Company and its wholly</w:t>
      </w:r>
      <w:r>
        <w:rPr>
          <w:rFonts w:ascii="MS PGothic" w:cs="MS PGothic" w:eastAsia="MS PGothic" w:hAnsi="MS PGothic"/>
          <w:sz w:val="17"/>
          <w:szCs w:val="17"/>
          <w:color w:val="auto"/>
        </w:rPr>
        <w:t>‑</w:t>
      </w:r>
      <w:r>
        <w:rPr>
          <w:rFonts w:ascii="Arial" w:cs="Arial" w:eastAsia="Arial" w:hAnsi="Arial"/>
          <w:sz w:val="17"/>
          <w:szCs w:val="17"/>
          <w:color w:val="auto"/>
        </w:rPr>
        <w:t>owned subsidiaries. These condensed consolidated financial statements do not contain all information and footnotes required by U.S.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2022, filed with the SEC on March 1, 2023 (the “2022 Annual Report on Form 10-K”).</w:t>
      </w:r>
    </w:p>
    <w:p>
      <w:pPr>
        <w:spacing w:after="0" w:line="202"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adopted any new accounting guidance during the six months ended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not currently any recent accounting pronouncements or pending accounting guidance that have significance, or potential significance, to the Company’s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Company’s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investments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Allowance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for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30"/>
              <w:spacing w:after="0"/>
              <w:rPr>
                <w:sz w:val="20"/>
                <w:szCs w:val="20"/>
                <w:color w:val="auto"/>
              </w:rPr>
            </w:pPr>
            <w:r>
              <w:rPr>
                <w:rFonts w:ascii="Arial" w:cs="Arial" w:eastAsia="Arial" w:hAnsi="Arial"/>
                <w:sz w:val="18"/>
                <w:szCs w:val="18"/>
                <w:b w:val="1"/>
                <w:bCs w:val="1"/>
                <w:color w:val="auto"/>
              </w:rPr>
              <w:t>Fair</w:t>
            </w: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6"/>
              </w:rPr>
              <w:t>Cost or 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U.S. Governments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45,975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43,797</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 territories, and possessions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5,443</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Political subdivisions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3,957</w:t>
            </w:r>
          </w:p>
        </w:tc>
      </w:tr>
      <w:tr>
        <w:trPr>
          <w:trHeight w:val="202"/>
        </w:trPr>
        <w:tc>
          <w:tcPr>
            <w:tcW w:w="4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Special revenue excluding mortgage/asset-backed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32,073</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277,701</w:t>
            </w:r>
          </w:p>
        </w:tc>
      </w:tr>
      <w:tr>
        <w:trPr>
          <w:trHeight w:val="216"/>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Mortgage/asset-backed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211,019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197,150</w:t>
            </w: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605,040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(44,808)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560,121</w:t>
            </w: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94"/>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Allowance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for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30"/>
              <w:spacing w:after="0"/>
              <w:rPr>
                <w:sz w:val="20"/>
                <w:szCs w:val="20"/>
                <w:color w:val="auto"/>
              </w:rPr>
            </w:pPr>
            <w:r>
              <w:rPr>
                <w:rFonts w:ascii="Arial" w:cs="Arial" w:eastAsia="Arial" w:hAnsi="Arial"/>
                <w:sz w:val="18"/>
                <w:szCs w:val="18"/>
                <w:b w:val="1"/>
                <w:bCs w:val="1"/>
                <w:color w:val="auto"/>
              </w:rPr>
              <w:t>Fair</w:t>
            </w: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6"/>
              </w:rPr>
              <w:t>Cost or 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U.S. Governments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50,802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48,551</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 territories, and possessions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5,354</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Political subdivisions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4,298</w:t>
            </w:r>
          </w:p>
        </w:tc>
      </w:tr>
      <w:tr>
        <w:trPr>
          <w:trHeight w:val="202"/>
        </w:trPr>
        <w:tc>
          <w:tcPr>
            <w:tcW w:w="4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Special revenue excluding mortgage/asset-backed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32,799</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278,164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254,095</w:t>
            </w:r>
          </w:p>
        </w:tc>
      </w:tr>
      <w:tr>
        <w:trPr>
          <w:trHeight w:val="216"/>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Mortgage/asset-backed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184,578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169,967</w:t>
            </w: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561,580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515,064</w:t>
            </w: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holdings in an unrealized loss position</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As of June 30, 2023, the Company held 551 fixed maturity securities in an unrealized loss position with a total estimated fair value</w:t>
      </w:r>
    </w:p>
    <w:p>
      <w:pPr>
        <w:spacing w:after="0" w:line="23" w:lineRule="exact"/>
        <w:rPr>
          <w:sz w:val="20"/>
          <w:szCs w:val="20"/>
          <w:color w:val="auto"/>
        </w:rPr>
      </w:pPr>
    </w:p>
    <w:p>
      <w:pPr>
        <w:ind w:right="560"/>
        <w:spacing w:after="0" w:line="290" w:lineRule="auto"/>
        <w:rPr>
          <w:sz w:val="20"/>
          <w:szCs w:val="20"/>
          <w:color w:val="auto"/>
        </w:rPr>
      </w:pPr>
      <w:r>
        <w:rPr>
          <w:rFonts w:ascii="Arial" w:cs="Arial" w:eastAsia="Arial" w:hAnsi="Arial"/>
          <w:sz w:val="17"/>
          <w:szCs w:val="17"/>
          <w:color w:val="auto"/>
        </w:rPr>
        <w:t>of $508.5 million and total gross unrealized losses of $44.8 million. As of December 31, 2022, the Company held 543 fixed maturity securities in an unrealized loss position with a total estimated fair value of $484.7 million and total gross unrealized losses of $46.9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aggregate fair value and gross unrealized losses of the Company’s investments aggregated by investment category and the length of time these individual securities have been in a continuous unrealized loss position as of June 30, 2023 and December 31, 2022,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230"/>
              <w:spacing w:after="0"/>
              <w:rPr>
                <w:sz w:val="20"/>
                <w:szCs w:val="20"/>
                <w:color w:val="auto"/>
              </w:rPr>
            </w:pPr>
            <w:r>
              <w:rPr>
                <w:rFonts w:ascii="Arial" w:cs="Arial" w:eastAsia="Arial" w:hAnsi="Arial"/>
                <w:sz w:val="18"/>
                <w:szCs w:val="18"/>
                <w:b w:val="1"/>
                <w:bCs w:val="1"/>
                <w:color w:val="auto"/>
                <w:w w:val="92"/>
              </w:rPr>
              <w:t>More Than 12 Months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2"/>
              </w:rPr>
              <w:t>Unrealized</w:t>
            </w: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U.S. Governments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11,832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31,166</w:t>
            </w:r>
          </w:p>
        </w:tc>
        <w:tc>
          <w:tcPr>
            <w:tcW w:w="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42,998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(2,178)</w:t>
            </w:r>
          </w:p>
        </w:tc>
      </w:tr>
      <w:tr>
        <w:trPr>
          <w:trHeight w:val="216"/>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States, territories, and possessions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16"/>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Political subdivisions</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02"/>
        </w:trPr>
        <w:tc>
          <w:tcPr>
            <w:tcW w:w="3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Special revenue excluding</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3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mortgage/asset-backed securities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27,438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r>
      <w:tr>
        <w:trPr>
          <w:trHeight w:val="216"/>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169,532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(23,790)</w:t>
            </w:r>
          </w:p>
        </w:tc>
      </w:tr>
      <w:tr>
        <w:trPr>
          <w:trHeight w:val="216"/>
        </w:trPr>
        <w:tc>
          <w:tcPr>
            <w:tcW w:w="3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Mortgage/asset-backed securities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75,525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94,616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170,141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(14,120)</w:t>
            </w: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180,176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328,315</w:t>
            </w:r>
          </w:p>
        </w:tc>
        <w:tc>
          <w:tcPr>
            <w:tcW w:w="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(38,306)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508,491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(44,808)</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230"/>
              <w:spacing w:after="0"/>
              <w:rPr>
                <w:sz w:val="20"/>
                <w:szCs w:val="20"/>
                <w:color w:val="auto"/>
              </w:rPr>
            </w:pPr>
            <w:r>
              <w:rPr>
                <w:rFonts w:ascii="Arial" w:cs="Arial" w:eastAsia="Arial" w:hAnsi="Arial"/>
                <w:sz w:val="18"/>
                <w:szCs w:val="18"/>
                <w:b w:val="1"/>
                <w:bCs w:val="1"/>
                <w:color w:val="auto"/>
                <w:w w:val="92"/>
              </w:rPr>
              <w:t>More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spacing w:after="0"/>
              <w:rPr>
                <w:sz w:val="24"/>
                <w:szCs w:val="24"/>
                <w:color w:val="auto"/>
              </w:rPr>
            </w:pPr>
          </w:p>
        </w:tc>
      </w:tr>
      <w:tr>
        <w:trPr>
          <w:trHeight w:val="191"/>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2"/>
              </w:rPr>
              <w:t>Unrealized</w:t>
            </w: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U.S. Governments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41,077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6,853</w:t>
            </w:r>
          </w:p>
        </w:tc>
        <w:tc>
          <w:tcPr>
            <w:tcW w:w="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47,930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(2,253)</w:t>
            </w:r>
          </w:p>
        </w:tc>
      </w:tr>
      <w:tr>
        <w:trPr>
          <w:trHeight w:val="216"/>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States, territories, and possessions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Political subdivisions</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02"/>
        </w:trPr>
        <w:tc>
          <w:tcPr>
            <w:tcW w:w="3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Special revenue excluding</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3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mortgage/asset-backed securities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25,091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r>
      <w:tr>
        <w:trPr>
          <w:trHeight w:val="216"/>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192,185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55,605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247,790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(24,148)</w:t>
            </w:r>
          </w:p>
        </w:tc>
      </w:tr>
      <w:tr>
        <w:trPr>
          <w:trHeight w:val="216"/>
        </w:trPr>
        <w:tc>
          <w:tcPr>
            <w:tcW w:w="3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Mortgage/asset-backed securities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118,815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32,448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151,263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(14,862)</w:t>
            </w: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384,693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(31,558)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99,986</w:t>
            </w:r>
          </w:p>
        </w:tc>
        <w:tc>
          <w:tcPr>
            <w:tcW w:w="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(15,365)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484,679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(46,923)</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reviews all securities with unrealized losses on a quarterly basis to assess whether the decline in the securities fair value necessitates the recognition of an allowance for credit losses. The Company considers numerous factors in its review as described in Footnote 1 of the Notes to the Consolidated Financial Statements in the 2022 Annual Report on Form 10-K.</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has recorded an allowance for credit losses for two investment securities. Based on the Company’s review as of June 30, 2023, for the remainder of securities,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Contractual maturities of available</w:t>
      </w:r>
      <w:r>
        <w:rPr>
          <w:rFonts w:ascii="MS PGothic" w:cs="MS PGothic" w:eastAsia="MS PGothic" w:hAnsi="MS PGothic"/>
          <w:sz w:val="18"/>
          <w:szCs w:val="18"/>
          <w:color w:val="auto"/>
        </w:rPr>
        <w:t>‑</w:t>
      </w:r>
      <w:r>
        <w:rPr>
          <w:rFonts w:ascii="Arial" w:cs="Arial" w:eastAsia="Arial" w:hAnsi="Arial"/>
          <w:sz w:val="18"/>
          <w:szCs w:val="18"/>
          <w:i w:val="1"/>
          <w:iCs w:val="1"/>
          <w:color w:val="auto"/>
        </w:rPr>
        <w:t>for</w:t>
      </w:r>
      <w:r>
        <w:rPr>
          <w:rFonts w:ascii="MS PGothic" w:cs="MS PGothic" w:eastAsia="MS PGothic" w:hAnsi="MS PGothic"/>
          <w:sz w:val="18"/>
          <w:szCs w:val="18"/>
          <w:color w:val="auto"/>
        </w:rPr>
        <w:t>‑</w:t>
      </w:r>
      <w:r>
        <w:rPr>
          <w:rFonts w:ascii="Arial" w:cs="Arial" w:eastAsia="Arial" w:hAnsi="Arial"/>
          <w:sz w:val="18"/>
          <w:szCs w:val="18"/>
          <w:i w:val="1"/>
          <w:iCs w:val="1"/>
          <w:color w:val="auto"/>
        </w:rPr>
        <w:t>sale fixed maturity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fair value of fixed maturity securities at June 30, 2023, by contractual maturity,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590"/>
              <w:spacing w:after="0"/>
              <w:rPr>
                <w:sz w:val="20"/>
                <w:szCs w:val="20"/>
                <w:color w:val="auto"/>
              </w:rPr>
            </w:pPr>
            <w:r>
              <w:rPr>
                <w:rFonts w:ascii="Arial" w:cs="Arial" w:eastAsia="Arial" w:hAnsi="Arial"/>
                <w:sz w:val="18"/>
                <w:szCs w:val="18"/>
                <w:b w:val="1"/>
                <w:bCs w:val="1"/>
                <w:color w:val="auto"/>
              </w:rPr>
              <w:t>Fair</w:t>
            </w:r>
          </w:p>
        </w:tc>
      </w:tr>
      <w:tr>
        <w:trPr>
          <w:trHeight w:val="234"/>
        </w:trPr>
        <w:tc>
          <w:tcPr>
            <w:tcW w:w="7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5"/>
              </w:rPr>
              <w:t>Value</w:t>
            </w:r>
          </w:p>
        </w:tc>
      </w:tr>
      <w:tr>
        <w:trPr>
          <w:trHeight w:val="210"/>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45,887</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44,464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167,430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156,746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144,598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130,308</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Due after ten years</w:t>
            </w: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36,106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31,453</w:t>
            </w: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and asset-backed securities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211,019</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197,150</w:t>
            </w:r>
          </w:p>
        </w:tc>
      </w:tr>
      <w:tr>
        <w:trPr>
          <w:trHeight w:val="209"/>
        </w:trPr>
        <w:tc>
          <w:tcPr>
            <w:tcW w:w="79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605,040</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560,121</w:t>
            </w:r>
          </w:p>
        </w:tc>
      </w:tr>
      <w:tr>
        <w:trPr>
          <w:trHeight w:val="20"/>
        </w:trPr>
        <w:tc>
          <w:tcPr>
            <w:tcW w:w="7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maturities may differ from contractual maturities because borrowers may have the right to call or prepay obligations.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i w:val="1"/>
                <w:iCs w:val="1"/>
                <w:color w:val="auto"/>
              </w:rPr>
              <w:t>Net investment income summary</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5960" w:type="dxa"/>
            <w:vAlign w:val="bottom"/>
          </w:tcPr>
          <w:p>
            <w:pPr>
              <w:ind w:left="660"/>
              <w:spacing w:after="0"/>
              <w:rPr>
                <w:sz w:val="20"/>
                <w:szCs w:val="20"/>
                <w:color w:val="auto"/>
              </w:rPr>
            </w:pPr>
            <w:r>
              <w:rPr>
                <w:rFonts w:ascii="Arial" w:cs="Arial" w:eastAsia="Arial" w:hAnsi="Arial"/>
                <w:sz w:val="18"/>
                <w:szCs w:val="18"/>
                <w:color w:val="auto"/>
              </w:rPr>
              <w:t>Net investment income is summarized as follows: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4"/>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09"/>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5,456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Dividend income</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340</w:t>
            </w: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expense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5,541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3,140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10,661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5,719</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and unrealized investment gains and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realized and unrealized investment gains and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10"/>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Gains on sales of fixed maturity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Gains on sales of equity securities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realized gains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Losses on sales of fixed maturity securities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Losses on sales of equity securities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realized losses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investment gains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Change in allowance for credit losses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(losses) on equity securities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1,127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(6,014)</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Realized gains and losses on disposition of investments are based on specific identification of the investments sold on the settlement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Proceeds from the sale of fixed maturity securities were $1.9 million and $1.0 million for the three months ended June 30, 2023 and 2022, respectively.</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Proceeds from the sale of fixed maturity securities were $7.1 million and $5.8 million for the six months ended June 30, 2023 and 2022, respectively.</w:t>
      </w:r>
    </w:p>
    <w:p>
      <w:pPr>
        <w:spacing w:after="0" w:line="170"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The Company places securities on statutory deposit with certain state agencies to retain the right to do business in those states. These securities are included in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investments on the balance sheet. As of June 30, 2023 and December 31, 2022, the carrying value of securities on deposit with state regulatory authorities was $8.6 million and $8.5 million, respectively.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Fair value is defined as the price that the Company would receive upon selling an investment in an orderly transaction to an independent buyer in the principal or most advantageous market of the investment.</w:t>
      </w:r>
    </w:p>
    <w:p>
      <w:pPr>
        <w:spacing w:after="0" w:line="170"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three</w:t>
      </w:r>
      <w:r>
        <w:rPr>
          <w:rFonts w:ascii="MS PGothic" w:cs="MS PGothic" w:eastAsia="MS PGothic" w:hAnsi="MS PGothic"/>
          <w:sz w:val="18"/>
          <w:szCs w:val="18"/>
          <w:color w:val="auto"/>
        </w:rPr>
        <w:t>‑</w:t>
      </w:r>
      <w:r>
        <w:rPr>
          <w:rFonts w:ascii="Arial" w:cs="Arial" w:eastAsia="Arial" w:hAnsi="Arial"/>
          <w:sz w:val="18"/>
          <w:szCs w:val="18"/>
          <w:color w:val="auto"/>
        </w:rPr>
        <w:t>tier hierarchy of inputs is summarized in the three broad levels listed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1—Unadjusted quoted prices are available in active markets for identical investments as of the reporting date.</w:t>
      </w:r>
    </w:p>
    <w:p>
      <w:pPr>
        <w:spacing w:after="0" w:line="225"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24"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Level 3—Pricing inputs into models are unobservable for the investment. The unobservable inputs require significant management judgment or estimation.</w:t>
      </w:r>
    </w:p>
    <w:p>
      <w:pPr>
        <w:spacing w:after="0" w:line="17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84"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tables present the hierarchy for financial assets and liabilities measured at fair value on a recurring basis as of June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58"/>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Fixed maturity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43,797</w:t>
            </w:r>
          </w:p>
        </w:tc>
        <w:tc>
          <w:tcPr>
            <w:tcW w:w="1000" w:type="dxa"/>
            <w:vAlign w:val="bottom"/>
            <w:gridSpan w:val="2"/>
            <w:shd w:val="clear" w:color="auto" w:fill="CCEEFF"/>
          </w:tcPr>
          <w:p>
            <w:pPr>
              <w:jc w:val="right"/>
              <w:ind w:right="71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43,797</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States, territories, and possessions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5,443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5,443</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Political subdivisions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3,957</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Special revenue excluding mortgage/asset-backed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32,073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32,073</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277,701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277,701</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Mortgage/asset-backed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197,150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197,150</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41,428</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58,604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58,604</w:t>
            </w:r>
          </w:p>
        </w:tc>
      </w:tr>
      <w:tr>
        <w:trPr>
          <w:trHeight w:val="25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560,121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660,153</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58"/>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Fixed maturity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48,551</w:t>
            </w:r>
          </w:p>
        </w:tc>
        <w:tc>
          <w:tcPr>
            <w:tcW w:w="1000" w:type="dxa"/>
            <w:vAlign w:val="bottom"/>
            <w:gridSpan w:val="2"/>
            <w:shd w:val="clear" w:color="auto" w:fill="CCEEFF"/>
          </w:tcPr>
          <w:p>
            <w:pPr>
              <w:jc w:val="right"/>
              <w:ind w:right="71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48,551</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States, territories, and possessions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5,354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5,354</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Political subdivisions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4,298</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Special revenue excluding mortgage/asset-backed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32,799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32,799</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254,095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254,095</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Mortgage/asset-backed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169,967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169,967</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38,576</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68,164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68,164</w:t>
            </w:r>
          </w:p>
        </w:tc>
      </w:tr>
      <w:tr>
        <w:trPr>
          <w:trHeight w:val="24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515,064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621,804</w:t>
            </w:r>
          </w:p>
        </w:tc>
      </w:tr>
    </w:tbl>
    <w:p>
      <w:pPr>
        <w:spacing w:after="0" w:line="202"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w:t>
      </w:r>
      <w:r>
        <w:rPr>
          <w:rFonts w:ascii="MS PGothic" w:cs="MS PGothic" w:eastAsia="MS PGothic" w:hAnsi="MS PGothic"/>
          <w:sz w:val="18"/>
          <w:szCs w:val="18"/>
          <w:color w:val="auto"/>
        </w:rPr>
        <w:t>‑</w:t>
      </w:r>
      <w:r>
        <w:rPr>
          <w:rFonts w:ascii="Arial" w:cs="Arial" w:eastAsia="Arial" w:hAnsi="Arial"/>
          <w:sz w:val="18"/>
          <w:szCs w:val="18"/>
          <w:color w:val="auto"/>
        </w:rPr>
        <w:t>maturity. The carrying amount of the Company’s borrowings under the Federal Home Loan Bank (“FHLB”) line of credit and U.S. Bank credit agreement (the “Credit Agreement”) approximate fair value as the Company is currently borrowing at a variable rate which frequently reprices at market rates.</w:t>
      </w:r>
    </w:p>
    <w:p>
      <w:pPr>
        <w:spacing w:after="0" w:line="20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Transfers between Level 3 and Level 2 securities result from changes in the availability of observable market inputs and are recorded at the beginning of the reporting period. As of June 30, 2023 and December 31, 2022, the Company had no fixed income securities classified as Level 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Reserve for Losses and Loss Adjustment Expenses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represents a reconciliation of changes in the ending reserve balances for losses and loss adjustment expenses (“LAE”):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5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02"/>
        </w:trPr>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Reserve for losses and LAE net of reinsurance recoverables at beginning of</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77,520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45,419</w:t>
            </w: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Add: Incurred losses and LAE, net of reinsurance, related to:</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year</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27,799</w:t>
            </w:r>
          </w:p>
        </w:tc>
        <w:tc>
          <w:tcPr>
            <w:tcW w:w="0" w:type="dxa"/>
            <w:vAlign w:val="bottom"/>
          </w:tcPr>
          <w:p>
            <w:pPr>
              <w:spacing w:after="0"/>
              <w:rPr>
                <w:sz w:val="1"/>
                <w:szCs w:val="1"/>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Prior years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incurred</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29,351</w:t>
            </w: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Deduct: Loss and LAE payments, net of reinsurance, related to:</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year</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Prior years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11,795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27,208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13,112</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payments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19,001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w w:val="97"/>
              </w:rPr>
              <w:t>Reserve for losses and LAE net of reinsurance recoverables at end of period</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81,300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81,300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55,769</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Add: Reinsurance recoverables on unpaid losses and LAE at end of period</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216,783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107,898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216,783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107,898</w:t>
            </w:r>
          </w:p>
        </w:tc>
        <w:tc>
          <w:tcPr>
            <w:tcW w:w="0" w:type="dxa"/>
            <w:vAlign w:val="bottom"/>
          </w:tcPr>
          <w:p>
            <w:pPr>
              <w:spacing w:after="0"/>
              <w:rPr>
                <w:sz w:val="1"/>
                <w:szCs w:val="1"/>
                <w:color w:val="auto"/>
              </w:rPr>
            </w:pPr>
          </w:p>
        </w:tc>
      </w:tr>
      <w:tr>
        <w:trPr>
          <w:trHeight w:val="195"/>
        </w:trPr>
        <w:tc>
          <w:tcPr>
            <w:tcW w:w="5960" w:type="dxa"/>
            <w:vAlign w:val="bottom"/>
          </w:tcPr>
          <w:p>
            <w:pPr>
              <w:spacing w:after="0" w:line="195" w:lineRule="exact"/>
              <w:rPr>
                <w:sz w:val="20"/>
                <w:szCs w:val="20"/>
                <w:color w:val="auto"/>
              </w:rPr>
            </w:pPr>
            <w:r>
              <w:rPr>
                <w:rFonts w:ascii="Arial" w:cs="Arial" w:eastAsia="Arial" w:hAnsi="Arial"/>
                <w:sz w:val="18"/>
                <w:szCs w:val="18"/>
                <w:color w:val="auto"/>
                <w:w w:val="92"/>
              </w:rPr>
              <w:t>Reserve for losses and LAE gross of reinsurance recoverables on unpaid losses</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298,083</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163,667</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298,083</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163,667</w:t>
            </w:r>
          </w:p>
        </w:tc>
        <w:tc>
          <w:tcPr>
            <w:tcW w:w="0" w:type="dxa"/>
            <w:vAlign w:val="bottom"/>
          </w:tcPr>
          <w:p>
            <w:pPr>
              <w:spacing w:after="0"/>
              <w:rPr>
                <w:sz w:val="1"/>
                <w:szCs w:val="1"/>
                <w:color w:val="auto"/>
              </w:rPr>
            </w:pPr>
          </w:p>
        </w:tc>
      </w:tr>
      <w:tr>
        <w:trPr>
          <w:trHeight w:val="190"/>
        </w:trPr>
        <w:tc>
          <w:tcPr>
            <w:tcW w:w="5960" w:type="dxa"/>
            <w:vAlign w:val="bottom"/>
          </w:tcPr>
          <w:p>
            <w:pPr>
              <w:ind w:left="180"/>
              <w:spacing w:after="0" w:line="190" w:lineRule="exact"/>
              <w:rPr>
                <w:sz w:val="20"/>
                <w:szCs w:val="20"/>
                <w:color w:val="auto"/>
              </w:rPr>
            </w:pPr>
            <w:r>
              <w:rPr>
                <w:rFonts w:ascii="Arial" w:cs="Arial" w:eastAsia="Arial" w:hAnsi="Arial"/>
                <w:sz w:val="18"/>
                <w:szCs w:val="18"/>
                <w:color w:val="auto"/>
              </w:rPr>
              <w:t>and LAE at end of period</w:t>
            </w: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experienced favorable prior year development of $0.6 million and insignificant adverse prior year development during the three months June 30, 2023 and 2022, respectively.</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Company experienced adverse prior year development of $2.7 million and adverse prior year development of $1.6 million during the six months June 30, 2023 and 2022, respectively.</w:t>
      </w:r>
    </w:p>
    <w:p>
      <w:pPr>
        <w:spacing w:after="0" w:line="17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Favorable prior year development during the three months ended June 30, 2023 was primarily due to lower than anticipated severity of catastrophe losses, offset by higher than anticipated severity of attritional losses. Adverse prior year development during the three months ended June 30, 2022 was primarily due to higher than anticipated severity of catastrophe losses from prior years offset by favorable development on attritional losses.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Adverse prior year development during the six months ended June 30, 2023 was primarily due to higher than anticipated severity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attritional losses, offset by lower than anticipated severity of catastrophe losses. Adverse prior year development during the three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2022 was primarily due to higher than anticipated severity of attritional and catastrophe losses from prior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Common stock reserved for future issuance consists of the following as of June 30,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Performance stock units outstanding under 2019 Equity Incentive Plan, at target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future issuance under 2019 Equity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future issuance under 2019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857,569</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363,242</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426,931</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3,132,062</w:t>
      </w:r>
    </w:p>
    <w:p>
      <w:pPr>
        <w:spacing w:after="0" w:line="3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1,140,126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5,919,930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29210</wp:posOffset>
            </wp:positionV>
            <wp:extent cx="9944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46355</wp:posOffset>
            </wp:positionV>
            <wp:extent cx="9944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ectPr>
          <w:pgSz w:w="11900" w:h="16838" w:orient="portrait"/>
          <w:cols w:equalWidth="0" w:num="2">
            <w:col w:w="9680" w:space="720"/>
            <w:col w:w="8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summarizes the Company’s stock-based compensation expense for each period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8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10"/>
        </w:trPr>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5,463</w:t>
            </w:r>
          </w:p>
        </w:tc>
      </w:tr>
    </w:tbl>
    <w:p>
      <w:pPr>
        <w:spacing w:after="0" w:line="20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Equity Incentive Plan</w:t>
      </w:r>
    </w:p>
    <w:p>
      <w:pPr>
        <w:spacing w:after="0" w:line="225"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4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Recipients of stock options can purchase shares of the Company’s common stock at a price equal to the stock's fair market value on the grant date, determined by the closing price of the Company's common stock on the grant date. Stock options vest over a two to four-year period with a portion vesting on the first anniversary of the grant date and the remainder vesting monthly over the remaining period, subject to continued service. Stock options expire ten years after the grant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transactions for the six months ended June 30,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Options 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Options 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Options canceled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June 30, 2023</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Vested and Exercisable at June 30, 2023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remaining</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contractual</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w w:val="93"/>
              </w:rPr>
              <w:t>average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term (in</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234"/>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(in thousands)</w:t>
            </w:r>
          </w:p>
        </w:tc>
        <w:tc>
          <w:tcPr>
            <w:tcW w:w="0" w:type="dxa"/>
            <w:vAlign w:val="bottom"/>
          </w:tcPr>
          <w:p>
            <w:pPr>
              <w:spacing w:after="0"/>
              <w:rPr>
                <w:sz w:val="1"/>
                <w:szCs w:val="1"/>
                <w:color w:val="auto"/>
              </w:rPr>
            </w:pPr>
          </w:p>
        </w:tc>
      </w:tr>
      <w:tr>
        <w:trPr>
          <w:trHeight w:val="195"/>
        </w:trPr>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882,892</w:t>
            </w:r>
          </w:p>
        </w:tc>
        <w:tc>
          <w:tcPr>
            <w:tcW w:w="12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7"/>
              </w:rPr>
              <w:t>33.85</w:t>
            </w:r>
          </w:p>
        </w:tc>
        <w:tc>
          <w:tcPr>
            <w:tcW w:w="100" w:type="dxa"/>
            <w:vAlign w:val="bottom"/>
          </w:tcPr>
          <w:p>
            <w:pPr>
              <w:spacing w:after="0"/>
              <w:rPr>
                <w:sz w:val="16"/>
                <w:szCs w:val="16"/>
                <w:color w:val="auto"/>
              </w:rPr>
            </w:pP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spacing w:after="0"/>
              <w:rPr>
                <w:sz w:val="20"/>
                <w:szCs w:val="20"/>
                <w:color w:val="auto"/>
              </w:rPr>
            </w:pPr>
            <w:r>
              <w:rPr>
                <w:rFonts w:ascii="Arial" w:cs="Arial" w:eastAsia="Arial" w:hAnsi="Arial"/>
                <w:sz w:val="18"/>
                <w:szCs w:val="18"/>
                <w:color w:val="auto"/>
              </w:rPr>
              <w:t>(17,659)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17.81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68.75</w:t>
            </w: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857,569</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33.86</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24,922</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744,833</w:t>
            </w:r>
          </w:p>
        </w:tc>
        <w:tc>
          <w:tcPr>
            <w:tcW w:w="1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29.30</w:t>
            </w:r>
          </w:p>
        </w:tc>
        <w:tc>
          <w:tcPr>
            <w:tcW w:w="100" w:type="dxa"/>
            <w:vAlign w:val="bottom"/>
            <w:vMerge w:val="continue"/>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vMerge w:val="continue"/>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24,381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-865505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-591185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-308610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220" w:space="720"/>
            <w:col w:w="5300"/>
          </w:cols>
          <w:pgMar w:left="320" w:top="125" w:right="339" w:bottom="1440" w:gutter="0" w:footer="0" w:header="0"/>
          <w:type w:val="continuous"/>
        </w:sectPr>
      </w:pPr>
    </w:p>
    <w:p>
      <w:pPr>
        <w:ind w:right="480" w:firstLine="648"/>
        <w:spacing w:after="0" w:line="277" w:lineRule="auto"/>
        <w:rPr>
          <w:sz w:val="20"/>
          <w:szCs w:val="20"/>
          <w:color w:val="auto"/>
        </w:rPr>
      </w:pPr>
      <w:r>
        <w:rPr>
          <w:rFonts w:ascii="Arial" w:cs="Arial" w:eastAsia="Arial" w:hAnsi="Arial"/>
          <w:sz w:val="18"/>
          <w:szCs w:val="18"/>
          <w:color w:val="auto"/>
        </w:rPr>
        <w:t>As of June 30, 2023, the Company had approximately $2.3 million of total unrecognized stock-based compensation expense related to stock options expected to be recognized over a weighted-average period of 1.4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RSUs are valued using the closing price of the Company’s common stock on their grant date. The Company has issued RSUs with vesting periods of one to five years. All vesting is subject to continued service.</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RSU transactions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Released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Non-vested outstanding at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Weighted-average</w:t>
            </w: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15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7"/>
              </w:rPr>
              <w:t>Number of shares</w:t>
            </w: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8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5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271,951</w:t>
            </w: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68.90</w:t>
            </w:r>
          </w:p>
        </w:tc>
      </w:tr>
      <w:tr>
        <w:trPr>
          <w:trHeight w:val="216"/>
        </w:trPr>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142,374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51.37</w:t>
            </w:r>
          </w:p>
        </w:tc>
      </w:tr>
      <w:tr>
        <w:trPr>
          <w:trHeight w:val="216"/>
        </w:trPr>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(42,581)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60.40</w:t>
            </w:r>
          </w:p>
        </w:tc>
      </w:tr>
      <w:tr>
        <w:trPr>
          <w:trHeight w:val="230"/>
        </w:trPr>
        <w:tc>
          <w:tcPr>
            <w:tcW w:w="1580" w:type="dxa"/>
            <w:vAlign w:val="bottom"/>
            <w:gridSpan w:val="2"/>
          </w:tcPr>
          <w:p>
            <w:pPr>
              <w:jc w:val="right"/>
              <w:spacing w:after="0"/>
              <w:rPr>
                <w:sz w:val="20"/>
                <w:szCs w:val="20"/>
                <w:color w:val="auto"/>
              </w:rPr>
            </w:pPr>
            <w:r>
              <w:rPr>
                <w:rFonts w:ascii="Arial" w:cs="Arial" w:eastAsia="Arial" w:hAnsi="Arial"/>
                <w:sz w:val="18"/>
                <w:szCs w:val="18"/>
                <w:color w:val="auto"/>
              </w:rPr>
              <w:t>(8,502)</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53.15</w:t>
            </w:r>
          </w:p>
        </w:tc>
      </w:tr>
      <w:tr>
        <w:trPr>
          <w:trHeight w:val="209"/>
        </w:trPr>
        <w:tc>
          <w:tcPr>
            <w:tcW w:w="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363,242</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63.39</w:t>
            </w: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3260"/>
          </w:cols>
          <w:pgMar w:left="320" w:top="125" w:right="339" w:bottom="1440" w:gutter="0" w:footer="0" w:header="0"/>
          <w:type w:val="continuous"/>
        </w:sectPr>
      </w:pPr>
    </w:p>
    <w:p>
      <w:pPr>
        <w:spacing w:after="0" w:line="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June 30, 2023, the Company had approximately $18.5 million of total unrecognized stock-based compensation expense related to RSUs expected to be recognized over a weighted-average period of 2.6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issues PSUs with a combination of service, performance, and market conditions.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June 30, 2023, none of the stock price milestones have been achieved.</w:t>
      </w:r>
    </w:p>
    <w:p>
      <w:pPr>
        <w:spacing w:after="0" w:line="18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Prior to 2023, the PSU’s performance period was the fiscal year of the grant. Beginning in 2023, the PSU’s performance period is primarily a three-year period beginning with the grant date. At the end of the performance period, the actual results are measured against the predetermined targets to determine the number of PSUs to be earned as compensation. The earned PSUs are then subject to a required service period of approximately three years from the grant date before vesting and being issued as common stock.</w:t>
      </w:r>
    </w:p>
    <w:p>
      <w:pPr>
        <w:sectPr>
          <w:pgSz w:w="11900" w:h="16838" w:orient="portrait"/>
          <w:cols w:equalWidth="0" w:num="1">
            <w:col w:w="11240"/>
          </w:cols>
          <w:pgMar w:left="320" w:top="125" w:right="339" w:bottom="1440" w:gutter="0" w:footer="0" w:header="0"/>
          <w:type w:val="continuous"/>
        </w:sectPr>
      </w:pPr>
    </w:p>
    <w:p>
      <w:pPr>
        <w:spacing w:after="0" w:line="178"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The following table summarizes PSU transactions for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Non-vested outstanding at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Weighted-average</w:t>
            </w: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15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7"/>
              </w:rPr>
              <w:t>Number of shares</w:t>
            </w: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8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5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383,103</w:t>
            </w: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37.62</w:t>
            </w:r>
          </w:p>
        </w:tc>
      </w:tr>
      <w:tr>
        <w:trPr>
          <w:trHeight w:val="216"/>
        </w:trPr>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46,029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51.36</w:t>
            </w:r>
          </w:p>
        </w:tc>
      </w:tr>
      <w:tr>
        <w:trPr>
          <w:trHeight w:val="216"/>
        </w:trPr>
        <w:tc>
          <w:tcPr>
            <w:tcW w:w="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54.98</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426,931</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39.01</w:t>
            </w: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640"/>
            <w:col w:w="3260"/>
          </w:cols>
          <w:pgMar w:left="320" w:top="125" w:right="339" w:bottom="1440" w:gutter="0" w:footer="0" w:header="0"/>
          <w:type w:val="continuous"/>
        </w:sectPr>
      </w:pPr>
    </w:p>
    <w:p>
      <w:pPr>
        <w:spacing w:after="0" w:line="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PSU grants above represent the number of shares that would vest based on achievement of all stock price milestones in the 2021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June 30, 2023, the Company had approximately $11.4 million of total unrecognized stock-based compensation expense related to PSUs expected to be recognized over a weighted-average period of 3.0 years.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Employee Stock Purchase Plan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87"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7,724 shares pursuant to the ESPP during the six months ended June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January 2022, the Board of Directors approved a share repurchase program which replaced the existing program and authorized the repurchase of up to $100 million of outstanding shares of common stock over the period ending on March 31, 2024.</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Company purchased 301,162 shares for $15.6 million at an average price of $53.4 per share under this program during the six months ended June 30, 2023. Approximately $50.0 million remains available for future repurchases. The Company accounts for share repurchases by charging the excess of repurchase price over the common stock’s par value entirely to retained earnings. All repurchased shares are retired and become authorized but unissued shares.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Accumulated Other 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accumulated other comprehensive income (loss) (“AOCI”)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(36,515)</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reclassification</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(41,276)</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Federal income tax expense (benefit)</w:t>
            </w:r>
          </w:p>
        </w:tc>
        <w:tc>
          <w:tcPr>
            <w:tcW w:w="2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Other comprehensive income (loss) before reclassification, net of tax</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Federal income tax expense (benefit)</w:t>
            </w:r>
          </w:p>
        </w:tc>
        <w:tc>
          <w:tcPr>
            <w:tcW w:w="2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 net of tax</w:t>
            </w:r>
          </w:p>
        </w:tc>
        <w:tc>
          <w:tcPr>
            <w:tcW w:w="2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2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(32,528)</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(34,726)</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40" w:type="dxa"/>
            <w:vAlign w:val="bottom"/>
            <w:vMerge w:val="restart"/>
          </w:tcPr>
          <w:p>
            <w:pPr>
              <w:jc w:val="right"/>
              <w:ind w:right="2170"/>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Underwriting Information</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a single reportable segment and offers primarily property and casualty insurance products. The Company also writes premiums under fronting agreements where it cedes the majority of the premium and risk in exchange for a fronting fee. Gross written premiums (“GWP”) by product are presented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left w:val="single" w:sz="8" w:color="CCEEFF"/>
              <w:bottom w:val="single" w:sz="8" w:color="auto"/>
            </w:tcBorders>
            <w:gridSpan w:val="13"/>
            <w:shd w:val="clear" w:color="auto" w:fill="CCEEFF"/>
          </w:tcPr>
          <w:p>
            <w:pPr>
              <w:jc w:val="center"/>
              <w:ind w:right="45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gridSpan w:val="13"/>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0"/>
              </w:rPr>
              <w:t>Six Months Ended June 30,</w:t>
            </w: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7"/>
            <w:shd w:val="clear" w:color="auto" w:fill="CCEEFF"/>
          </w:tcPr>
          <w:p>
            <w:pPr>
              <w:jc w:val="center"/>
              <w:ind w:left="113"/>
              <w:spacing w:after="0"/>
              <w:rPr>
                <w:sz w:val="20"/>
                <w:szCs w:val="20"/>
                <w:color w:val="auto"/>
              </w:rPr>
            </w:pPr>
            <w:r>
              <w:rPr>
                <w:rFonts w:ascii="Arial" w:cs="Arial" w:eastAsia="Arial" w:hAnsi="Arial"/>
                <w:sz w:val="18"/>
                <w:szCs w:val="18"/>
                <w:b w:val="1"/>
                <w:bCs w:val="1"/>
                <w:color w:val="auto"/>
                <w:w w:val="87"/>
              </w:rPr>
              <w:t>($ in thousands)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9"/>
            <w:shd w:val="clear" w:color="auto" w:fill="CCEEFF"/>
          </w:tcPr>
          <w:p>
            <w:pPr>
              <w:jc w:val="center"/>
              <w:ind w:right="800"/>
              <w:spacing w:after="0"/>
              <w:rPr>
                <w:sz w:val="20"/>
                <w:szCs w:val="20"/>
                <w:color w:val="auto"/>
              </w:rPr>
            </w:pPr>
            <w:r>
              <w:rPr>
                <w:rFonts w:ascii="Arial" w:cs="Arial" w:eastAsia="Arial" w:hAnsi="Arial"/>
                <w:sz w:val="18"/>
                <w:szCs w:val="18"/>
                <w:b w:val="1"/>
                <w:bCs w:val="1"/>
                <w:color w:val="auto"/>
                <w:w w:val="87"/>
              </w:rPr>
              <w:t>($ in thousands)</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59"/>
              <w:spacing w:after="0"/>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378"/>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15"/>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Amount</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GWP</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79"/>
              <w:spacing w:after="0"/>
              <w:rPr>
                <w:sz w:val="20"/>
                <w:szCs w:val="20"/>
                <w:color w:val="auto"/>
              </w:rPr>
            </w:pPr>
            <w:r>
              <w:rPr>
                <w:rFonts w:ascii="Arial" w:cs="Arial" w:eastAsia="Arial" w:hAnsi="Arial"/>
                <w:sz w:val="18"/>
                <w:szCs w:val="18"/>
                <w:b w:val="1"/>
                <w:bCs w:val="1"/>
                <w:color w:val="auto"/>
              </w:rPr>
              <w:t>GWP</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4"/>
              </w:rPr>
              <w:t>Amount</w:t>
            </w:r>
          </w:p>
        </w:tc>
        <w:tc>
          <w:tcPr>
            <w:tcW w:w="900" w:type="dxa"/>
            <w:vAlign w:val="bottom"/>
            <w:gridSpan w:val="3"/>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GWP</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4"/>
              </w:rPr>
              <w:t>Amount</w:t>
            </w:r>
          </w:p>
        </w:tc>
        <w:tc>
          <w:tcPr>
            <w:tcW w:w="840" w:type="dxa"/>
            <w:vAlign w:val="bottom"/>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GWP</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Product</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Fronting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80,211</w:t>
            </w:r>
          </w:p>
        </w:tc>
        <w:tc>
          <w:tcPr>
            <w:tcW w:w="10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42,154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38"/>
              <w:spacing w:after="0"/>
              <w:rPr>
                <w:sz w:val="20"/>
                <w:szCs w:val="20"/>
                <w:color w:val="auto"/>
              </w:rPr>
            </w:pPr>
            <w:r>
              <w:rPr>
                <w:rFonts w:ascii="Arial" w:cs="Arial" w:eastAsia="Arial" w:hAnsi="Arial"/>
                <w:sz w:val="18"/>
                <w:szCs w:val="18"/>
                <w:color w:val="auto"/>
              </w:rPr>
              <w:t>171,967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left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71,999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 Earthquake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65,102</w:t>
            </w:r>
          </w:p>
        </w:tc>
        <w:tc>
          <w:tcPr>
            <w:tcW w:w="10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8"/>
              <w:spacing w:after="0"/>
              <w:rPr>
                <w:sz w:val="20"/>
                <w:szCs w:val="20"/>
                <w:color w:val="auto"/>
              </w:rPr>
            </w:pPr>
            <w:r>
              <w:rPr>
                <w:rFonts w:ascii="Arial" w:cs="Arial" w:eastAsia="Arial" w:hAnsi="Arial"/>
                <w:sz w:val="18"/>
                <w:szCs w:val="18"/>
                <w:color w:val="auto"/>
              </w:rPr>
              <w:t>54,090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38"/>
              <w:spacing w:after="0"/>
              <w:rPr>
                <w:sz w:val="20"/>
                <w:szCs w:val="20"/>
                <w:color w:val="auto"/>
              </w:rPr>
            </w:pPr>
            <w:r>
              <w:rPr>
                <w:rFonts w:ascii="Arial" w:cs="Arial" w:eastAsia="Arial" w:hAnsi="Arial"/>
                <w:sz w:val="18"/>
                <w:szCs w:val="18"/>
                <w:color w:val="auto"/>
              </w:rPr>
              <w:t>120,827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w w:val="89"/>
              </w:rPr>
              <w:t>100,426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Commercial Earthquake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42,826</w:t>
            </w:r>
          </w:p>
        </w:tc>
        <w:tc>
          <w:tcPr>
            <w:tcW w:w="10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33,103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w w:val="90"/>
              </w:rPr>
              <w:t>80,597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58,247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Inland Marine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35,539</w:t>
            </w:r>
          </w:p>
        </w:tc>
        <w:tc>
          <w:tcPr>
            <w:tcW w:w="10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8"/>
              <w:spacing w:after="0"/>
              <w:rPr>
                <w:sz w:val="20"/>
                <w:szCs w:val="20"/>
                <w:color w:val="auto"/>
              </w:rPr>
            </w:pPr>
            <w:r>
              <w:rPr>
                <w:rFonts w:ascii="Arial" w:cs="Arial" w:eastAsia="Arial" w:hAnsi="Arial"/>
                <w:sz w:val="18"/>
                <w:szCs w:val="18"/>
                <w:color w:val="auto"/>
              </w:rPr>
              <w:t>23,134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38"/>
              <w:spacing w:after="0"/>
              <w:rPr>
                <w:sz w:val="20"/>
                <w:szCs w:val="20"/>
                <w:color w:val="auto"/>
              </w:rPr>
            </w:pPr>
            <w:r>
              <w:rPr>
                <w:rFonts w:ascii="Arial" w:cs="Arial" w:eastAsia="Arial" w:hAnsi="Arial"/>
                <w:sz w:val="18"/>
                <w:szCs w:val="18"/>
                <w:color w:val="auto"/>
                <w:w w:val="90"/>
              </w:rPr>
              <w:t>66,588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41,371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Casualty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w:t>
            </w:r>
          </w:p>
        </w:tc>
        <w:tc>
          <w:tcPr>
            <w:tcW w:w="10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7,804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w w:val="90"/>
              </w:rPr>
              <w:t>26,722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Commercial All Risk</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11,770</w:t>
            </w:r>
          </w:p>
        </w:tc>
        <w:tc>
          <w:tcPr>
            <w:tcW w:w="10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8"/>
              <w:spacing w:after="0"/>
              <w:rPr>
                <w:sz w:val="20"/>
                <w:szCs w:val="20"/>
                <w:color w:val="auto"/>
              </w:rPr>
            </w:pPr>
            <w:r>
              <w:rPr>
                <w:rFonts w:ascii="Arial" w:cs="Arial" w:eastAsia="Arial" w:hAnsi="Arial"/>
                <w:sz w:val="18"/>
                <w:szCs w:val="18"/>
                <w:color w:val="auto"/>
              </w:rPr>
              <w:t>21,213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38"/>
              <w:spacing w:after="0"/>
              <w:rPr>
                <w:sz w:val="20"/>
                <w:szCs w:val="20"/>
                <w:color w:val="auto"/>
              </w:rPr>
            </w:pPr>
            <w:r>
              <w:rPr>
                <w:rFonts w:ascii="Arial" w:cs="Arial" w:eastAsia="Arial" w:hAnsi="Arial"/>
                <w:sz w:val="18"/>
                <w:szCs w:val="18"/>
                <w:color w:val="auto"/>
                <w:w w:val="90"/>
              </w:rPr>
              <w:t>20,146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31,791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Hawaii Hurricane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10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8,240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w w:val="90"/>
              </w:rPr>
              <w:t>17,667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 Flood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8"/>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38"/>
              <w:spacing w:after="0"/>
              <w:rPr>
                <w:sz w:val="20"/>
                <w:szCs w:val="20"/>
                <w:color w:val="auto"/>
              </w:rPr>
            </w:pPr>
            <w:r>
              <w:rPr>
                <w:rFonts w:ascii="Arial" w:cs="Arial" w:eastAsia="Arial" w:hAnsi="Arial"/>
                <w:sz w:val="18"/>
                <w:szCs w:val="18"/>
                <w:color w:val="auto"/>
              </w:rPr>
              <w:t>9,705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6,577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Specialty Homeowners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13,891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8"/>
              <w:spacing w:after="0"/>
              <w:rPr>
                <w:sz w:val="20"/>
                <w:szCs w:val="20"/>
                <w:color w:val="auto"/>
              </w:rPr>
            </w:pPr>
            <w:r>
              <w:rPr>
                <w:rFonts w:ascii="Arial" w:cs="Arial" w:eastAsia="Arial" w:hAnsi="Arial"/>
                <w:sz w:val="18"/>
                <w:szCs w:val="18"/>
                <w:color w:val="auto"/>
              </w:rPr>
              <w:t>11,477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38"/>
              <w:spacing w:after="0"/>
              <w:rPr>
                <w:sz w:val="20"/>
                <w:szCs w:val="20"/>
                <w:color w:val="auto"/>
              </w:rPr>
            </w:pPr>
            <w:r>
              <w:rPr>
                <w:rFonts w:ascii="Arial" w:cs="Arial" w:eastAsia="Arial" w:hAnsi="Arial"/>
                <w:sz w:val="18"/>
                <w:szCs w:val="18"/>
                <w:color w:val="auto"/>
                <w:w w:val="90"/>
              </w:rPr>
              <w:t>10,285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21,078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Gross Written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274,296</w:t>
            </w: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1080" w:type="dxa"/>
            <w:vAlign w:val="bottom"/>
            <w:tcBorders>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0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4"/>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218,689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tcBorders>
              <w:left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4"/>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524,407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left w:val="single" w:sz="8" w:color="CCEEFF"/>
              <w:right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89"/>
              </w:rPr>
              <w:t>389,623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Premiums</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80" w:type="dxa"/>
            <w:vAlign w:val="bottom"/>
            <w:tcBorders>
              <w:right w:val="single" w:sz="8" w:color="CCEEFF"/>
            </w:tcBorders>
            <w:gridSpan w:val="3"/>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tcBorders>
              <w:left w:val="single" w:sz="8" w:color="CCEEFF"/>
            </w:tcBorders>
            <w:gridSpan w:val="2"/>
            <w:vMerge w:val="continue"/>
            <w:shd w:val="clear" w:color="auto" w:fill="CCEEFF"/>
          </w:tcPr>
          <w:p>
            <w:pPr>
              <w:spacing w:after="0"/>
              <w:rPr>
                <w:sz w:val="18"/>
                <w:szCs w:val="18"/>
                <w:color w:val="auto"/>
              </w:rPr>
            </w:pPr>
          </w:p>
        </w:tc>
        <w:tc>
          <w:tcPr>
            <w:tcW w:w="90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22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gridSpan w:val="8"/>
          </w:tcPr>
          <w:p>
            <w:pPr>
              <w:ind w:left="660"/>
              <w:spacing w:after="0"/>
              <w:rPr>
                <w:sz w:val="20"/>
                <w:szCs w:val="20"/>
                <w:color w:val="auto"/>
              </w:rPr>
            </w:pPr>
            <w:r>
              <w:rPr>
                <w:rFonts w:ascii="Arial" w:cs="Arial" w:eastAsia="Arial" w:hAnsi="Arial"/>
                <w:sz w:val="18"/>
                <w:szCs w:val="18"/>
                <w:color w:val="auto"/>
                <w:w w:val="99"/>
              </w:rPr>
              <w:t>Gross written premiums by state are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3"/>
          </w:tcPr>
          <w:p>
            <w:pPr>
              <w:jc w:val="center"/>
              <w:ind w:left="73"/>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6"/>
                <w:szCs w:val="16"/>
                <w:b w:val="1"/>
                <w:bCs w:val="1"/>
                <w:color w:val="auto"/>
                <w:w w:val="91"/>
              </w:rPr>
              <w:t>Six Months Ended 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center"/>
              <w:ind w:left="158"/>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ind w:right="578"/>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8"/>
          </w:tcPr>
          <w:p>
            <w:pPr>
              <w:jc w:val="center"/>
              <w:ind w:right="290"/>
              <w:spacing w:after="0" w:line="182" w:lineRule="exact"/>
              <w:rPr>
                <w:sz w:val="20"/>
                <w:szCs w:val="20"/>
                <w:color w:val="auto"/>
              </w:rPr>
            </w:pPr>
            <w:r>
              <w:rPr>
                <w:rFonts w:ascii="Arial" w:cs="Arial" w:eastAsia="Arial" w:hAnsi="Arial"/>
                <w:sz w:val="16"/>
                <w:szCs w:val="16"/>
                <w:b w:val="1"/>
                <w:bCs w:val="1"/>
                <w:color w:val="auto"/>
                <w:w w:val="88"/>
              </w:rPr>
              <w:t>($ 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9"/>
          </w:tcPr>
          <w:p>
            <w:pPr>
              <w:jc w:val="center"/>
              <w:ind w:right="320"/>
              <w:spacing w:after="0" w:line="182" w:lineRule="exact"/>
              <w:rPr>
                <w:sz w:val="20"/>
                <w:szCs w:val="20"/>
                <w:color w:val="auto"/>
              </w:rPr>
            </w:pPr>
            <w:r>
              <w:rPr>
                <w:rFonts w:ascii="Arial" w:cs="Arial" w:eastAsia="Arial" w:hAnsi="Arial"/>
                <w:sz w:val="16"/>
                <w:szCs w:val="16"/>
                <w:b w:val="1"/>
                <w:bCs w:val="1"/>
                <w:color w:val="auto"/>
                <w:w w:val="88"/>
              </w:rPr>
              <w:t>($ in thousands)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4"/>
              </w:rPr>
              <w:t>%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22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w w:val="92"/>
              </w:rPr>
              <w:t>Amount</w:t>
            </w:r>
          </w:p>
        </w:tc>
        <w:tc>
          <w:tcPr>
            <w:tcW w:w="78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88"/>
              </w:rPr>
              <w:t>GWP</w:t>
            </w:r>
          </w:p>
        </w:tc>
        <w:tc>
          <w:tcPr>
            <w:tcW w:w="100" w:type="dxa"/>
            <w:vAlign w:val="bottom"/>
          </w:tcPr>
          <w:p>
            <w:pPr>
              <w:spacing w:after="0"/>
              <w:rPr>
                <w:sz w:val="18"/>
                <w:szCs w:val="18"/>
                <w:color w:val="auto"/>
              </w:rPr>
            </w:pPr>
          </w:p>
        </w:tc>
        <w:tc>
          <w:tcPr>
            <w:tcW w:w="80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660" w:type="dxa"/>
            <w:vAlign w:val="bottom"/>
            <w:gridSpan w:val="3"/>
          </w:tcPr>
          <w:p>
            <w:pPr>
              <w:ind w:left="200"/>
              <w:spacing w:after="0"/>
              <w:rPr>
                <w:sz w:val="20"/>
                <w:szCs w:val="20"/>
                <w:color w:val="auto"/>
              </w:rPr>
            </w:pPr>
            <w:r>
              <w:rPr>
                <w:rFonts w:ascii="Arial" w:cs="Arial" w:eastAsia="Arial" w:hAnsi="Arial"/>
                <w:sz w:val="16"/>
                <w:szCs w:val="16"/>
                <w:b w:val="1"/>
                <w:bCs w:val="1"/>
                <w:color w:val="auto"/>
              </w:rPr>
              <w:t>GWP</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6"/>
                <w:szCs w:val="16"/>
                <w:b w:val="1"/>
                <w:bCs w:val="1"/>
                <w:color w:val="auto"/>
              </w:rPr>
              <w:t>GWP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w w:val="95"/>
              </w:rPr>
              <w:t>Amount</w:t>
            </w:r>
          </w:p>
        </w:tc>
        <w:tc>
          <w:tcPr>
            <w:tcW w:w="840" w:type="dxa"/>
            <w:vAlign w:val="bottom"/>
          </w:tcPr>
          <w:p>
            <w:pPr>
              <w:ind w:left="120"/>
              <w:spacing w:after="0"/>
              <w:rPr>
                <w:sz w:val="20"/>
                <w:szCs w:val="20"/>
                <w:color w:val="auto"/>
              </w:rPr>
            </w:pPr>
            <w:r>
              <w:rPr>
                <w:rFonts w:ascii="Arial" w:cs="Arial" w:eastAsia="Arial" w:hAnsi="Arial"/>
                <w:sz w:val="16"/>
                <w:szCs w:val="16"/>
                <w:b w:val="1"/>
                <w:bCs w:val="1"/>
                <w:color w:val="auto"/>
              </w:rPr>
              <w:t>GWP</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Arial" w:cs="Arial" w:eastAsia="Arial" w:hAnsi="Arial"/>
                <w:sz w:val="16"/>
                <w:szCs w:val="16"/>
                <w:color w:val="auto"/>
              </w:rPr>
              <w:t>California</w:t>
            </w:r>
          </w:p>
        </w:tc>
        <w:tc>
          <w:tcPr>
            <w:tcW w:w="120" w:type="dxa"/>
            <w:vAlign w:val="bottom"/>
          </w:tcPr>
          <w:p>
            <w:pPr>
              <w:spacing w:after="0"/>
              <w:rPr>
                <w:sz w:val="17"/>
                <w:szCs w:val="17"/>
                <w:color w:val="auto"/>
              </w:rPr>
            </w:pPr>
          </w:p>
        </w:tc>
        <w:tc>
          <w:tcPr>
            <w:tcW w:w="920" w:type="dxa"/>
            <w:vAlign w:val="bottom"/>
            <w:gridSpan w:val="2"/>
          </w:tcPr>
          <w:p>
            <w:pPr>
              <w:jc w:val="center"/>
              <w:ind w:left="711"/>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3"/>
              <w:spacing w:after="0"/>
              <w:rPr>
                <w:sz w:val="20"/>
                <w:szCs w:val="20"/>
                <w:color w:val="auto"/>
              </w:rPr>
            </w:pPr>
            <w:r>
              <w:rPr>
                <w:rFonts w:ascii="Arial" w:cs="Arial" w:eastAsia="Arial" w:hAnsi="Arial"/>
                <w:sz w:val="16"/>
                <w:szCs w:val="16"/>
                <w:color w:val="auto"/>
              </w:rPr>
              <w:t>157,057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2"/>
              </w:rPr>
              <w:t>57.3%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30"/>
              <w:spacing w:after="0"/>
              <w:rPr>
                <w:sz w:val="20"/>
                <w:szCs w:val="20"/>
                <w:color w:val="auto"/>
              </w:rPr>
            </w:pPr>
            <w:r>
              <w:rPr>
                <w:rFonts w:ascii="Arial" w:cs="Arial" w:eastAsia="Arial" w:hAnsi="Arial"/>
                <w:sz w:val="16"/>
                <w:szCs w:val="16"/>
                <w:color w:val="auto"/>
              </w:rPr>
              <w:t>93,130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42.6%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288,946</w:t>
            </w:r>
          </w:p>
        </w:tc>
        <w:tc>
          <w:tcPr>
            <w:tcW w:w="1120" w:type="dxa"/>
            <w:vAlign w:val="bottom"/>
            <w:gridSpan w:val="5"/>
          </w:tcPr>
          <w:p>
            <w:pPr>
              <w:jc w:val="right"/>
              <w:ind w:right="20"/>
              <w:spacing w:after="0"/>
              <w:rPr>
                <w:sz w:val="20"/>
                <w:szCs w:val="20"/>
                <w:color w:val="auto"/>
              </w:rPr>
            </w:pPr>
            <w:r>
              <w:rPr>
                <w:rFonts w:ascii="Arial" w:cs="Arial" w:eastAsia="Arial" w:hAnsi="Arial"/>
                <w:sz w:val="16"/>
                <w:szCs w:val="16"/>
                <w:color w:val="auto"/>
              </w:rPr>
              <w:t>55.1%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161,848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Texas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25,231</w:t>
            </w: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0"/>
              <w:spacing w:after="0"/>
              <w:rPr>
                <w:sz w:val="20"/>
                <w:szCs w:val="20"/>
                <w:color w:val="auto"/>
              </w:rPr>
            </w:pPr>
            <w:r>
              <w:rPr>
                <w:rFonts w:ascii="Arial" w:cs="Arial" w:eastAsia="Arial" w:hAnsi="Arial"/>
                <w:sz w:val="16"/>
                <w:szCs w:val="16"/>
                <w:color w:val="auto"/>
              </w:rPr>
              <w:t>26,286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48,441</w:t>
            </w:r>
          </w:p>
        </w:tc>
        <w:tc>
          <w:tcPr>
            <w:tcW w:w="112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Arial" w:cs="Arial" w:eastAsia="Arial" w:hAnsi="Arial"/>
                <w:sz w:val="16"/>
                <w:szCs w:val="16"/>
                <w:color w:val="auto"/>
              </w:rPr>
              <w:t>Washington</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3"/>
              <w:spacing w:after="0"/>
              <w:rPr>
                <w:sz w:val="20"/>
                <w:szCs w:val="20"/>
                <w:color w:val="auto"/>
              </w:rPr>
            </w:pPr>
            <w:r>
              <w:rPr>
                <w:rFonts w:ascii="Arial" w:cs="Arial" w:eastAsia="Arial" w:hAnsi="Arial"/>
                <w:sz w:val="16"/>
                <w:szCs w:val="16"/>
                <w:color w:val="auto"/>
              </w:rPr>
              <w:t>13,645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30"/>
              <w:spacing w:after="0"/>
              <w:rPr>
                <w:sz w:val="20"/>
                <w:szCs w:val="20"/>
                <w:color w:val="auto"/>
              </w:rPr>
            </w:pPr>
            <w:r>
              <w:rPr>
                <w:rFonts w:ascii="Arial" w:cs="Arial" w:eastAsia="Arial" w:hAnsi="Arial"/>
                <w:sz w:val="16"/>
                <w:szCs w:val="16"/>
                <w:color w:val="auto"/>
              </w:rPr>
              <w:t>8,937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25,617</w:t>
            </w:r>
          </w:p>
        </w:tc>
        <w:tc>
          <w:tcPr>
            <w:tcW w:w="1120" w:type="dxa"/>
            <w:vAlign w:val="bottom"/>
            <w:gridSpan w:val="5"/>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Florida</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12,664</w:t>
            </w: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0"/>
              <w:spacing w:after="0"/>
              <w:rPr>
                <w:sz w:val="20"/>
                <w:szCs w:val="20"/>
                <w:color w:val="auto"/>
              </w:rPr>
            </w:pPr>
            <w:r>
              <w:rPr>
                <w:rFonts w:ascii="Arial" w:cs="Arial" w:eastAsia="Arial" w:hAnsi="Arial"/>
                <w:sz w:val="16"/>
                <w:szCs w:val="16"/>
                <w:color w:val="auto"/>
              </w:rPr>
              <w:t>14,809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24,760</w:t>
            </w:r>
          </w:p>
        </w:tc>
        <w:tc>
          <w:tcPr>
            <w:tcW w:w="112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Arial" w:cs="Arial" w:eastAsia="Arial" w:hAnsi="Arial"/>
                <w:sz w:val="16"/>
                <w:szCs w:val="16"/>
                <w:color w:val="auto"/>
              </w:rPr>
              <w:t>Hawaii</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3"/>
              <w:spacing w:after="0"/>
              <w:rPr>
                <w:sz w:val="20"/>
                <w:szCs w:val="20"/>
                <w:color w:val="auto"/>
              </w:rPr>
            </w:pPr>
            <w:r>
              <w:rPr>
                <w:rFonts w:ascii="Arial" w:cs="Arial" w:eastAsia="Arial" w:hAnsi="Arial"/>
                <w:sz w:val="16"/>
                <w:szCs w:val="16"/>
                <w:color w:val="auto"/>
              </w:rPr>
              <w:t>12,228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30"/>
              <w:spacing w:after="0"/>
              <w:rPr>
                <w:sz w:val="20"/>
                <w:szCs w:val="20"/>
                <w:color w:val="auto"/>
              </w:rPr>
            </w:pPr>
            <w:r>
              <w:rPr>
                <w:rFonts w:ascii="Arial" w:cs="Arial" w:eastAsia="Arial" w:hAnsi="Arial"/>
                <w:sz w:val="16"/>
                <w:szCs w:val="16"/>
                <w:color w:val="auto"/>
              </w:rPr>
              <w:t>10,191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22,333</w:t>
            </w:r>
          </w:p>
        </w:tc>
        <w:tc>
          <w:tcPr>
            <w:tcW w:w="1120" w:type="dxa"/>
            <w:vAlign w:val="bottom"/>
            <w:gridSpan w:val="5"/>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18,731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Oregon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5,907</w:t>
            </w: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0"/>
              <w:spacing w:after="0"/>
              <w:rPr>
                <w:sz w:val="20"/>
                <w:szCs w:val="20"/>
                <w:color w:val="auto"/>
              </w:rPr>
            </w:pPr>
            <w:r>
              <w:rPr>
                <w:rFonts w:ascii="Arial" w:cs="Arial" w:eastAsia="Arial" w:hAnsi="Arial"/>
                <w:sz w:val="16"/>
                <w:szCs w:val="16"/>
                <w:color w:val="auto"/>
              </w:rPr>
              <w:t>4,371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12,687</w:t>
            </w:r>
          </w:p>
        </w:tc>
        <w:tc>
          <w:tcPr>
            <w:tcW w:w="112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Arial" w:cs="Arial" w:eastAsia="Arial" w:hAnsi="Arial"/>
                <w:sz w:val="16"/>
                <w:szCs w:val="16"/>
                <w:color w:val="auto"/>
              </w:rPr>
              <w:t>Illinois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3"/>
              <w:spacing w:after="0"/>
              <w:rPr>
                <w:sz w:val="20"/>
                <w:szCs w:val="20"/>
                <w:color w:val="auto"/>
              </w:rPr>
            </w:pPr>
            <w:r>
              <w:rPr>
                <w:rFonts w:ascii="Arial" w:cs="Arial" w:eastAsia="Arial" w:hAnsi="Arial"/>
                <w:sz w:val="16"/>
                <w:szCs w:val="16"/>
                <w:color w:val="auto"/>
              </w:rPr>
              <w:t>4,471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30"/>
              <w:spacing w:after="0"/>
              <w:rPr>
                <w:sz w:val="20"/>
                <w:szCs w:val="20"/>
                <w:color w:val="auto"/>
              </w:rPr>
            </w:pPr>
            <w:r>
              <w:rPr>
                <w:rFonts w:ascii="Arial" w:cs="Arial" w:eastAsia="Arial" w:hAnsi="Arial"/>
                <w:sz w:val="16"/>
                <w:szCs w:val="16"/>
                <w:color w:val="auto"/>
              </w:rPr>
              <w:t>4,676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9,173</w:t>
            </w:r>
          </w:p>
        </w:tc>
        <w:tc>
          <w:tcPr>
            <w:tcW w:w="1120" w:type="dxa"/>
            <w:vAlign w:val="bottom"/>
            <w:gridSpan w:val="5"/>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Utah</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3,938</w:t>
            </w: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0"/>
              <w:spacing w:after="0"/>
              <w:rPr>
                <w:sz w:val="20"/>
                <w:szCs w:val="20"/>
                <w:color w:val="auto"/>
              </w:rPr>
            </w:pPr>
            <w:r>
              <w:rPr>
                <w:rFonts w:ascii="Arial" w:cs="Arial" w:eastAsia="Arial" w:hAnsi="Arial"/>
                <w:sz w:val="16"/>
                <w:szCs w:val="16"/>
                <w:color w:val="auto"/>
              </w:rPr>
              <w:t>2,316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7,053</w:t>
            </w:r>
          </w:p>
        </w:tc>
        <w:tc>
          <w:tcPr>
            <w:tcW w:w="112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3"/>
              <w:spacing w:after="0"/>
              <w:rPr>
                <w:sz w:val="20"/>
                <w:szCs w:val="20"/>
                <w:color w:val="auto"/>
              </w:rPr>
            </w:pPr>
            <w:r>
              <w:rPr>
                <w:rFonts w:ascii="Arial" w:cs="Arial" w:eastAsia="Arial" w:hAnsi="Arial"/>
                <w:sz w:val="16"/>
                <w:szCs w:val="16"/>
                <w:color w:val="auto"/>
              </w:rPr>
              <w:t>39,155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2"/>
              </w:rPr>
              <w:t>14.3%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30"/>
              <w:spacing w:after="0"/>
              <w:rPr>
                <w:sz w:val="20"/>
                <w:szCs w:val="20"/>
                <w:color w:val="auto"/>
              </w:rPr>
            </w:pPr>
            <w:r>
              <w:rPr>
                <w:rFonts w:ascii="Arial" w:cs="Arial" w:eastAsia="Arial" w:hAnsi="Arial"/>
                <w:sz w:val="16"/>
                <w:szCs w:val="16"/>
                <w:color w:val="auto"/>
              </w:rPr>
              <w:t>53,973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85,397</w:t>
            </w:r>
          </w:p>
        </w:tc>
        <w:tc>
          <w:tcPr>
            <w:tcW w:w="1120" w:type="dxa"/>
            <w:vAlign w:val="bottom"/>
            <w:gridSpan w:val="5"/>
          </w:tcPr>
          <w:p>
            <w:pPr>
              <w:jc w:val="right"/>
              <w:ind w:right="20"/>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106,305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Total Gross Written Premiums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left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274,296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6"/>
                <w:szCs w:val="16"/>
                <w:color w:val="auto"/>
              </w:rPr>
              <w:t>218,689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524,407</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389,623</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413"/>
        </w:trPr>
        <w:tc>
          <w:tcPr>
            <w:tcW w:w="5260" w:type="dxa"/>
            <w:vAlign w:val="bottom"/>
            <w:gridSpan w:val="12"/>
          </w:tcPr>
          <w:p>
            <w:pPr>
              <w:ind w:left="660"/>
              <w:spacing w:after="0"/>
              <w:rPr>
                <w:sz w:val="20"/>
                <w:szCs w:val="20"/>
                <w:color w:val="auto"/>
              </w:rPr>
            </w:pPr>
            <w:r>
              <w:rPr>
                <w:rFonts w:ascii="Arial" w:cs="Arial" w:eastAsia="Arial" w:hAnsi="Arial"/>
                <w:sz w:val="18"/>
                <w:szCs w:val="18"/>
                <w:color w:val="auto"/>
                <w:w w:val="90"/>
              </w:rPr>
              <w:t>Gross written premiums by insurance subsidiary are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3"/>
          </w:tcPr>
          <w:p>
            <w:pPr>
              <w:jc w:val="center"/>
              <w:ind w:left="73"/>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6"/>
                <w:szCs w:val="16"/>
                <w:b w:val="1"/>
                <w:bCs w:val="1"/>
                <w:color w:val="auto"/>
                <w:w w:val="91"/>
              </w:rPr>
              <w:t>Six Months Ended 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center"/>
              <w:ind w:left="158"/>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ind w:right="578"/>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8"/>
          </w:tcPr>
          <w:p>
            <w:pPr>
              <w:jc w:val="center"/>
              <w:ind w:right="290"/>
              <w:spacing w:after="0" w:line="182" w:lineRule="exact"/>
              <w:rPr>
                <w:sz w:val="20"/>
                <w:szCs w:val="20"/>
                <w:color w:val="auto"/>
              </w:rPr>
            </w:pPr>
            <w:r>
              <w:rPr>
                <w:rFonts w:ascii="Arial" w:cs="Arial" w:eastAsia="Arial" w:hAnsi="Arial"/>
                <w:sz w:val="16"/>
                <w:szCs w:val="16"/>
                <w:b w:val="1"/>
                <w:bCs w:val="1"/>
                <w:color w:val="auto"/>
                <w:w w:val="88"/>
              </w:rPr>
              <w:t>($ 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9"/>
          </w:tcPr>
          <w:p>
            <w:pPr>
              <w:jc w:val="center"/>
              <w:ind w:right="320"/>
              <w:spacing w:after="0" w:line="182" w:lineRule="exact"/>
              <w:rPr>
                <w:sz w:val="20"/>
                <w:szCs w:val="20"/>
                <w:color w:val="auto"/>
              </w:rPr>
            </w:pPr>
            <w:r>
              <w:rPr>
                <w:rFonts w:ascii="Arial" w:cs="Arial" w:eastAsia="Arial" w:hAnsi="Arial"/>
                <w:sz w:val="16"/>
                <w:szCs w:val="16"/>
                <w:b w:val="1"/>
                <w:bCs w:val="1"/>
                <w:color w:val="auto"/>
                <w:w w:val="88"/>
              </w:rPr>
              <w:t>($ in thousands)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88"/>
              </w:rPr>
              <w:t>%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22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w w:val="92"/>
              </w:rPr>
              <w:t>Amount</w:t>
            </w:r>
          </w:p>
        </w:tc>
        <w:tc>
          <w:tcPr>
            <w:tcW w:w="78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88"/>
              </w:rPr>
              <w:t>GWP</w:t>
            </w:r>
          </w:p>
        </w:tc>
        <w:tc>
          <w:tcPr>
            <w:tcW w:w="100" w:type="dxa"/>
            <w:vAlign w:val="bottom"/>
          </w:tcPr>
          <w:p>
            <w:pPr>
              <w:spacing w:after="0"/>
              <w:rPr>
                <w:sz w:val="18"/>
                <w:szCs w:val="18"/>
                <w:color w:val="auto"/>
              </w:rPr>
            </w:pPr>
          </w:p>
        </w:tc>
        <w:tc>
          <w:tcPr>
            <w:tcW w:w="80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660" w:type="dxa"/>
            <w:vAlign w:val="bottom"/>
            <w:gridSpan w:val="3"/>
          </w:tcPr>
          <w:p>
            <w:pPr>
              <w:ind w:left="200"/>
              <w:spacing w:after="0"/>
              <w:rPr>
                <w:sz w:val="20"/>
                <w:szCs w:val="20"/>
                <w:color w:val="auto"/>
              </w:rPr>
            </w:pPr>
            <w:r>
              <w:rPr>
                <w:rFonts w:ascii="Arial" w:cs="Arial" w:eastAsia="Arial" w:hAnsi="Arial"/>
                <w:sz w:val="16"/>
                <w:szCs w:val="16"/>
                <w:b w:val="1"/>
                <w:bCs w:val="1"/>
                <w:color w:val="auto"/>
              </w:rPr>
              <w:t>GWP</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6"/>
                <w:szCs w:val="16"/>
                <w:b w:val="1"/>
                <w:bCs w:val="1"/>
                <w:color w:val="auto"/>
              </w:rPr>
              <w:t>GWP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w w:val="95"/>
              </w:rPr>
              <w:t>Amount</w:t>
            </w:r>
          </w:p>
        </w:tc>
        <w:tc>
          <w:tcPr>
            <w:tcW w:w="840" w:type="dxa"/>
            <w:vAlign w:val="bottom"/>
          </w:tcPr>
          <w:p>
            <w:pPr>
              <w:ind w:left="120"/>
              <w:spacing w:after="0"/>
              <w:rPr>
                <w:sz w:val="20"/>
                <w:szCs w:val="20"/>
                <w:color w:val="auto"/>
              </w:rPr>
            </w:pPr>
            <w:r>
              <w:rPr>
                <w:rFonts w:ascii="Arial" w:cs="Arial" w:eastAsia="Arial" w:hAnsi="Arial"/>
                <w:sz w:val="16"/>
                <w:szCs w:val="16"/>
                <w:b w:val="1"/>
                <w:bCs w:val="1"/>
                <w:color w:val="auto"/>
              </w:rPr>
              <w:t>GWP</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Subsidiary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Arial" w:cs="Arial" w:eastAsia="Arial" w:hAnsi="Arial"/>
                <w:sz w:val="16"/>
                <w:szCs w:val="16"/>
                <w:color w:val="auto"/>
              </w:rPr>
              <w:t>PSIC</w:t>
            </w:r>
          </w:p>
        </w:tc>
        <w:tc>
          <w:tcPr>
            <w:tcW w:w="120" w:type="dxa"/>
            <w:vAlign w:val="bottom"/>
          </w:tcPr>
          <w:p>
            <w:pPr>
              <w:spacing w:after="0"/>
              <w:rPr>
                <w:sz w:val="17"/>
                <w:szCs w:val="17"/>
                <w:color w:val="auto"/>
              </w:rPr>
            </w:pPr>
          </w:p>
        </w:tc>
        <w:tc>
          <w:tcPr>
            <w:tcW w:w="920" w:type="dxa"/>
            <w:vAlign w:val="bottom"/>
            <w:gridSpan w:val="2"/>
          </w:tcPr>
          <w:p>
            <w:pPr>
              <w:jc w:val="center"/>
              <w:ind w:left="711"/>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33"/>
              <w:spacing w:after="0"/>
              <w:rPr>
                <w:sz w:val="20"/>
                <w:szCs w:val="20"/>
                <w:color w:val="auto"/>
              </w:rPr>
            </w:pPr>
            <w:r>
              <w:rPr>
                <w:rFonts w:ascii="Arial" w:cs="Arial" w:eastAsia="Arial" w:hAnsi="Arial"/>
                <w:sz w:val="16"/>
                <w:szCs w:val="16"/>
                <w:color w:val="auto"/>
              </w:rPr>
              <w:t>159,846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2"/>
              </w:rPr>
              <w:t>58.3%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30"/>
              <w:spacing w:after="0"/>
              <w:rPr>
                <w:sz w:val="20"/>
                <w:szCs w:val="20"/>
                <w:color w:val="auto"/>
              </w:rPr>
            </w:pPr>
            <w:r>
              <w:rPr>
                <w:rFonts w:ascii="Arial" w:cs="Arial" w:eastAsia="Arial" w:hAnsi="Arial"/>
                <w:sz w:val="16"/>
                <w:szCs w:val="16"/>
                <w:color w:val="auto"/>
              </w:rPr>
              <w:t>116,338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53.2%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310,550</w:t>
            </w:r>
          </w:p>
        </w:tc>
        <w:tc>
          <w:tcPr>
            <w:tcW w:w="1120" w:type="dxa"/>
            <w:vAlign w:val="bottom"/>
            <w:gridSpan w:val="5"/>
          </w:tcPr>
          <w:p>
            <w:pPr>
              <w:jc w:val="right"/>
              <w:ind w:right="20"/>
              <w:spacing w:after="0"/>
              <w:rPr>
                <w:sz w:val="20"/>
                <w:szCs w:val="20"/>
                <w:color w:val="auto"/>
              </w:rPr>
            </w:pPr>
            <w:r>
              <w:rPr>
                <w:rFonts w:ascii="Arial" w:cs="Arial" w:eastAsia="Arial" w:hAnsi="Arial"/>
                <w:sz w:val="16"/>
                <w:szCs w:val="16"/>
                <w:color w:val="auto"/>
              </w:rPr>
              <w:t>59.2%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220,342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PESIC</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114,450</w:t>
            </w: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41.7%</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0"/>
              <w:spacing w:after="0"/>
              <w:rPr>
                <w:sz w:val="20"/>
                <w:szCs w:val="20"/>
                <w:color w:val="auto"/>
              </w:rPr>
            </w:pPr>
            <w:r>
              <w:rPr>
                <w:rFonts w:ascii="Arial" w:cs="Arial" w:eastAsia="Arial" w:hAnsi="Arial"/>
                <w:sz w:val="16"/>
                <w:szCs w:val="16"/>
                <w:color w:val="auto"/>
              </w:rPr>
              <w:t>102,351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213,857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Pr>
          <w:p>
            <w:pPr>
              <w:ind w:left="180"/>
              <w:spacing w:after="0"/>
              <w:rPr>
                <w:sz w:val="20"/>
                <w:szCs w:val="20"/>
                <w:color w:val="auto"/>
              </w:rPr>
            </w:pPr>
            <w:r>
              <w:rPr>
                <w:rFonts w:ascii="Arial" w:cs="Arial" w:eastAsia="Arial" w:hAnsi="Arial"/>
                <w:sz w:val="16"/>
                <w:szCs w:val="16"/>
                <w:color w:val="auto"/>
                <w:w w:val="97"/>
              </w:rPr>
              <w:t>Total Gross Written Premiums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33"/>
              <w:spacing w:after="0"/>
              <w:rPr>
                <w:sz w:val="20"/>
                <w:szCs w:val="20"/>
                <w:color w:val="auto"/>
              </w:rPr>
            </w:pPr>
            <w:r>
              <w:rPr>
                <w:rFonts w:ascii="Arial" w:cs="Arial" w:eastAsia="Arial" w:hAnsi="Arial"/>
                <w:sz w:val="16"/>
                <w:szCs w:val="16"/>
                <w:color w:val="auto"/>
              </w:rPr>
              <w:t>274,296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30"/>
              <w:spacing w:after="0"/>
              <w:rPr>
                <w:sz w:val="20"/>
                <w:szCs w:val="20"/>
                <w:color w:val="auto"/>
              </w:rPr>
            </w:pPr>
            <w:r>
              <w:rPr>
                <w:rFonts w:ascii="Arial" w:cs="Arial" w:eastAsia="Arial" w:hAnsi="Arial"/>
                <w:sz w:val="16"/>
                <w:szCs w:val="16"/>
                <w:color w:val="auto"/>
              </w:rPr>
              <w:t>218,689</w:t>
            </w:r>
          </w:p>
        </w:tc>
        <w:tc>
          <w:tcPr>
            <w:tcW w:w="1020" w:type="dxa"/>
            <w:vAlign w:val="bottom"/>
            <w:gridSpan w:val="5"/>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524,407</w:t>
            </w:r>
          </w:p>
        </w:tc>
        <w:tc>
          <w:tcPr>
            <w:tcW w:w="1120" w:type="dxa"/>
            <w:vAlign w:val="bottom"/>
            <w:gridSpan w:val="5"/>
          </w:tcPr>
          <w:p>
            <w:pPr>
              <w:jc w:val="right"/>
              <w:ind w:right="20"/>
              <w:spacing w:after="0"/>
              <w:rPr>
                <w:sz w:val="20"/>
                <w:szCs w:val="20"/>
                <w:color w:val="auto"/>
              </w:rPr>
            </w:pPr>
            <w:r>
              <w:rPr>
                <w:rFonts w:ascii="Arial" w:cs="Arial" w:eastAsia="Arial" w:hAnsi="Arial"/>
                <w:sz w:val="16"/>
                <w:szCs w:val="16"/>
                <w:color w:val="auto"/>
              </w:rPr>
              <w:t>100.0%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389,623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17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calculates its tax provision in interim periods using its best estimate of the effective tax rate expected for the full year. During the three months ended June 30, 2023, the Company’s income tax rate of 23.7% was higher than the statutory rate of 21% due primarily to non-deductible executive compensation expense. During the three months ended June 30, 2022, the Company’s income tax rate of 20.2% was lower than the statutory rate of 21% due primarily to the tax impact of the permanent component of employee stock option exercises.</w:t>
      </w:r>
    </w:p>
    <w:p>
      <w:pPr>
        <w:spacing w:after="0" w:line="171"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For the six months ended June 30, 2023, the Company’s tax rate of 23.6% was higher than the statutory rate due primarily to non-deductible executive compensation expense. For the six months ended June 30, 2022, the Company’s tax rate of 22.1% was higher than the statutory rate also due primarily to non-deductible executive compensation expense.</w:t>
      </w:r>
    </w:p>
    <w:p>
      <w:pPr>
        <w:sectPr>
          <w:pgSz w:w="11900" w:h="16838" w:orient="portrait"/>
          <w:cols w:equalWidth="0" w:num="1">
            <w:col w:w="11240"/>
          </w:cols>
          <w:pgMar w:left="320" w:top="125" w:right="339" w:bottom="979"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The following table sets out earnings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Share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3"/>
              </w:rPr>
              <w:t>Three Months Ended June 30,</w:t>
            </w: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191"/>
        </w:trPr>
        <w:tc>
          <w:tcPr>
            <w:tcW w:w="254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w w:val="88"/>
              </w:rPr>
              <w:t>(in thousands, except shares and</w:t>
            </w:r>
          </w:p>
        </w:tc>
        <w:tc>
          <w:tcPr>
            <w:tcW w:w="2540" w:type="dxa"/>
            <w:vAlign w:val="bottom"/>
            <w:gridSpan w:val="4"/>
          </w:tcPr>
          <w:p>
            <w:pPr>
              <w:ind w:left="60"/>
              <w:spacing w:after="0" w:line="191" w:lineRule="exact"/>
              <w:rPr>
                <w:sz w:val="20"/>
                <w:szCs w:val="20"/>
                <w:color w:val="auto"/>
              </w:rPr>
            </w:pPr>
            <w:r>
              <w:rPr>
                <w:rFonts w:ascii="Arial" w:cs="Arial" w:eastAsia="Arial" w:hAnsi="Arial"/>
                <w:sz w:val="18"/>
                <w:szCs w:val="18"/>
                <w:b w:val="1"/>
                <w:bCs w:val="1"/>
                <w:color w:val="auto"/>
                <w:w w:val="86"/>
              </w:rPr>
              <w:t>(in thousands, except shares and</w:t>
            </w:r>
          </w:p>
        </w:tc>
      </w:tr>
      <w:tr>
        <w:trPr>
          <w:trHeight w:val="220"/>
        </w:trPr>
        <w:tc>
          <w:tcPr>
            <w:tcW w:w="220" w:type="dxa"/>
            <w:vAlign w:val="bottom"/>
          </w:tcPr>
          <w:p>
            <w:pPr>
              <w:spacing w:after="0"/>
              <w:rPr>
                <w:sz w:val="19"/>
                <w:szCs w:val="19"/>
                <w:color w:val="auto"/>
              </w:rPr>
            </w:pPr>
          </w:p>
        </w:tc>
        <w:tc>
          <w:tcPr>
            <w:tcW w:w="23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Pr>
          <w:p>
            <w:pPr>
              <w:spacing w:after="0"/>
              <w:rPr>
                <w:sz w:val="19"/>
                <w:szCs w:val="19"/>
                <w:color w:val="auto"/>
              </w:rPr>
            </w:pPr>
          </w:p>
        </w:tc>
        <w:tc>
          <w:tcPr>
            <w:tcW w:w="23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per share data)</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17,562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14,589</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34,874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29,126</w:t>
            </w:r>
          </w:p>
        </w:tc>
      </w:tr>
      <w:tr>
        <w:trPr>
          <w:trHeight w:val="418"/>
        </w:trPr>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24,833,852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25,211,924</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24,901,403</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25,283,222</w:t>
            </w:r>
          </w:p>
        </w:tc>
      </w:tr>
      <w:tr>
        <w:trPr>
          <w:trHeight w:val="230"/>
        </w:trPr>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475,674</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534,856</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483,006</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534,220</w:t>
            </w:r>
          </w:p>
        </w:tc>
      </w:tr>
      <w:tr>
        <w:trPr>
          <w:trHeight w:val="209"/>
        </w:trPr>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25,309,526</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25,746,780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25,384,409</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25,817,442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29"/>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0.69</w:t>
            </w:r>
          </w:p>
        </w:tc>
        <w:tc>
          <w:tcPr>
            <w:tcW w:w="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2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w:t>
            </w:r>
          </w:p>
        </w:tc>
        <w:tc>
          <w:tcPr>
            <w:tcW w:w="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40" w:space="720"/>
            <w:col w:w="5080"/>
          </w:cols>
          <w:pgMar w:left="320" w:top="125" w:right="339" w:bottom="979" w:gutter="0" w:footer="0" w:header="0"/>
          <w:type w:val="continuous"/>
        </w:sectPr>
      </w:pPr>
    </w:p>
    <w:p>
      <w:pPr>
        <w:spacing w:after="0" w:line="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Reinsurance</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As of June 30, 2023, the Company’s catastrophe event retention is $17.5 million for all perils and the Company’s XOL reinsurance structure provides protection up to $2.66 billion for earthquake events, $900 million for Hawaii hurricane events, and $100 million for continental U.S. hurricane events.</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which became effective June 1, 2023. This catastrophe bond was also completed through Torrey Pines Re Ltd and provides indemnity-based reinsurance covering earthquake events through June 1, 2026.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Bank Credit Agreement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December 2021, the Company entered into a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sectPr>
          <w:pgSz w:w="11900" w:h="16838" w:orient="portrait"/>
          <w:cols w:equalWidth="0" w:num="1">
            <w:col w:w="11240"/>
          </w:cols>
          <w:pgMar w:left="320" w:top="125" w:right="339" w:bottom="979"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79"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 based capital ratio and minimum A.M. Best financial strength rating. The Credit Agreement also contains customary events of default, such as non-compliance with financial covenants. If an event of default occurs, any debt may be declared immediately due and payable. As of June 30, 2023, the Company was in compliance with all debt covenants.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the Company had no borrowings outstanding on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FHLB Line of Credit</w:t>
      </w:r>
    </w:p>
    <w:p>
      <w:pPr>
        <w:spacing w:after="0" w:line="225"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spacing w:after="0" w:line="17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As of June 30, 2023, the Company had $71.4 million of borrowings outstanding through the FHLB at the overnight rate of 5.28%. Interest expense on the FHLB line of credit was $0.8 million and $1.3 million for the three and six months ended June 30, 2023, respectively.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The discussion and analysis below includes certain forward-looking statements that are subject to risks, uncertainties and other factors described in part II, item 1A of this Quarterly Report. Our actual results could differ materially from those anticipated in these forward-looking statements as a result of many factors.</w:t>
      </w:r>
    </w:p>
    <w:p>
      <w:pPr>
        <w:spacing w:after="0" w:line="18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i w:val="1"/>
          <w:iCs w:val="1"/>
          <w:color w:val="auto"/>
        </w:rPr>
        <w:t>The results of operations for the three and six months ended June 30, 2023 are not necessarily indicative of the results that may be expected for the full year ended December 31, 2023,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March 1, 2023.</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References to the "Company," "Palomar," "we," "us," and "our" are to Palomar Holdings, Inc. and its subsidiaries, unless the context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are a specialty insurance company that provides property and casualty insurance products to individuals and businesses. We use our underwriting and analytical expertise to provide products for select markets that we believe are underserved by other insurance companies, including the market for earthquake insurance. We use proprietary data analytics and a modern technology platform to offer our customers flexible products with customized and granular pricing for both the admitted and excess and surplus lines (“E&amp;S”) markets.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provide admitted insurance products through our Oregon domiciled insurance company, Palomar Specialty Insurance Company (“PSIC”), and E&amp;S insurance products through our Arizona domiciled surplus lines insurance company, Palomar Excess and Surplus Insurance Company (“PESIC”). Each of our insurance company subsidiaries as carries an “A-“ rating from A.M. Best Company (“A.M. Best”), a leading rating agency for the insurance industry.</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Founded in 2014, we have significantly grown our business and have generated attractive returns. We have organically increased gross written premiums from $16.6 million in our first year of operations to $881.9 million for the year ended December 31, 2022, which reflects a compound annual growth rate of approximately 64%. We have also been profitable since 2016 and our net income growth since 2016 reflects a compound annual growth rate of 41%.</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seek to continuously grow our income by developing product offerings for lines of business that harness our core competencies and where we believe we can generate attractive risk adjusted returns. Since 2021, we have introduced several new products including General Casualty, Fronting, Professional Liability, and Excess Property to diversify our book of business and broaden our product portfolio. We believe that our market opportunity, distinctive products, and differentiated business model position us to grow our business profitably.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Written Premiums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18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Volume of new business submissions in existing products or partnerships;</w:t>
      </w:r>
    </w:p>
    <w:p>
      <w:pPr>
        <w:spacing w:after="0" w:line="225" w:lineRule="exact"/>
        <w:rPr>
          <w:rFonts w:ascii="Arial" w:cs="Arial" w:eastAsia="Arial" w:hAnsi="Arial"/>
          <w:sz w:val="18"/>
          <w:szCs w:val="18"/>
          <w:color w:val="auto"/>
        </w:rPr>
      </w:pPr>
    </w:p>
    <w:p>
      <w:pPr>
        <w:ind w:left="5540" w:right="4000" w:hanging="4884"/>
        <w:spacing w:after="0" w:line="527" w:lineRule="auto"/>
        <w:tabs>
          <w:tab w:leader="none" w:pos="986" w:val="left"/>
        </w:tabs>
        <w:numPr>
          <w:ilvl w:val="0"/>
          <w:numId w:val="4"/>
        </w:numPr>
        <w:rPr>
          <w:rFonts w:ascii="Arial" w:cs="Arial" w:eastAsia="Arial" w:hAnsi="Arial"/>
          <w:sz w:val="18"/>
          <w:szCs w:val="18"/>
          <w:color w:val="auto"/>
        </w:rPr>
      </w:pPr>
      <w:r>
        <w:rPr>
          <w:rFonts w:ascii="Arial" w:cs="Arial" w:eastAsia="Arial" w:hAnsi="Arial"/>
          <w:sz w:val="18"/>
          <w:szCs w:val="18"/>
          <w:color w:val="auto"/>
        </w:rPr>
        <w:t>Binding of new business submissions in existing products or partnerships into policies;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Entrance into new partnerships or the offering of new types of insurance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Exits from existing partnerships or reducing or ceasing to offer existing insurance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Renewal rates of existing policies;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size and premium rate of bound policies.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Written Premiums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reinsurance due to losses. In addition, the volume of premiums ceded in fronting agreements each period may vary due to the timing of entering new fronting partnerships and terminations of fronting partnerships.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Earned Premiums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 and Other Income</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Commission and other income consist of commissions earned on policies written on behalf of third party insurance companies where we have no exposure to the insured risk and certain fees earned in conjunction with underwriting policies. Commission and other income are earned on the effective date of the underlying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and Loss Adjustment Expenses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spacing w:after="0" w:line="17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frequency, and severity of catastrophe events in the areas where we underwrite policies relating to these perils;</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frequency, and severity of non</w:t>
      </w:r>
      <w:r>
        <w:rPr>
          <w:rFonts w:ascii="MS PGothic" w:cs="MS PGothic" w:eastAsia="MS PGothic" w:hAnsi="MS PGothic"/>
          <w:sz w:val="18"/>
          <w:szCs w:val="18"/>
          <w:color w:val="auto"/>
        </w:rPr>
        <w:t>‑</w:t>
      </w:r>
      <w:r>
        <w:rPr>
          <w:rFonts w:ascii="Arial" w:cs="Arial" w:eastAsia="Arial" w:hAnsi="Arial"/>
          <w:sz w:val="18"/>
          <w:szCs w:val="18"/>
          <w:color w:val="auto"/>
        </w:rPr>
        <w:t>catastrophe attritional losses;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business written by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reinsurance agreements we have in place at the time of a loss;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location and characteristics of the policies we underwrite;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legal or regulatory environment related to the business we write;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in legal defense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in housing and construction costs;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amounts awarded by courts and juries.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r>
      <w:r>
        <w:rPr>
          <w:rFonts w:ascii="MS PGothic" w:cs="MS PGothic" w:eastAsia="MS PGothic" w:hAnsi="MS PGothic"/>
          <w:sz w:val="18"/>
          <w:szCs w:val="18"/>
          <w:color w:val="auto"/>
        </w:rPr>
        <w:t>‑</w:t>
      </w:r>
      <w:r>
        <w:rPr>
          <w:rFonts w:ascii="Arial" w:cs="Arial" w:eastAsia="Arial" w:hAnsi="Arial"/>
          <w:sz w:val="18"/>
          <w:szCs w:val="18"/>
          <w:color w:val="auto"/>
        </w:rPr>
        <w:t>related taxes and other fees. Acquisition expenses related to each policy we write are deferred and expensed pro rata over the term of the policy. We earn fronting fees consistent with how we earn premiums on the underlying insurance policies, on a pro-rata basis over the terms of the policies.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Underwriting Expenses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Interest expense consists of interest incurred on borrowings from our U.S. Bank credit agreement and FHLB line of credit and the unused line fee and amortization of the commitment fee on our U.S. Bank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 Our balance of invested capital may be impacted in the future by repurchases of shares of our common stock or borrowings under our credit agreements.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 on Investments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Unrealized gains and losses on fixed maturity securities are recognized as a component of other comprehensive income and do not impact our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Currently our income tax expense consists mainly of federal income taxes imposed on our operations. Our effective tax rates are dependent upon the components of pretax earnings and the related tax effects.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discuss certain key financial and operating metrics, described below, which provide useful information about our business and the operational factors underlying our financial performance.</w:t>
      </w:r>
    </w:p>
    <w:p>
      <w:pPr>
        <w:spacing w:after="0" w:line="170"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 xml:space="preserve">Underwriting revenue </w:t>
      </w:r>
      <w:r>
        <w:rPr>
          <w:rFonts w:ascii="Arial" w:cs="Arial" w:eastAsia="Arial" w:hAnsi="Arial"/>
          <w:sz w:val="18"/>
          <w:szCs w:val="18"/>
          <w:color w:val="auto"/>
        </w:rPr>
        <w:t>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defined as total revenue, excluding net investment income and net realized and unrealized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gains and losses on investments. See “Reconciliation of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for a reconciliation of total revenue calculated in accordance with GAAP to underwriting revenue.</w:t>
      </w:r>
    </w:p>
    <w:p>
      <w:pPr>
        <w:spacing w:after="0" w:line="204"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i w:val="1"/>
          <w:iCs w:val="1"/>
          <w:color w:val="auto"/>
        </w:rPr>
        <w:t xml:space="preserve">Underwriting income </w:t>
      </w:r>
      <w:r>
        <w:rPr>
          <w:rFonts w:ascii="Arial" w:cs="Arial" w:eastAsia="Arial" w:hAnsi="Arial"/>
          <w:sz w:val="18"/>
          <w:szCs w:val="18"/>
          <w:color w:val="auto"/>
        </w:rPr>
        <w:t>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defined as income before income taxes excluding net investment income, net realized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and losses on investments, and interest expense. See “Reconciliation of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for a reconciliation of income before income taxes calculated in accordance with GAAP to underwriting income.</w:t>
      </w:r>
    </w:p>
    <w:p>
      <w:pPr>
        <w:spacing w:after="0" w:line="204" w:lineRule="exact"/>
        <w:rPr>
          <w:sz w:val="20"/>
          <w:szCs w:val="20"/>
          <w:color w:val="auto"/>
        </w:rPr>
      </w:pPr>
    </w:p>
    <w:p>
      <w:pPr>
        <w:ind w:right="200" w:firstLine="648"/>
        <w:spacing w:after="0" w:line="220" w:lineRule="exact"/>
        <w:rPr>
          <w:sz w:val="20"/>
          <w:szCs w:val="20"/>
          <w:color w:val="auto"/>
        </w:rPr>
      </w:pPr>
      <w:r>
        <w:rPr>
          <w:rFonts w:ascii="Arial" w:cs="Arial" w:eastAsia="Arial" w:hAnsi="Arial"/>
          <w:sz w:val="16"/>
          <w:szCs w:val="16"/>
          <w:i w:val="1"/>
          <w:iCs w:val="1"/>
          <w:color w:val="auto"/>
        </w:rPr>
        <w:t xml:space="preserve">Adjusted net income </w:t>
      </w:r>
      <w:r>
        <w:rPr>
          <w:rFonts w:ascii="Arial" w:cs="Arial" w:eastAsia="Arial" w:hAnsi="Arial"/>
          <w:sz w:val="16"/>
          <w:szCs w:val="16"/>
          <w:color w:val="auto"/>
        </w:rPr>
        <w:t>is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defined as net income excluding the impact of certain items that may not be indicative of</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for a reconciliation of net income calculated in accordance with GAAP to adjusted net income.</w:t>
      </w:r>
    </w:p>
    <w:p>
      <w:pPr>
        <w:spacing w:after="0" w:line="20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Annualized return on equity </w:t>
      </w:r>
      <w:r>
        <w:rPr>
          <w:rFonts w:ascii="Arial" w:cs="Arial" w:eastAsia="Arial" w:hAnsi="Arial"/>
          <w:sz w:val="18"/>
          <w:szCs w:val="18"/>
          <w:color w:val="auto"/>
        </w:rPr>
        <w:t>is net income expressed on an annualized basis as a percentage of average beginning and ending stockholders’ equity</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w:t>
      </w:r>
    </w:p>
    <w:p>
      <w:pPr>
        <w:spacing w:after="0" w:line="170" w:lineRule="exact"/>
        <w:rPr>
          <w:sz w:val="20"/>
          <w:szCs w:val="20"/>
          <w:color w:val="auto"/>
        </w:rPr>
      </w:pPr>
    </w:p>
    <w:p>
      <w:pPr>
        <w:jc w:val="both"/>
        <w:ind w:right="560" w:firstLine="648"/>
        <w:spacing w:after="0" w:line="221" w:lineRule="exact"/>
        <w:rPr>
          <w:sz w:val="20"/>
          <w:szCs w:val="20"/>
          <w:color w:val="auto"/>
        </w:rPr>
      </w:pPr>
      <w:r>
        <w:rPr>
          <w:rFonts w:ascii="Arial" w:cs="Arial" w:eastAsia="Arial" w:hAnsi="Arial"/>
          <w:sz w:val="17"/>
          <w:szCs w:val="17"/>
          <w:i w:val="1"/>
          <w:iCs w:val="1"/>
          <w:color w:val="auto"/>
        </w:rPr>
        <w:t xml:space="preserve">Annualized adjusted return on equity </w:t>
      </w:r>
      <w:r>
        <w:rPr>
          <w:rFonts w:ascii="Arial" w:cs="Arial" w:eastAsia="Arial" w:hAnsi="Arial"/>
          <w:sz w:val="17"/>
          <w:szCs w:val="17"/>
          <w:color w:val="auto"/>
        </w:rPr>
        <w:t>is a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 defined as adjusted net income expressed on an annualized basis as</w:t>
      </w:r>
      <w:r>
        <w:rPr>
          <w:rFonts w:ascii="Arial" w:cs="Arial" w:eastAsia="Arial" w:hAnsi="Arial"/>
          <w:sz w:val="17"/>
          <w:szCs w:val="17"/>
          <w:i w:val="1"/>
          <w:iCs w:val="1"/>
          <w:color w:val="auto"/>
        </w:rPr>
        <w:t xml:space="preserve"> </w:t>
      </w:r>
      <w:r>
        <w:rPr>
          <w:rFonts w:ascii="Arial" w:cs="Arial" w:eastAsia="Arial" w:hAnsi="Arial"/>
          <w:sz w:val="17"/>
          <w:szCs w:val="17"/>
          <w:color w:val="auto"/>
        </w:rPr>
        <w:t>a percentage of average beginning and ending stockholders’ equity during the period. See “Reconciliation of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for a reconciliation of return on equity calculated using unadjusted GAAP numbers to adjusted return on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ratio</w:t>
      </w:r>
      <w:r>
        <w:rPr>
          <w:rFonts w:ascii="Arial" w:cs="Arial" w:eastAsia="Arial" w:hAnsi="Arial"/>
          <w:sz w:val="18"/>
          <w:szCs w:val="18"/>
          <w:color w:val="auto"/>
        </w:rPr>
        <w:t>, expressed as a percentage, is the ratio of losses and loss adjustment expenses, to net earned premiums.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Expense ratio, </w:t>
      </w:r>
      <w:r>
        <w:rPr>
          <w:rFonts w:ascii="Arial" w:cs="Arial" w:eastAsia="Arial" w:hAnsi="Arial"/>
          <w:sz w:val="18"/>
          <w:szCs w:val="18"/>
          <w:color w:val="auto"/>
        </w:rPr>
        <w:t>expressed as a percentage, is the ratio of acquisition and other underwriting expenses, net of commission and other income to net</w:t>
      </w:r>
      <w:r>
        <w:rPr>
          <w:rFonts w:ascii="Arial" w:cs="Arial" w:eastAsia="Arial" w:hAnsi="Arial"/>
          <w:sz w:val="18"/>
          <w:szCs w:val="18"/>
          <w:i w:val="1"/>
          <w:iCs w:val="1"/>
          <w:color w:val="auto"/>
        </w:rPr>
        <w:t xml:space="preserve"> </w:t>
      </w:r>
      <w:r>
        <w:rPr>
          <w:rFonts w:ascii="Arial" w:cs="Arial" w:eastAsia="Arial" w:hAnsi="Arial"/>
          <w:sz w:val="18"/>
          <w:szCs w:val="18"/>
          <w:color w:val="auto"/>
        </w:rPr>
        <w:t>earned premiums.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Combined ratio </w:t>
      </w:r>
      <w:r>
        <w:rPr>
          <w:rFonts w:ascii="Arial" w:cs="Arial" w:eastAsia="Arial" w:hAnsi="Arial"/>
          <w:sz w:val="18"/>
          <w:szCs w:val="18"/>
          <w:color w:val="auto"/>
        </w:rPr>
        <w:t>is defined as the sum of the loss ratio and the expense ratio. A combined ratio under 100% generally indicates an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profit. A combined ratio over 100% generally indicates an underwriting loss.</w:t>
      </w:r>
    </w:p>
    <w:p>
      <w:pPr>
        <w:spacing w:after="0" w:line="170" w:lineRule="exact"/>
        <w:rPr>
          <w:sz w:val="20"/>
          <w:szCs w:val="20"/>
          <w:color w:val="auto"/>
        </w:rPr>
      </w:pPr>
    </w:p>
    <w:p>
      <w:pPr>
        <w:ind w:right="260" w:firstLine="648"/>
        <w:spacing w:after="0" w:line="221" w:lineRule="exact"/>
        <w:rPr>
          <w:sz w:val="20"/>
          <w:szCs w:val="20"/>
          <w:color w:val="auto"/>
        </w:rPr>
      </w:pPr>
      <w:r>
        <w:rPr>
          <w:rFonts w:ascii="Arial" w:cs="Arial" w:eastAsia="Arial" w:hAnsi="Arial"/>
          <w:sz w:val="16"/>
          <w:szCs w:val="16"/>
          <w:i w:val="1"/>
          <w:iCs w:val="1"/>
          <w:color w:val="auto"/>
        </w:rPr>
        <w:t xml:space="preserve">Adjusted combined ratio </w:t>
      </w:r>
      <w:r>
        <w:rPr>
          <w:rFonts w:ascii="Arial" w:cs="Arial" w:eastAsia="Arial" w:hAnsi="Arial"/>
          <w:sz w:val="16"/>
          <w:szCs w:val="16"/>
          <w:color w:val="auto"/>
        </w:rPr>
        <w:t>is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defined as the sum of the loss ratio and the expense ratio calculated excluding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certain items that may not be indicative of underlying business trends, operating results, or future outlook. See “Reconciliation of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for a reconciliation of combined ratio calculated using unadjusted GAAP numbers to adjusted combined ratio.</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80" w:firstLine="648"/>
        <w:spacing w:after="0" w:line="220" w:lineRule="exact"/>
        <w:rPr>
          <w:sz w:val="20"/>
          <w:szCs w:val="20"/>
          <w:color w:val="auto"/>
        </w:rPr>
      </w:pPr>
      <w:r>
        <w:rPr>
          <w:rFonts w:ascii="Arial" w:cs="Arial" w:eastAsia="Arial" w:hAnsi="Arial"/>
          <w:sz w:val="18"/>
          <w:szCs w:val="18"/>
          <w:i w:val="1"/>
          <w:iCs w:val="1"/>
          <w:color w:val="auto"/>
        </w:rPr>
        <w:t xml:space="preserve">Diluted adjusted earnings per share </w:t>
      </w:r>
      <w:r>
        <w:rPr>
          <w:rFonts w:ascii="Arial" w:cs="Arial" w:eastAsia="Arial" w:hAnsi="Arial"/>
          <w:sz w:val="18"/>
          <w:szCs w:val="18"/>
          <w:color w:val="auto"/>
        </w:rPr>
        <w:t>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defined as adjusted net income divided by the weighted-average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outstanding for the period, reflecting the dilution which could occur if equity-based awards are converted into common share equivalents as calculated using the treasury stock method. See “Reconciliation of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for a reconciliation of diluted earnings per share calculated in accordance with GAAP to diluted adjusted earnings per share.</w:t>
      </w:r>
    </w:p>
    <w:p>
      <w:pPr>
        <w:spacing w:after="0" w:line="204" w:lineRule="exact"/>
        <w:rPr>
          <w:sz w:val="20"/>
          <w:szCs w:val="20"/>
          <w:color w:val="auto"/>
        </w:rPr>
      </w:pPr>
    </w:p>
    <w:p>
      <w:pPr>
        <w:ind w:firstLine="648"/>
        <w:spacing w:after="0" w:line="224" w:lineRule="exact"/>
        <w:rPr>
          <w:sz w:val="20"/>
          <w:szCs w:val="20"/>
          <w:color w:val="auto"/>
        </w:rPr>
      </w:pPr>
      <w:r>
        <w:rPr>
          <w:rFonts w:ascii="Arial" w:cs="Arial" w:eastAsia="Arial" w:hAnsi="Arial"/>
          <w:sz w:val="16"/>
          <w:szCs w:val="16"/>
          <w:i w:val="1"/>
          <w:iCs w:val="1"/>
          <w:color w:val="auto"/>
        </w:rPr>
        <w:t xml:space="preserve">Catastrophe loss ratio </w:t>
      </w:r>
      <w:r>
        <w:rPr>
          <w:rFonts w:ascii="Arial" w:cs="Arial" w:eastAsia="Arial" w:hAnsi="Arial"/>
          <w:sz w:val="16"/>
          <w:szCs w:val="16"/>
          <w:color w:val="auto"/>
        </w:rPr>
        <w:t>is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defined as the ratio of catastrophe losses to net earned premiums. See “Reconciliation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for a reconciliation of loss ratio calculated using unadjusted GAAP numbers to catastrophe loss ratio.</w:t>
      </w:r>
    </w:p>
    <w:p>
      <w:pPr>
        <w:spacing w:after="0" w:line="202"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i w:val="1"/>
          <w:iCs w:val="1"/>
          <w:color w:val="auto"/>
        </w:rPr>
        <w:t xml:space="preserve">Adjusted combined ratio excluding catastrophe losses </w:t>
      </w:r>
      <w:r>
        <w:rPr>
          <w:rFonts w:ascii="Arial" w:cs="Arial" w:eastAsia="Arial" w:hAnsi="Arial"/>
          <w:sz w:val="18"/>
          <w:szCs w:val="18"/>
          <w:color w:val="auto"/>
        </w:rPr>
        <w:t>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defined as adjusted combined ratio excluding the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catastrophe losses. See “Reconciliation of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for a reconciliation of combined ratio calculated using unadjusted GAAP numbers to adjusted combined ratio excluding catastrophe losses.</w:t>
      </w:r>
    </w:p>
    <w:p>
      <w:pPr>
        <w:spacing w:after="0" w:line="20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 xml:space="preserve">Adjusted underwriting income </w:t>
      </w:r>
      <w:r>
        <w:rPr>
          <w:rFonts w:ascii="Arial" w:cs="Arial" w:eastAsia="Arial" w:hAnsi="Arial"/>
          <w:sz w:val="17"/>
          <w:szCs w:val="17"/>
          <w:color w:val="auto"/>
        </w:rPr>
        <w:t>is a non-GAAP financial measure defined as underwriting income excluding the impact of certain items that may</w:t>
      </w:r>
      <w:r>
        <w:rPr>
          <w:rFonts w:ascii="Arial" w:cs="Arial" w:eastAsia="Arial" w:hAnsi="Arial"/>
          <w:sz w:val="17"/>
          <w:szCs w:val="17"/>
          <w:i w:val="1"/>
          <w:iCs w:val="1"/>
          <w:color w:val="auto"/>
        </w:rPr>
        <w:t xml:space="preserve"> </w:t>
      </w:r>
      <w:r>
        <w:rPr>
          <w:rFonts w:ascii="Arial" w:cs="Arial" w:eastAsia="Arial" w:hAnsi="Arial"/>
          <w:sz w:val="17"/>
          <w:szCs w:val="17"/>
          <w:color w:val="auto"/>
        </w:rPr>
        <w:t>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165" w:lineRule="exact"/>
        <w:rPr>
          <w:sz w:val="20"/>
          <w:szCs w:val="20"/>
          <w:color w:val="auto"/>
        </w:rPr>
      </w:pPr>
    </w:p>
    <w:p>
      <w:pPr>
        <w:ind w:right="360" w:firstLine="648"/>
        <w:spacing w:after="0" w:line="224" w:lineRule="exact"/>
        <w:rPr>
          <w:sz w:val="20"/>
          <w:szCs w:val="20"/>
          <w:color w:val="auto"/>
        </w:rPr>
      </w:pPr>
      <w:r>
        <w:rPr>
          <w:rFonts w:ascii="Arial" w:cs="Arial" w:eastAsia="Arial" w:hAnsi="Arial"/>
          <w:sz w:val="16"/>
          <w:szCs w:val="16"/>
          <w:i w:val="1"/>
          <w:iCs w:val="1"/>
          <w:color w:val="auto"/>
        </w:rPr>
        <w:t>Tangible stockholders</w:t>
      </w:r>
      <w:r>
        <w:rPr>
          <w:rFonts w:ascii="Arial" w:cs="Arial" w:eastAsia="Arial" w:hAnsi="Arial"/>
          <w:sz w:val="16"/>
          <w:szCs w:val="16"/>
          <w:color w:val="auto"/>
        </w:rPr>
        <w:t>’</w:t>
      </w:r>
      <w:r>
        <w:rPr>
          <w:rFonts w:ascii="Arial" w:cs="Arial" w:eastAsia="Arial" w:hAnsi="Arial"/>
          <w:sz w:val="16"/>
          <w:szCs w:val="16"/>
          <w:i w:val="1"/>
          <w:iCs w:val="1"/>
          <w:color w:val="auto"/>
        </w:rPr>
        <w:t xml:space="preserve"> equity </w:t>
      </w:r>
      <w:r>
        <w:rPr>
          <w:rFonts w:ascii="Arial" w:cs="Arial" w:eastAsia="Arial" w:hAnsi="Arial"/>
          <w:sz w:val="16"/>
          <w:szCs w:val="16"/>
          <w:color w:val="auto"/>
        </w:rPr>
        <w:t>is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defined as stockholders’ equity less intangible assets. See “Reconciliation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for a reconciliation of stockholders’ equity calculated in accordance with GAAP to tangible stockholders’ equity.</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for the three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vMerge w:val="restart"/>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8"/>
          </w:tcPr>
          <w:p>
            <w:pPr>
              <w:ind w:left="60"/>
              <w:spacing w:after="0"/>
              <w:rPr>
                <w:sz w:val="20"/>
                <w:szCs w:val="20"/>
                <w:color w:val="auto"/>
              </w:rPr>
            </w:pPr>
            <w:r>
              <w:rPr>
                <w:rFonts w:ascii="Arial" w:cs="Arial" w:eastAsia="Arial" w:hAnsi="Arial"/>
                <w:sz w:val="18"/>
                <w:szCs w:val="18"/>
                <w:b w:val="1"/>
                <w:bCs w:val="1"/>
                <w:color w:val="auto"/>
                <w:w w:val="87"/>
              </w:rPr>
              <w:t>in thousands, except per share data)</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274,296</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218,689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55,607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(169,109)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(122,627)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written premiums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105,187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96,062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earned premiums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83,107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80,265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Commission and other income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990</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line="210" w:lineRule="exact"/>
              <w:rPr>
                <w:sz w:val="20"/>
                <w:szCs w:val="20"/>
                <w:color w:val="auto"/>
              </w:rPr>
            </w:pPr>
            <w:r>
              <w:rPr>
                <w:rFonts w:ascii="Arial" w:cs="Arial" w:eastAsia="Arial" w:hAnsi="Arial"/>
                <w:sz w:val="15"/>
                <w:szCs w:val="15"/>
                <w:color w:val="auto"/>
              </w:rPr>
              <w:t xml:space="preserve">Total underwriting revenue </w:t>
            </w:r>
            <w:r>
              <w:rPr>
                <w:rFonts w:ascii="Arial" w:cs="Arial" w:eastAsia="Arial" w:hAnsi="Arial"/>
                <w:sz w:val="24"/>
                <w:szCs w:val="24"/>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83,728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81,255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Losses and loss adjustment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Acquisition expenses, net of ceding commissions and fronting fees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26,057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28,663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underwriting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22,350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18,195</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4,155</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line="210" w:lineRule="exact"/>
              <w:rPr>
                <w:sz w:val="20"/>
                <w:szCs w:val="20"/>
                <w:color w:val="auto"/>
              </w:rPr>
            </w:pPr>
            <w:r>
              <w:rPr>
                <w:rFonts w:ascii="Arial" w:cs="Arial" w:eastAsia="Arial" w:hAnsi="Arial"/>
                <w:sz w:val="15"/>
                <w:szCs w:val="15"/>
                <w:color w:val="auto"/>
              </w:rPr>
              <w:t xml:space="preserve">Underwriting income </w:t>
            </w:r>
            <w:r>
              <w:rPr>
                <w:rFonts w:ascii="Arial" w:cs="Arial" w:eastAsia="Arial" w:hAnsi="Arial"/>
                <w:sz w:val="24"/>
                <w:szCs w:val="24"/>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17,416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19,999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(4,735)</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18,293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4,727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5,458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3,704</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17,562</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14,589</w:t>
            </w:r>
          </w:p>
        </w:tc>
        <w:tc>
          <w:tcPr>
            <w:tcW w:w="60" w:type="dxa"/>
            <w:vAlign w:val="bottom"/>
          </w:tcPr>
          <w:p>
            <w:pPr>
              <w:spacing w:after="0"/>
              <w:rPr>
                <w:sz w:val="18"/>
                <w:szCs w:val="18"/>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line="216" w:lineRule="exact"/>
              <w:rPr>
                <w:sz w:val="20"/>
                <w:szCs w:val="20"/>
                <w:color w:val="auto"/>
              </w:rPr>
            </w:pPr>
            <w:r>
              <w:rPr>
                <w:rFonts w:ascii="Arial" w:cs="Arial" w:eastAsia="Arial" w:hAnsi="Arial"/>
                <w:sz w:val="16"/>
                <w:szCs w:val="16"/>
                <w:color w:val="auto"/>
              </w:rPr>
              <w:t>Net realized and unrealized (gains) losses on investments</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4,735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2,704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Expenses associated with catastrophe bond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Tax impact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180"/>
              <w:spacing w:after="0" w:line="210" w:lineRule="exact"/>
              <w:rPr>
                <w:sz w:val="20"/>
                <w:szCs w:val="20"/>
                <w:color w:val="auto"/>
              </w:rPr>
            </w:pPr>
            <w:r>
              <w:rPr>
                <w:rFonts w:ascii="Arial" w:cs="Arial" w:eastAsia="Arial" w:hAnsi="Arial"/>
                <w:sz w:val="15"/>
                <w:szCs w:val="15"/>
                <w:b w:val="1"/>
                <w:bCs w:val="1"/>
                <w:color w:val="auto"/>
              </w:rPr>
              <w:t xml:space="preserve">Adjusted net income </w:t>
            </w:r>
            <w:r>
              <w:rPr>
                <w:rFonts w:ascii="Arial" w:cs="Arial" w:eastAsia="Arial" w:hAnsi="Arial"/>
                <w:sz w:val="24"/>
                <w:szCs w:val="24"/>
                <w:b w:val="1"/>
                <w:bCs w:val="1"/>
                <w:color w:val="auto"/>
                <w:vertAlign w:val="superscript"/>
              </w:rPr>
              <w:t>(1)(2)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21,794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22,444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7"/>
        </w:trPr>
        <w:tc>
          <w:tcPr>
            <w:tcW w:w="5840" w:type="dxa"/>
            <w:vAlign w:val="bottom"/>
          </w:tcPr>
          <w:p>
            <w:pPr>
              <w:spacing w:after="0" w:line="196" w:lineRule="exact"/>
              <w:rPr>
                <w:sz w:val="20"/>
                <w:szCs w:val="20"/>
                <w:color w:val="auto"/>
              </w:rPr>
            </w:pPr>
            <w:r>
              <w:rPr>
                <w:rFonts w:ascii="Arial" w:cs="Arial" w:eastAsia="Arial" w:hAnsi="Arial"/>
                <w:sz w:val="18"/>
                <w:szCs w:val="18"/>
                <w:color w:val="auto"/>
              </w:rPr>
              <w:t>Key Financial and Operating Metrics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Annualized return on equity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line="216" w:lineRule="exact"/>
              <w:rPr>
                <w:sz w:val="20"/>
                <w:szCs w:val="20"/>
                <w:color w:val="auto"/>
              </w:rPr>
            </w:pPr>
            <w:r>
              <w:rPr>
                <w:rFonts w:ascii="Arial" w:cs="Arial" w:eastAsia="Arial" w:hAnsi="Arial"/>
                <w:sz w:val="16"/>
                <w:szCs w:val="16"/>
                <w:color w:val="auto"/>
              </w:rPr>
              <w:t xml:space="preserve">Annualized adjusted return on equity </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ratio</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Expense ratio</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line="216" w:lineRule="exact"/>
              <w:rPr>
                <w:sz w:val="20"/>
                <w:szCs w:val="20"/>
                <w:color w:val="auto"/>
              </w:rPr>
            </w:pPr>
            <w:r>
              <w:rPr>
                <w:rFonts w:ascii="Arial" w:cs="Arial" w:eastAsia="Arial" w:hAnsi="Arial"/>
                <w:sz w:val="16"/>
                <w:szCs w:val="16"/>
                <w:color w:val="auto"/>
              </w:rPr>
              <w:t xml:space="preserve">Adjusted combined ratio </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0.69</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line="216" w:lineRule="exact"/>
              <w:rPr>
                <w:sz w:val="20"/>
                <w:szCs w:val="20"/>
                <w:color w:val="auto"/>
              </w:rPr>
            </w:pPr>
            <w:r>
              <w:rPr>
                <w:rFonts w:ascii="Arial" w:cs="Arial" w:eastAsia="Arial" w:hAnsi="Arial"/>
                <w:sz w:val="16"/>
                <w:szCs w:val="16"/>
                <w:color w:val="auto"/>
              </w:rPr>
              <w:t xml:space="preserve">Diluted adjusted earnings per share </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0.86</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Catastrophe losses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2,159</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line="216" w:lineRule="exact"/>
              <w:rPr>
                <w:sz w:val="20"/>
                <w:szCs w:val="20"/>
                <w:color w:val="auto"/>
              </w:rPr>
            </w:pPr>
            <w:r>
              <w:rPr>
                <w:rFonts w:ascii="Arial" w:cs="Arial" w:eastAsia="Arial" w:hAnsi="Arial"/>
                <w:sz w:val="16"/>
                <w:szCs w:val="16"/>
                <w:color w:val="auto"/>
              </w:rPr>
              <w:t xml:space="preserve">Catastrophe loss ratio </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Adjusted combined ratio excluding catastrophe losses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840" w:type="dxa"/>
            <w:vAlign w:val="bottom"/>
          </w:tcPr>
          <w:p>
            <w:pPr>
              <w:spacing w:after="0"/>
              <w:rPr>
                <w:sz w:val="20"/>
                <w:szCs w:val="20"/>
                <w:color w:val="auto"/>
              </w:rPr>
            </w:pPr>
            <w:r>
              <w:rPr>
                <w:rFonts w:ascii="Arial" w:cs="Arial" w:eastAsia="Arial" w:hAnsi="Arial"/>
                <w:sz w:val="18"/>
                <w:szCs w:val="18"/>
                <w:color w:val="auto"/>
              </w:rPr>
              <w:t xml:space="preserve">Adjusted underwriting income </w:t>
            </w:r>
            <w:r>
              <w:rPr>
                <w:rFonts w:ascii="Arial" w:cs="Arial" w:eastAsia="Arial" w:hAnsi="Arial"/>
                <w:sz w:val="29"/>
                <w:szCs w:val="29"/>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23,092</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24,808</w:t>
            </w:r>
          </w:p>
        </w:tc>
        <w:tc>
          <w:tcPr>
            <w:tcW w:w="60" w:type="dxa"/>
            <w:vAlign w:val="bottom"/>
          </w:tcPr>
          <w:p>
            <w:pPr>
              <w:spacing w:after="0"/>
              <w:rPr>
                <w:sz w:val="24"/>
                <w:szCs w:val="24"/>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660" w:right="240" w:hanging="328"/>
        <w:spacing w:after="0" w:line="223"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non-GAAP financial measure; see “Reconciliation of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for a reconciliation of the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to their most directly comparable financial measures prepared in accordance with GAAP.</w:t>
      </w:r>
    </w:p>
    <w:p>
      <w:pPr>
        <w:spacing w:after="0" w:line="202" w:lineRule="exact"/>
        <w:rPr>
          <w:rFonts w:ascii="Arial" w:cs="Arial" w:eastAsia="Arial" w:hAnsi="Arial"/>
          <w:sz w:val="18"/>
          <w:szCs w:val="18"/>
          <w:color w:val="auto"/>
        </w:rPr>
      </w:pPr>
    </w:p>
    <w:p>
      <w:pPr>
        <w:ind w:left="660" w:right="220" w:hanging="328"/>
        <w:spacing w:after="0" w:line="31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now include the impact of net realized and unrealized losses and gains on investments as an adjustment to our net income. As this balance is primarily driven by equity market fluctuations rather than our underlying business performance, we believe adding this adjustment provides a more meaningful comparison of our performance. We have also changed the prior year adjusted net income to conform to this presentation.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Written Premiums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written premiums increased $55.6 million, or 25.4% to $274.3 million for the three months ended June 30, 2023 compared to</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$218.7 million for the three months ended June 30, 2022.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w w:val="90"/>
              </w:rPr>
              <w:t>Three Months Ended 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 of</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6"/>
              </w:rPr>
              <w:t>in thousands)</w:t>
            </w:r>
          </w:p>
        </w:tc>
        <w:tc>
          <w:tcPr>
            <w:tcW w:w="10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gridSpan w:val="2"/>
            <w:vMerge w:val="restart"/>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9"/>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w w:val="99"/>
              </w:rPr>
              <w:t>Amount</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GWP</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GWP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Fronting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80,211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38,057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Earthquake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65,102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11,012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Commercial Earthquake</w:t>
            </w: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42,826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9,723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Inland Marine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12,405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Casualty</w:t>
            </w: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7,184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All Risk</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Hawaii Hurricane</w:t>
            </w: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Flood</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Specialty Homeowners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13,891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(13,929)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3180" w:type="dxa"/>
            <w:vAlign w:val="bottom"/>
          </w:tcPr>
          <w:p>
            <w:pPr>
              <w:ind w:left="180"/>
              <w:spacing w:after="0"/>
              <w:rPr>
                <w:sz w:val="20"/>
                <w:szCs w:val="20"/>
                <w:color w:val="auto"/>
              </w:rPr>
            </w:pPr>
            <w:r>
              <w:rPr>
                <w:rFonts w:ascii="Arial" w:cs="Arial" w:eastAsia="Arial" w:hAnsi="Arial"/>
                <w:sz w:val="18"/>
                <w:szCs w:val="18"/>
                <w:color w:val="auto"/>
              </w:rPr>
              <w:t>Total Gross Written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274,296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55,607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fourth quarter of 2021, we launched our fronting business, known as PLMR-FRONT. In a fronting agreement, we write the premium and then cede the majority of the premium and risk in exchange for a fronting fee, which is our primary source of profit in the arrangement. We have subsequently entered several fronting partnerships which drove the above increase in premiums. The volume of fronting premiums written each period may vary due to the timing of entering new fronting partnerships and terminations of existing fronting partnerships.</w:t>
      </w:r>
    </w:p>
    <w:p>
      <w:pPr>
        <w:spacing w:after="0" w:line="171"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During the second quarter of 2022, we ceased writing Specialty Homeowners business outside of Texas and converted our Texas Specialty Homeowners business to a fronting arrangement beginning June 1, 2022. These underwriting changes caused the decline in Specialty Homeowners premiums and contributed to the increase in Fronting premiums shown above. In addition, we have recently made underwriting changes to reduce our exposure to continental U.S. hurricane events. These underwriting changes contributed to the decline in Commercial All Risk premiums shown above.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gross written premiums by insurance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w w:val="90"/>
              </w:rPr>
              <w:t>Three Months Ended June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of</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8"/>
              </w:rPr>
              <w:t>in thousands)</w:t>
            </w: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gridSpan w:val="2"/>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9"/>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Amount</w:t>
            </w: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GWP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GWP</w:t>
            </w: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Subsidiary</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rPr>
              <w:t>PSIC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159,846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116,338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PESIC</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102,351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tcPr>
          <w:p>
            <w:pPr>
              <w:ind w:left="180"/>
              <w:spacing w:after="0"/>
              <w:rPr>
                <w:sz w:val="20"/>
                <w:szCs w:val="20"/>
                <w:color w:val="auto"/>
              </w:rPr>
            </w:pPr>
            <w:r>
              <w:rPr>
                <w:rFonts w:ascii="Arial" w:cs="Arial" w:eastAsia="Arial" w:hAnsi="Arial"/>
                <w:sz w:val="18"/>
                <w:szCs w:val="18"/>
                <w:color w:val="auto"/>
              </w:rPr>
              <w:t>Total Gross Written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274,296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218,689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55,607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Written Premiums</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Ceded written premiums increased $46.5 million, or 37.9%, to $169.1 million for the three months ended June 30, 2023 from $122.6 million for the three months ended June 30, 2022. The increase was primarily due to increased premiums ceded under quota share and fronting agreements due to growth in the volume of written premiums subject to quota share or fronting agreements. In addition, we incurred increased excess of loss (“XOL”) reinsurance expense primarily due to growth in exposure, in addition to higher rates on XOL reinsurance.</w:t>
      </w:r>
    </w:p>
    <w:p>
      <w:pPr>
        <w:spacing w:after="0" w:line="17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Ceded written premiums as a percentage of gross written premiums increased to 61.7% for the three months ended June 30, 2023 from 56.1% for the three months ended June 30, 2022. This increase was primarily due to increased fronting and quota share cessions as previously described.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Written Premiums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Net written premiums increased $9.1 million, or 9.5%, to $105.2 million for the three months ended June 30, 2023 from $96.1 million for the three months ended June 30, 2022. The increase was primarily due to an increase in gross written premiums, primarily in our Residential Earthquake and Inland Marine lines partially offset by increased ceded written premiums.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Earned Premiums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Net earned premiums increased $2.8 million, or 3.5%, to $83.1 million for the three months ended June 30, 2023 from $80.3 million for the three months ended June 30, 2022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earned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242,189</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158,142</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Ceded earned premiums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(159,082)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83,107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 ratio</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decline in net earned premium ratio shown above was primarily caused by an increase to fronting premiums whereby the majority of premium and exposure is ceded in exchange for a fronting fee which is recognized as an offset to acquisition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 and Other Income</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Commission and other income decreased $0.4 million to $0.6 million for the three months ended June 30, 2023 from $1.0 million for the three months ended June 30, 2022. The balance decreased due to a decrease in commissions from a lower volume of policies written through our internal managing general agency, Palomar Insurance Agency.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and Loss Adjustment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Losses and loss adjustment expenses increased $3.5 million, or 24.4% to $17.9 million for the three months ended June 30, 2023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$14.4 million for the three months ended June 30, 2022. Losses and loss adjustment expenses consisted of the following elements during the respective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Catastrophe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2,159</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Non-catastrophe losses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15,746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losses and loss adjustment expenses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catastrophe loss ratio was 2.6% during the three months ended June 30, 2023. Catastrophe losses for the quarter were primarily related to severe convective storms, offset by favorable development on prior year catastrophe events.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catastrophe loss ratio was 0.7% during the three months ended June 30, 2022. Catastrophe losses were related to unfavorable development on prior year catastrophe events.</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non-catastrophe loss ratio was 18.9% for the three months ended June 30, 2023 compared to 17.2% during the three months ended June 30, 2022. Non-catastrophe losses increased due mainly to higher attritional losses on lines of business subject to attritional losses such as Commercial All Risk, Casualty, and Inland Marine.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Acquisition expenses decreased $2.6 million, or 9.1%, to $26.1 million for the three months ended June 30, 2023 from $28.7 million for the three months ended June 30, 2022. The decrease was primarily due to higher earned ceding commissions and fronting fees due to an increase in premiums subject to a quota share or fronting agreement. This was partially offset by higher commissions and premium-related taxes resulting from higher gross earned premiums. Acquisition expenses as a percentage of gross earned premiums were 10.8% for the three months ended June 30, 2023 compared to</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18.1% for the three months ended June 30, 2022. Acquisition expenses as a percentage of gross earned premiums decreased due to the recognition of higher ceding commission and fronting fee income as a percentage of gross earned premiums resulting from changes in mix of business produced.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Underwriting Expenses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Other underwriting expenses increased $4.2 million, or 22.8%, to $22.4 million for the three months ended June 30, 2023 from $18.2 million for the three months ended June 30, 2022. The increase was primarily due to the Company incurring higher payroll, technology, and stock-based compensation expenses associated with growth of the Company.</w:t>
      </w:r>
    </w:p>
    <w:p>
      <w:pPr>
        <w:spacing w:after="0" w:line="18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Other underwriting expenses as a percentage of gross earned premiums were 9.2% for the three months ended June 30, 2023 compared to 11.5% for the three months ended June 30, 2022. Excluding the impact of expenses relating to transactions, stock-based compensation, amortization of intangibles, and catastrophe bonds, other underwriting expenses as a percentage of gross earned premiums were 6.9% for the three months ended June 30, 2023 compared to 8.5% for the three months ended June 30, 2022.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Net Realized and Unrealized Gains (Losses) on Investments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Net investment income increased $2.4 million, or 76.5%, to $5.5 million for the three months ended June 30, 2023 from $3.1 million for the three months ended June 30, 2022. The increase was primarily due to a higher average balance of investments during the three months ended June 30, 2023 and higher yields on invested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incurred $1.1 million of net realized and unrealized gains on investments for the three months ended June 30, 2023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$4.7 million of net realized and unrealized losses for the three months ended June 30, 2022 due primarily to gains on our equity securities during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2023 versus losses during the period ended June 30, 2022. Unrealized gains and losses on fixed maturity securities are recognized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component of other comprehensive income and do not impact our net income. The following table summarizes the components of our investment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each period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Dividend income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management fees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5,862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6,668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8,263</w:t>
            </w: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NM- not meaningful</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Income tax expense increased $1.8 million, or 47.4% to $5.5 million for the three months ended June 30, 2023 from $3.7 million for the three months ended June 30, 2022 due to higher pre-tax income and a higher tax rate for the period ended June 30, 2023. During the three months ended June 30, 2023, our income tax rate of 23.7% was higher than the statutory rate of 21% due primarily to non-deductible executive compensation expense. During the three months ended June 30, 2022, our income tax rate of 20.2% was lower than the statutory rate of 21% due primarily to the permanent component of employee stock option exercises.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for the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vMerge w:val="restart"/>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8"/>
          </w:tcPr>
          <w:p>
            <w:pPr>
              <w:ind w:left="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Gross written premiums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524,407</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389,623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134,784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Ceded written premiums</w:t>
            </w: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(339,453)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(212,179)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written premiums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184,954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earned premiums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166,347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156,297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10,050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Commission and other income</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1,316</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line="210" w:lineRule="exact"/>
              <w:rPr>
                <w:sz w:val="20"/>
                <w:szCs w:val="20"/>
                <w:color w:val="auto"/>
              </w:rPr>
            </w:pPr>
            <w:r>
              <w:rPr>
                <w:rFonts w:ascii="Arial" w:cs="Arial" w:eastAsia="Arial" w:hAnsi="Arial"/>
                <w:sz w:val="15"/>
                <w:szCs w:val="15"/>
                <w:color w:val="auto"/>
              </w:rPr>
              <w:t xml:space="preserve">Total underwriting revenue </w:t>
            </w:r>
            <w:r>
              <w:rPr>
                <w:rFonts w:ascii="Arial" w:cs="Arial" w:eastAsia="Arial" w:hAnsi="Arial"/>
                <w:sz w:val="24"/>
                <w:szCs w:val="24"/>
                <w:color w:val="auto"/>
                <w:vertAlign w:val="superscript"/>
              </w:rPr>
              <w:t>(1)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167,663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158,064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9,599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Losses and loss adjustment expenses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38,557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9"/>
              </w:rPr>
              <w:t>Acquisition expenses, net of ceding commissions and fronting fees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51,736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56,718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underwriting expenses</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41,572</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34,119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7,453</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line="210" w:lineRule="exact"/>
              <w:rPr>
                <w:sz w:val="20"/>
                <w:szCs w:val="20"/>
                <w:color w:val="auto"/>
              </w:rPr>
            </w:pPr>
            <w:r>
              <w:rPr>
                <w:rFonts w:ascii="Arial" w:cs="Arial" w:eastAsia="Arial" w:hAnsi="Arial"/>
                <w:sz w:val="15"/>
                <w:szCs w:val="15"/>
                <w:color w:val="auto"/>
              </w:rPr>
              <w:t xml:space="preserve">Underwriting income </w:t>
            </w:r>
            <w:r>
              <w:rPr>
                <w:rFonts w:ascii="Arial" w:cs="Arial" w:eastAsia="Arial" w:hAnsi="Arial"/>
                <w:sz w:val="24"/>
                <w:szCs w:val="24"/>
                <w:color w:val="auto"/>
                <w:vertAlign w:val="superscript"/>
              </w:rPr>
              <w:t>(1)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35,798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investment income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10,661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1,273</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7,287</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45,648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10,774</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8,251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9"/>
        </w:trPr>
        <w:tc>
          <w:tcPr>
            <w:tcW w:w="532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34,874</w:t>
            </w: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29,126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5,748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Adjustments: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Arial" w:cs="Arial" w:eastAsia="Arial" w:hAnsi="Arial"/>
                <w:sz w:val="16"/>
                <w:szCs w:val="16"/>
                <w:color w:val="auto"/>
              </w:rPr>
              <w:t>Net realized and unrealized (gains) losses on investments</w:t>
            </w:r>
            <w:r>
              <w:rPr>
                <w:rFonts w:ascii="Arial" w:cs="Arial" w:eastAsia="Arial" w:hAnsi="Arial"/>
                <w:sz w:val="25"/>
                <w:szCs w:val="25"/>
                <w:color w:val="auto"/>
                <w:vertAlign w:val="superscript"/>
              </w:rPr>
              <w:t>(2)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Expenses associated with transactions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7,147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Expenses associated with catastrophe bond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impact</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9"/>
        </w:trPr>
        <w:tc>
          <w:tcPr>
            <w:tcW w:w="5320" w:type="dxa"/>
            <w:vAlign w:val="bottom"/>
          </w:tcPr>
          <w:p>
            <w:pPr>
              <w:ind w:left="180"/>
              <w:spacing w:after="0" w:line="210" w:lineRule="exact"/>
              <w:rPr>
                <w:sz w:val="20"/>
                <w:szCs w:val="20"/>
                <w:color w:val="auto"/>
              </w:rPr>
            </w:pPr>
            <w:r>
              <w:rPr>
                <w:rFonts w:ascii="Arial" w:cs="Arial" w:eastAsia="Arial" w:hAnsi="Arial"/>
                <w:sz w:val="15"/>
                <w:szCs w:val="15"/>
                <w:b w:val="1"/>
                <w:bCs w:val="1"/>
                <w:color w:val="auto"/>
              </w:rPr>
              <w:t xml:space="preserve">Adjusted net income </w:t>
            </w:r>
            <w:r>
              <w:rPr>
                <w:rFonts w:ascii="Arial" w:cs="Arial" w:eastAsia="Arial" w:hAnsi="Arial"/>
                <w:sz w:val="24"/>
                <w:szCs w:val="24"/>
                <w:b w:val="1"/>
                <w:bCs w:val="1"/>
                <w:color w:val="auto"/>
                <w:vertAlign w:val="superscript"/>
              </w:rPr>
              <w:t>(1)(2)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42,234</w:t>
            </w: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41,026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Key Financial and Operating Metrics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Annualized return on equity</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Annualized adjusted return on equity </w:t>
            </w:r>
            <w:r>
              <w:rPr>
                <w:rFonts w:ascii="Arial" w:cs="Arial" w:eastAsia="Arial" w:hAnsi="Arial"/>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Loss ratio</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Expense ratio</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Combined ratio</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Adjusted combined ratio </w:t>
            </w:r>
            <w:r>
              <w:rPr>
                <w:rFonts w:ascii="Arial" w:cs="Arial" w:eastAsia="Arial" w:hAnsi="Arial"/>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Diluted adjusted earnings per share </w:t>
            </w:r>
            <w:r>
              <w:rPr>
                <w:rFonts w:ascii="Arial" w:cs="Arial" w:eastAsia="Arial" w:hAnsi="Arial"/>
                <w:sz w:val="25"/>
                <w:szCs w:val="25"/>
                <w:color w:val="auto"/>
                <w:vertAlign w:val="superscript"/>
              </w:rPr>
              <w:t>(1)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Catastrophe losses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3,965</w:t>
            </w: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Catastrophe loss ratio </w:t>
            </w:r>
            <w:r>
              <w:rPr>
                <w:rFonts w:ascii="Arial" w:cs="Arial" w:eastAsia="Arial" w:hAnsi="Arial"/>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Arial" w:cs="Arial" w:eastAsia="Arial" w:hAnsi="Arial"/>
                <w:sz w:val="16"/>
                <w:szCs w:val="16"/>
                <w:color w:val="auto"/>
              </w:rPr>
              <w:t xml:space="preserve">Adjusted combined ratio excluding catastrophe losses </w:t>
            </w:r>
            <w:r>
              <w:rPr>
                <w:rFonts w:ascii="Arial" w:cs="Arial" w:eastAsia="Arial" w:hAnsi="Arial"/>
                <w:sz w:val="25"/>
                <w:szCs w:val="25"/>
                <w:color w:val="auto"/>
                <w:vertAlign w:val="superscript"/>
              </w:rPr>
              <w:t>(1)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Adjusted underwriting income </w:t>
            </w:r>
            <w:r>
              <w:rPr>
                <w:rFonts w:ascii="Arial" w:cs="Arial" w:eastAsia="Arial" w:hAnsi="Arial"/>
                <w:sz w:val="25"/>
                <w:szCs w:val="25"/>
                <w:color w:val="auto"/>
                <w:vertAlign w:val="superscript"/>
              </w:rPr>
              <w:t>(1)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45,288</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46,044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4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Indicates non-GAAP financial measure; see “Reconciliation of Non-GAAP Financial Measures” for a reconciliation of the non-GAAP financial measures to their most directly comparable financial measures prepared in accordance with GAAP.</w:t>
      </w:r>
    </w:p>
    <w:p>
      <w:pPr>
        <w:spacing w:after="0" w:line="170" w:lineRule="exact"/>
        <w:rPr>
          <w:rFonts w:ascii="Arial" w:cs="Arial" w:eastAsia="Arial" w:hAnsi="Arial"/>
          <w:sz w:val="18"/>
          <w:szCs w:val="18"/>
          <w:color w:val="auto"/>
        </w:rPr>
      </w:pPr>
    </w:p>
    <w:p>
      <w:pPr>
        <w:ind w:left="400" w:right="240" w:hanging="251"/>
        <w:spacing w:after="0" w:line="287"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now include the impact of net realized and unrealized losses and gains on investments as an adjustment to our net income. As this balance is primarily driven by equity market fluctuations rather than our underlying business performance, we believe adding this adjustment provides a more meaningful comparison of our performance. We have also changed the prior year adjusted net income to conform to this presentation.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Written Premiums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Gross written premiums increased $134.8 million, or 34.6% to $524.4 million for the six months ended June 30, 2023 compared to $389.6 million for the six months ended June 30, 2022.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w w:val="92"/>
              </w:rPr>
              <w:t>Six Months Ended June 30,</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 of</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6"/>
              </w:rPr>
              <w:t>in thousands)</w:t>
            </w:r>
          </w:p>
        </w:tc>
        <w:tc>
          <w:tcPr>
            <w:tcW w:w="116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w w:val="99"/>
              </w:rPr>
              <w:t>Amount</w:t>
            </w: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GWP</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Amount</w:t>
            </w: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GWP</w:t>
            </w:r>
          </w:p>
        </w:tc>
        <w:tc>
          <w:tcPr>
            <w:tcW w:w="18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Fronting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171,967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71,999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99,968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Earthquake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120,827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100,426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Commercial Earthquake</w:t>
            </w: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58,247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22,350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Inland Marine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Casualty</w:t>
            </w: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26,722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13,918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All Risk</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Hawaii Hurricane</w:t>
            </w: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2,513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Flood</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Specialty Homeowners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(30,273)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tcPr>
          <w:p>
            <w:pPr>
              <w:ind w:left="180"/>
              <w:spacing w:after="0"/>
              <w:rPr>
                <w:sz w:val="20"/>
                <w:szCs w:val="20"/>
                <w:color w:val="auto"/>
              </w:rPr>
            </w:pPr>
            <w:r>
              <w:rPr>
                <w:rFonts w:ascii="Arial" w:cs="Arial" w:eastAsia="Arial" w:hAnsi="Arial"/>
                <w:sz w:val="18"/>
                <w:szCs w:val="18"/>
                <w:color w:val="auto"/>
              </w:rPr>
              <w:t>Total Gross Written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524,407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389,623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134,784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fourth quarter of 2021, we launched our fronting business, known as PLMR-FRONT. In a fronting agreement, we write the premium and then cede the majority of the premium and risk in exchange for a fronting fee, which is our primary source of profit in the arrangement. We expect to continue to write fronting premiums for the foreseeable future. The volume of fronting premiums written each period may vary due to the timing of entering new fronting partnerships and terminations of fronting partnerships.</w:t>
      </w:r>
    </w:p>
    <w:p>
      <w:pPr>
        <w:spacing w:after="0" w:line="187"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During the second quarter of 2022, we ceased writing Specialty Homeowners business outside of Texas and converted our Texas Specialty Homeowners business to a fronting arrangement beginning June 1, 2022. These underwriting changes caused the decline in Specialty Homeowners premiums and contributed to the increase in Fronting premiums shown above. In addition, we have recently made underwriting changes to reduce our exposure to continental U.S. hurricane events. These underwriting changes contributed to the decline in Commercial All Risk premiums shown above.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gross written premiums by insurance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w w:val="92"/>
              </w:rPr>
              <w:t>Six Months Ended June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of</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8"/>
              </w:rPr>
              <w:t>in thousands)</w:t>
            </w: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9"/>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GWP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GWP</w:t>
            </w: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Subsidiary</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rPr>
              <w:t>PSIC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310,550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220,342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90,208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PESIC</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169,281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44,576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tcPr>
          <w:p>
            <w:pPr>
              <w:ind w:left="180"/>
              <w:spacing w:after="0"/>
              <w:rPr>
                <w:sz w:val="20"/>
                <w:szCs w:val="20"/>
                <w:color w:val="auto"/>
              </w:rPr>
            </w:pPr>
            <w:r>
              <w:rPr>
                <w:rFonts w:ascii="Arial" w:cs="Arial" w:eastAsia="Arial" w:hAnsi="Arial"/>
                <w:sz w:val="18"/>
                <w:szCs w:val="18"/>
                <w:color w:val="auto"/>
              </w:rPr>
              <w:t>Total Gross Written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524,407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389,623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134,784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Written Premiums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Ceded written premiums increased $127.3 million, or 60.0%, to $339.5 million for the six months ended June 30, 2023 from $212.2 million for the six months ended June 30, 2022. The increase was primarily due to increased premium ceded under fronting agreements due to growth in fronting premiums written and growth in the volume of written premiums subject to quota shares. In addition, we incurred increased XOL reinsurance expense due to growth in exposure, in addition to higher rates on XOL reinsurance.</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Ceded written premiums as a percentage of gross written premiums increased to 64.7% for the six months ended June 30, 2023 from 54.5% for the six months ended June 30, 2022. This increase was primarily due to increased quota share and fronting cessions as previously described.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Written Premiums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Net written premiums increased $7.5 million, or 4.2%, to $185.0 million for the six months ended June 30, 2023 from $177.4 million for the six months ended June 30, 2022. The increase was primarily due to an increase in gross written premiums, primarily in our Commercial Earthquake and Inland Marine lines, partially offset by increased ceded written premiums.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Earned Premiums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earned premiums increased $10.1 million, or 6.4%, to $166.3 million for the six months ended June 30, 2023 from $156.3 million for the six months ended June 30, 2022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earned premiums</w:t>
            </w:r>
          </w:p>
        </w:tc>
        <w:tc>
          <w:tcPr>
            <w:tcW w:w="22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467,432</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297,067</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170,365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Ceded earned premiums</w:t>
            </w:r>
          </w:p>
        </w:tc>
        <w:tc>
          <w:tcPr>
            <w:tcW w:w="2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(301,085)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(140,770)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2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166,347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156,297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 ratio</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decline in earned premium ratio shown above was primarily caused by an increase to fronting premiums whereby the majority of premium and exposure is ceded in exchange for a fronting fee which is recognized as an offset to acquisition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 and Other Income</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Commission and other income decreased by $0.5 million, or 25.5%, to $1.3 million for the six months ended June 30, 2023, from $1.8 million for the six months ended June 30, 2022. The balance decreased due to a decrease in commissions from a lower volume of policies written through our internal managing general agency, Palomar Insurance Agency.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and Loss Adjustment Expenses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Losses and loss adjustment expenses increased $9.2 million to $38.6 million for the six months ended June 30, 2023 from $29.4 million for the six months ended June 30, 2022. Losses and loss adjustment expenses consisted of the following elements during the respective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Catastrophe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Non-catastrophe losses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34,592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losses and loss adjustment expenses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9,206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catastrophe loss ratio was 2.4% during the six months ended June 30, 2023. Catastrophe losses were related to floods occurring during the first quarter and severe convective storms occurring during the second quarter.</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catastrophe loss ratio was 0.7% during the six months ended June 30, 2022. Catastrophe losses were related to unfavorable development on prior year catastrophe events.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non-catastrophe loss ratio was 20.8% for the six months ended June 30, 2023 compared to 18.1% during the six months ended June 30, 2022. Non-catastrophe losses increased due mainly to higher attritional losses on lines of business subject to attritional losses such as Commercial All Risk, Casualty, and Inland Marine.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Acquisition expenses decreased $5.0 million, or 8.8%, to $51.7 million for the six months ended June 30, 2023 from $56.7 million for the six months ended June 30, 2022. The decrease was primarily due to higher earned ceding commissions and fronting fees due to an increase in premiums subject to a quota share or fronting agreement. This was partially offset by higher commissions and premium-related taxes resulting from higher gross earned premiums. Acquisition expenses as a percentage of gross earned premiums were 11.1% for the six months ended June 30, 2023 compared to 19.1% for the six months ended June 30, 2022. Acquisition expenses as a percentage of gross earned premiums decreased due to the recognition of higher ceding commission and fronting fee income as a percentage of gross earned premiums due to changes in mix of business produced.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Underwriting Expenses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Other underwriting expenses increased $7.5 million, or 21.8%, to $41.6 million for the six months ended June 30, 2023 from $34.1 million for the six months ended June 30, 2022. The increase was primarily due to the Company incurring higher payroll, technology, stock-based compensation, and professional fees expenses associated with growth of the Company.</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Other underwriting expenses as a percentage of gross earned premiums were 8.9% for the six months ended June 30, 2023 compared to 11.5% for the six months ended June 30, 2022. Excluding the impact of expenses relating to transactions, stock-based compensation, amortization of intangibles, and catastrophe bonds, other underwriting expenses as a percentage of gross earned premiums were 6.9% for the six months ended June 30, 2023 compared to 8.7% for the six months ended June 30, 2022.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Net Realized and Unrealized Gains (Losses) on Investments</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Net investment income increased $4.9 million, or 86.4%, to $10.7 million for the six months ended June 30, 2023 from $5.7 million for the six months ended June 30, 2022. The increase was primarily due to a higher average balance of investments during the six months ended June 30, 2023 and higher yields on invested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incurred $1.3 million of net realized and unrealized gains on investments for the six months ended June 30, 2023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million of net realized and unrealized losses for the six months ended June 30, 2022 due primarily to gains on our equity securities during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2023 compared to losses during the period ended June 30, 2022. Unrealized gains and losses on fixed maturity securities are recognized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component of other comprehensive income and do not impact our net income. The following table summarizes the components of our investment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each period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Dividend income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management fees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10,661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7,287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11,934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12,229</w:t>
            </w: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Income tax expense increased $2.5 million or 30.6% to $10.8 million for the six months ended June 30, 2023 from $8.3 million for the six months ended June 30, 2022 due to higher pre-tax income and a higher effective tax rate during the six months ended June 30, 2023. During the six months ended June 30, 2023, our income tax rate of 23.6% was higher than the statutory rate of 21% due primarily to non-deductible executive compensation expense.</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For the six months ended June 30, 2022 our income tax rate of 22.1% was higher than the statutory rate also due primarily to non-deductible executive compensation expense.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Reconciliation of Non</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Revenue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calculated in accordance with GAAP reconciles to underwriting revenue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r>
      <w:tr>
        <w:trPr>
          <w:trHeight w:val="209"/>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09"/>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90,396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79,660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179,597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157,769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(5,719)</w:t>
            </w: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6,014</w:t>
            </w: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Underwriting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83,728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81,255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167,663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158,064</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Income and Adjusted Underwriting Income</w:t>
      </w:r>
    </w:p>
    <w:p>
      <w:pPr>
        <w:spacing w:after="0" w:line="225" w:lineRule="exact"/>
        <w:rPr>
          <w:sz w:val="20"/>
          <w:szCs w:val="20"/>
          <w:color w:val="auto"/>
        </w:rPr>
      </w:pPr>
    </w:p>
    <w:p>
      <w:pPr>
        <w:ind w:right="160" w:firstLine="648"/>
        <w:spacing w:after="0" w:line="219" w:lineRule="exact"/>
        <w:rPr>
          <w:sz w:val="20"/>
          <w:szCs w:val="20"/>
          <w:color w:val="auto"/>
        </w:rPr>
      </w:pPr>
      <w:r>
        <w:rPr>
          <w:rFonts w:ascii="Arial" w:cs="Arial" w:eastAsia="Arial" w:hAnsi="Arial"/>
          <w:sz w:val="17"/>
          <w:szCs w:val="17"/>
          <w:color w:val="auto"/>
        </w:rPr>
        <w:t>We define underwriting income as income before income taxes excluding net investment income, net realized and unrealized gains and losses on investments, and interest expense. Underwriting income represents the pre</w:t>
      </w:r>
      <w:r>
        <w:rPr>
          <w:rFonts w:ascii="MS PGothic" w:cs="MS PGothic" w:eastAsia="MS PGothic" w:hAnsi="MS PGothic"/>
          <w:sz w:val="17"/>
          <w:szCs w:val="17"/>
          <w:color w:val="auto"/>
        </w:rPr>
        <w:t>‑</w:t>
      </w:r>
      <w:r>
        <w:rPr>
          <w:rFonts w:ascii="Arial" w:cs="Arial" w:eastAsia="Arial" w:hAnsi="Arial"/>
          <w:sz w:val="17"/>
          <w:szCs w:val="17"/>
          <w:color w:val="auto"/>
        </w:rPr>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r>
      <w:r>
        <w:rPr>
          <w:rFonts w:ascii="MS PGothic" w:cs="MS PGothic" w:eastAsia="MS PGothic" w:hAnsi="MS PGothic"/>
          <w:sz w:val="17"/>
          <w:szCs w:val="17"/>
          <w:color w:val="auto"/>
        </w:rPr>
        <w:t>‑</w:t>
      </w:r>
      <w:r>
        <w:rPr>
          <w:rFonts w:ascii="Arial" w:cs="Arial" w:eastAsia="Arial" w:hAnsi="Arial"/>
          <w:sz w:val="17"/>
          <w:szCs w:val="17"/>
          <w:color w:val="auto"/>
        </w:rPr>
        <w:t>tax income calculated in accordance with GAAP, and other companies may define underwriting income differently.</w:t>
      </w:r>
    </w:p>
    <w:p>
      <w:pPr>
        <w:spacing w:after="0" w:line="205"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8"/>
          <w:szCs w:val="18"/>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r>
      <w:r>
        <w:rPr>
          <w:rFonts w:ascii="MS PGothic" w:cs="MS PGothic" w:eastAsia="MS PGothic" w:hAnsi="MS PGothic"/>
          <w:sz w:val="18"/>
          <w:szCs w:val="18"/>
          <w:color w:val="auto"/>
        </w:rPr>
        <w:t>‑</w:t>
      </w:r>
      <w:r>
        <w:rPr>
          <w:rFonts w:ascii="Arial" w:cs="Arial" w:eastAsia="Arial" w:hAnsi="Arial"/>
          <w:sz w:val="18"/>
          <w:szCs w:val="18"/>
          <w:color w:val="auto"/>
        </w:rPr>
        <w:t>tax income calculated in accordance with GAAP. Other companies may define adjusted underwriting income differently.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before income taxes calculated in accordance with GAAP reconciles to underwriting income and adjusted underwriting income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09"/>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23,020</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18,293</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45,648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37,377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r>
      <w:tr>
        <w:trPr>
          <w:trHeight w:val="25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37,876</w:t>
            </w: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color w:val="auto"/>
              </w:rPr>
              <w:t>Expenses associated with transactions</w:t>
            </w:r>
          </w:p>
        </w:tc>
        <w:tc>
          <w:tcPr>
            <w:tcW w:w="240" w:type="dxa"/>
            <w:vAlign w:val="bottom"/>
          </w:tcPr>
          <w:p>
            <w:pPr>
              <w:spacing w:after="0"/>
              <w:rPr>
                <w:sz w:val="17"/>
                <w:szCs w:val="17"/>
                <w:color w:val="auto"/>
              </w:rPr>
            </w:pP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628</w:t>
            </w: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 associated with catastrophe bond</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Adjusted underwriting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23,092</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24,808</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45,288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46,044</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7600" w:type="dxa"/>
            <w:vAlign w:val="bottom"/>
            <w:gridSpan w:val="7"/>
          </w:tcPr>
          <w:p>
            <w:pPr>
              <w:ind w:left="660"/>
              <w:spacing w:after="0"/>
              <w:rPr>
                <w:sz w:val="20"/>
                <w:szCs w:val="20"/>
                <w:color w:val="auto"/>
              </w:rPr>
            </w:pPr>
            <w:r>
              <w:rPr>
                <w:rFonts w:ascii="Arial" w:cs="Arial" w:eastAsia="Arial" w:hAnsi="Arial"/>
                <w:sz w:val="18"/>
                <w:szCs w:val="18"/>
                <w:color w:val="auto"/>
                <w:w w:val="92"/>
              </w:rPr>
              <w:t>Net income calculated in accordance with GAAP reconciles to adjusted net income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09"/>
        </w:trPr>
        <w:tc>
          <w:tcPr>
            <w:tcW w:w="1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17,562</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14,589</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34,874</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29,126</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6,014</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Expenses associated with transactions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5,463</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628</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associated with catastrophe bond</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Tax impact</w:t>
            </w: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r>
      <w:tr>
        <w:trPr>
          <w:trHeight w:val="249"/>
        </w:trPr>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41,026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Annualized Adjusted Return on Equity</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ind w:left="660"/>
              <w:spacing w:after="0"/>
              <w:rPr>
                <w:sz w:val="20"/>
                <w:szCs w:val="20"/>
                <w:color w:val="auto"/>
              </w:rPr>
            </w:pPr>
            <w:r>
              <w:rPr>
                <w:rFonts w:ascii="Arial" w:cs="Arial" w:eastAsia="Arial" w:hAnsi="Arial"/>
                <w:sz w:val="18"/>
                <w:szCs w:val="18"/>
                <w:color w:val="auto"/>
              </w:rPr>
              <w:t>Annualized adjusted return on equity is calculated as follows: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4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r>
      <w:tr>
        <w:trPr>
          <w:trHeight w:val="210"/>
        </w:trPr>
        <w:tc>
          <w:tcPr>
            <w:tcW w:w="5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8"/>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19"/>
                <w:szCs w:val="19"/>
                <w:color w:val="auto"/>
              </w:rPr>
            </w:pPr>
          </w:p>
        </w:tc>
        <w:tc>
          <w:tcPr>
            <w:tcW w:w="24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r>
      <w:tr>
        <w:trPr>
          <w:trHeight w:val="198"/>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Annualized adjusted 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87,176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89,776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84,468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82,052</w:t>
            </w:r>
          </w:p>
        </w:tc>
      </w:tr>
      <w:tr>
        <w:trPr>
          <w:trHeight w:val="20"/>
        </w:trPr>
        <w:tc>
          <w:tcPr>
            <w:tcW w:w="58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Average stockholders' equity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409,178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379,232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399,230</w:t>
            </w:r>
          </w:p>
        </w:tc>
        <w:tc>
          <w:tcPr>
            <w:tcW w:w="1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386,117</w:t>
            </w: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Annualized adjusted return on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Combined Ratio</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Adjusted combined ratio is calculated as follows: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4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18"/>
                <w:szCs w:val="18"/>
                <w:color w:val="auto"/>
              </w:rPr>
            </w:pPr>
          </w:p>
        </w:tc>
        <w:tc>
          <w:tcPr>
            <w:tcW w:w="24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02"/>
        </w:trPr>
        <w:tc>
          <w:tcPr>
            <w:tcW w:w="5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Numerator: Sum of losses and loss adjustment expenses, acquisition expenses,</w:t>
            </w:r>
          </w:p>
        </w:tc>
        <w:tc>
          <w:tcPr>
            <w:tcW w:w="22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65,691</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60,266</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130,549</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118,421</w:t>
            </w:r>
          </w:p>
        </w:tc>
        <w:tc>
          <w:tcPr>
            <w:tcW w:w="0" w:type="dxa"/>
            <w:vAlign w:val="bottom"/>
          </w:tcPr>
          <w:p>
            <w:pPr>
              <w:spacing w:after="0"/>
              <w:rPr>
                <w:sz w:val="1"/>
                <w:szCs w:val="1"/>
                <w:color w:val="auto"/>
              </w:rPr>
            </w:pPr>
          </w:p>
        </w:tc>
      </w:tr>
      <w:tr>
        <w:trPr>
          <w:trHeight w:val="217"/>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other underwriting expenses, net of commission and other income</w:t>
            </w:r>
          </w:p>
        </w:tc>
        <w:tc>
          <w:tcPr>
            <w:tcW w:w="2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8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tcPr>
          <w:p>
            <w:pPr>
              <w:spacing w:after="0"/>
              <w:rPr>
                <w:sz w:val="20"/>
                <w:szCs w:val="20"/>
                <w:color w:val="auto"/>
              </w:rPr>
            </w:pPr>
            <w:r>
              <w:rPr>
                <w:rFonts w:ascii="Arial" w:cs="Arial" w:eastAsia="Arial" w:hAnsi="Arial"/>
                <w:sz w:val="18"/>
                <w:szCs w:val="18"/>
                <w:color w:val="auto"/>
              </w:rPr>
              <w:t>Denominator: Net earned premiums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83,107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80,265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166,347</w:t>
            </w:r>
          </w:p>
        </w:tc>
        <w:tc>
          <w:tcPr>
            <w:tcW w:w="1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156,297</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0"/>
        </w:trPr>
        <w:tc>
          <w:tcPr>
            <w:tcW w:w="5860" w:type="dxa"/>
            <w:vAlign w:val="bottom"/>
            <w:gridSpan w:val="2"/>
          </w:tcPr>
          <w:p>
            <w:pPr>
              <w:spacing w:after="0"/>
              <w:rPr>
                <w:sz w:val="20"/>
                <w:szCs w:val="20"/>
                <w:color w:val="auto"/>
              </w:rPr>
            </w:pPr>
            <w:r>
              <w:rPr>
                <w:rFonts w:ascii="Arial" w:cs="Arial" w:eastAsia="Arial" w:hAnsi="Arial"/>
                <w:sz w:val="18"/>
                <w:szCs w:val="18"/>
                <w:color w:val="auto"/>
              </w:rPr>
              <w:t>Adjustments to numerator:</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associated with transactions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(2,704)</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Expenses associated with catastrophe bond</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(1,792)</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combined ratio</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Adjusted Earnings Per Share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ind w:left="660"/>
              <w:spacing w:after="0"/>
              <w:rPr>
                <w:sz w:val="20"/>
                <w:szCs w:val="20"/>
                <w:color w:val="auto"/>
              </w:rPr>
            </w:pPr>
            <w:r>
              <w:rPr>
                <w:rFonts w:ascii="Arial" w:cs="Arial" w:eastAsia="Arial" w:hAnsi="Arial"/>
                <w:sz w:val="18"/>
                <w:szCs w:val="18"/>
                <w:color w:val="auto"/>
              </w:rPr>
              <w:t>Diluted adjusted earnings per share is calculated as follows: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5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10"/>
        </w:trPr>
        <w:tc>
          <w:tcPr>
            <w:tcW w:w="5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191"/>
        </w:trPr>
        <w:tc>
          <w:tcPr>
            <w:tcW w:w="5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(in thousands,</w:t>
            </w:r>
          </w:p>
        </w:tc>
        <w:tc>
          <w:tcPr>
            <w:tcW w:w="1340" w:type="dxa"/>
            <w:vAlign w:val="bottom"/>
            <w:gridSpan w:val="3"/>
          </w:tcPr>
          <w:p>
            <w:pPr>
              <w:jc w:val="right"/>
              <w:ind w:right="70"/>
              <w:spacing w:after="0" w:line="191" w:lineRule="exact"/>
              <w:rPr>
                <w:sz w:val="20"/>
                <w:szCs w:val="20"/>
                <w:color w:val="auto"/>
              </w:rPr>
            </w:pPr>
            <w:r>
              <w:rPr>
                <w:rFonts w:ascii="Arial" w:cs="Arial" w:eastAsia="Arial" w:hAnsi="Arial"/>
                <w:sz w:val="18"/>
                <w:szCs w:val="18"/>
                <w:b w:val="1"/>
                <w:bCs w:val="1"/>
                <w:color w:val="auto"/>
                <w:w w:val="81"/>
              </w:rPr>
              <w:t>except per share</w:t>
            </w:r>
          </w:p>
        </w:tc>
        <w:tc>
          <w:tcPr>
            <w:tcW w:w="120" w:type="dxa"/>
            <w:vAlign w:val="bottom"/>
          </w:tcPr>
          <w:p>
            <w:pPr>
              <w:spacing w:after="0"/>
              <w:rPr>
                <w:sz w:val="16"/>
                <w:szCs w:val="16"/>
                <w:color w:val="auto"/>
              </w:rPr>
            </w:pPr>
          </w:p>
        </w:tc>
        <w:tc>
          <w:tcPr>
            <w:tcW w:w="122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(in thousands,</w:t>
            </w:r>
          </w:p>
        </w:tc>
        <w:tc>
          <w:tcPr>
            <w:tcW w:w="1360" w:type="dxa"/>
            <w:vAlign w:val="bottom"/>
            <w:gridSpan w:val="3"/>
          </w:tcPr>
          <w:p>
            <w:pPr>
              <w:jc w:val="right"/>
              <w:ind w:right="70"/>
              <w:spacing w:after="0" w:line="191" w:lineRule="exact"/>
              <w:rPr>
                <w:sz w:val="20"/>
                <w:szCs w:val="20"/>
                <w:color w:val="auto"/>
              </w:rPr>
            </w:pPr>
            <w:r>
              <w:rPr>
                <w:rFonts w:ascii="Arial" w:cs="Arial" w:eastAsia="Arial" w:hAnsi="Arial"/>
                <w:sz w:val="18"/>
                <w:szCs w:val="18"/>
                <w:b w:val="1"/>
                <w:bCs w:val="1"/>
                <w:color w:val="auto"/>
                <w:w w:val="82"/>
              </w:rPr>
              <w:t>except per share</w:t>
            </w:r>
          </w:p>
        </w:tc>
      </w:tr>
      <w:tr>
        <w:trPr>
          <w:trHeight w:val="234"/>
        </w:trPr>
        <w:tc>
          <w:tcPr>
            <w:tcW w:w="5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2"/>
              </w:rPr>
              <w:t>data)</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data)</w:t>
            </w:r>
          </w:p>
        </w:tc>
        <w:tc>
          <w:tcPr>
            <w:tcW w:w="980" w:type="dxa"/>
            <w:vAlign w:val="bottom"/>
          </w:tcPr>
          <w:p>
            <w:pPr>
              <w:spacing w:after="0"/>
              <w:rPr>
                <w:sz w:val="20"/>
                <w:szCs w:val="20"/>
                <w:color w:val="auto"/>
              </w:rPr>
            </w:pPr>
          </w:p>
        </w:tc>
      </w:tr>
      <w:tr>
        <w:trPr>
          <w:trHeight w:val="216"/>
        </w:trPr>
        <w:tc>
          <w:tcPr>
            <w:tcW w:w="54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21,794</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22,444</w:t>
            </w:r>
          </w:p>
        </w:tc>
        <w:tc>
          <w:tcPr>
            <w:tcW w:w="3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42,234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41,026</w:t>
            </w:r>
          </w:p>
        </w:tc>
      </w:tr>
      <w:tr>
        <w:trPr>
          <w:trHeight w:val="209"/>
        </w:trPr>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Weighted-average common shares outstanding, diluted</w:t>
            </w: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25,309,526</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25,746,780</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25,384,409</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25,817,442</w:t>
            </w:r>
          </w:p>
        </w:tc>
      </w:tr>
      <w:tr>
        <w:trPr>
          <w:trHeight w:val="21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earnings per share</w:t>
            </w:r>
          </w:p>
        </w:tc>
        <w:tc>
          <w:tcPr>
            <w:tcW w:w="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Catastrophe Loss Ratio</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5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Loss ratio and catastrophe loss ratio are calculated as follows: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4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09"/>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18"/>
                <w:szCs w:val="18"/>
                <w:color w:val="auto"/>
              </w:rPr>
            </w:pPr>
          </w:p>
        </w:tc>
        <w:tc>
          <w:tcPr>
            <w:tcW w:w="24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Losses and loss adjustment expenses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14,398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29,351</w:t>
            </w:r>
          </w:p>
        </w:tc>
      </w:tr>
      <w:tr>
        <w:trPr>
          <w:trHeight w:val="20"/>
        </w:trPr>
        <w:tc>
          <w:tcPr>
            <w:tcW w:w="12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09"/>
        </w:trPr>
        <w:tc>
          <w:tcPr>
            <w:tcW w:w="5860" w:type="dxa"/>
            <w:vAlign w:val="bottom"/>
            <w:gridSpan w:val="2"/>
          </w:tcPr>
          <w:p>
            <w:pPr>
              <w:spacing w:after="0"/>
              <w:rPr>
                <w:sz w:val="20"/>
                <w:szCs w:val="20"/>
                <w:color w:val="auto"/>
              </w:rPr>
            </w:pPr>
            <w:r>
              <w:rPr>
                <w:rFonts w:ascii="Arial" w:cs="Arial" w:eastAsia="Arial" w:hAnsi="Arial"/>
                <w:sz w:val="18"/>
                <w:szCs w:val="18"/>
                <w:color w:val="auto"/>
              </w:rPr>
              <w:t>Denominator: Net earned premiums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83,107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80,265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166,347</w:t>
            </w:r>
          </w:p>
        </w:tc>
        <w:tc>
          <w:tcPr>
            <w:tcW w:w="1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156,297</w:t>
            </w:r>
          </w:p>
        </w:tc>
      </w:tr>
      <w:tr>
        <w:trPr>
          <w:trHeight w:val="209"/>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ratio</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10"/>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Catastrophe losses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1,029</w:t>
            </w:r>
          </w:p>
        </w:tc>
      </w:tr>
      <w:tr>
        <w:trPr>
          <w:trHeight w:val="20"/>
        </w:trPr>
        <w:tc>
          <w:tcPr>
            <w:tcW w:w="12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09"/>
        </w:trPr>
        <w:tc>
          <w:tcPr>
            <w:tcW w:w="5860" w:type="dxa"/>
            <w:vAlign w:val="bottom"/>
            <w:gridSpan w:val="2"/>
          </w:tcPr>
          <w:p>
            <w:pPr>
              <w:spacing w:after="0"/>
              <w:rPr>
                <w:sz w:val="20"/>
                <w:szCs w:val="20"/>
                <w:color w:val="auto"/>
              </w:rPr>
            </w:pPr>
            <w:r>
              <w:rPr>
                <w:rFonts w:ascii="Arial" w:cs="Arial" w:eastAsia="Arial" w:hAnsi="Arial"/>
                <w:sz w:val="18"/>
                <w:szCs w:val="18"/>
                <w:color w:val="auto"/>
              </w:rPr>
              <w:t>Denominator: Net earned premiums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83,107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80,265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166,347</w:t>
            </w:r>
          </w:p>
        </w:tc>
        <w:tc>
          <w:tcPr>
            <w:tcW w:w="1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156,297</w:t>
            </w:r>
          </w:p>
        </w:tc>
      </w:tr>
      <w:tr>
        <w:trPr>
          <w:trHeight w:val="210"/>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Catastrophe loss ratio</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Combined Ratio Excluding Catastrophe Losses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Adjusted combined ratio excluding catastrophe losses is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Numerator: Sum of losses and loss adjustment expenses, acquisition expenses,</w:t>
            </w:r>
          </w:p>
        </w:tc>
        <w:tc>
          <w:tcPr>
            <w:tcW w:w="22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65,691</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60,266</w:t>
            </w:r>
          </w:p>
        </w:tc>
        <w:tc>
          <w:tcPr>
            <w:tcW w:w="360" w:type="dxa"/>
            <w:vAlign w:val="bottom"/>
            <w:tcBorders>
              <w:lef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130,549</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118,421</w:t>
            </w: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other underwriting expenses, net of commission and other income</w:t>
            </w:r>
          </w:p>
        </w:tc>
        <w:tc>
          <w:tcPr>
            <w:tcW w:w="2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360" w:type="dxa"/>
            <w:vAlign w:val="bottom"/>
            <w:tcBorders>
              <w:left w:val="single" w:sz="8" w:color="CCEEFF"/>
            </w:tcBorders>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Denominator: Net earned premiums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83,107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80,265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166,347</w:t>
            </w:r>
          </w:p>
        </w:tc>
        <w:tc>
          <w:tcPr>
            <w:tcW w:w="1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156,297</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Adjustments to numerator:</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Expenses associated with transactions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Expenses associated with catastrophe bond</w:t>
            </w: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Catastrophe losses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Adjusted combined ratio excluding catastrophe losses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Equity</w:t>
      </w:r>
    </w:p>
    <w:p>
      <w:pPr>
        <w:spacing w:after="0" w:line="225"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Stockholders’ equity calculated in accordance with GAAP reconciles to tangible stockholders’ equity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09"/>
        </w:trPr>
        <w:tc>
          <w:tcPr>
            <w:tcW w:w="38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10"/>
        </w:trPr>
        <w:tc>
          <w:tcPr>
            <w:tcW w:w="38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413,708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384,754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Goodwill and intangible assets</w:t>
            </w:r>
          </w:p>
        </w:tc>
        <w:tc>
          <w:tcPr>
            <w:tcW w:w="4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r>
      <w:tr>
        <w:trPr>
          <w:trHeight w:val="250"/>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stockholders' equity</w:t>
            </w:r>
          </w:p>
        </w:tc>
        <w:tc>
          <w:tcPr>
            <w:tcW w:w="4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376,493</w:t>
            </w:r>
          </w:p>
        </w:tc>
      </w:tr>
      <w:tr>
        <w:trPr>
          <w:trHeight w:val="412"/>
        </w:trPr>
        <w:tc>
          <w:tcPr>
            <w:tcW w:w="3880" w:type="dxa"/>
            <w:vAlign w:val="bottom"/>
          </w:tcPr>
          <w:p>
            <w:pPr>
              <w:spacing w:after="0"/>
              <w:rPr>
                <w:sz w:val="24"/>
                <w:szCs w:val="24"/>
                <w:color w:val="auto"/>
              </w:rPr>
            </w:pPr>
          </w:p>
        </w:tc>
        <w:tc>
          <w:tcPr>
            <w:tcW w:w="4100" w:type="dxa"/>
            <w:vAlign w:val="bottom"/>
          </w:tcPr>
          <w:p>
            <w:pPr>
              <w:jc w:val="right"/>
              <w:ind w:right="217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Company’s U.S. insurance company subsidiaries, PSIC and PESIC, are restricted by the statutes as to the amount of dividends that they may pay without prior approval by state insurance commissioners.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California and Oregon statute which govern PSIC, dividends paid in a consecutive twelve month period cannot exceed the greater of</w:t>
      </w:r>
    </w:p>
    <w:p>
      <w:pPr>
        <w:spacing w:after="0" w:line="35" w:lineRule="exact"/>
        <w:rPr>
          <w:sz w:val="20"/>
          <w:szCs w:val="20"/>
          <w:color w:val="auto"/>
        </w:rPr>
      </w:pPr>
    </w:p>
    <w:p>
      <w:pPr>
        <w:ind w:right="60" w:firstLine="8"/>
        <w:spacing w:after="0" w:line="271" w:lineRule="auto"/>
        <w:tabs>
          <w:tab w:leader="none" w:pos="2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$78.2 million in 2023 without approval by the California and Oregon Insurance Commissioners.</w:t>
      </w:r>
    </w:p>
    <w:p>
      <w:pPr>
        <w:spacing w:after="0" w:line="17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not pay a dividend or distribution in 2023 without approval of the Arizona Insurance Commissioner due to incurring a statutory net loss in 2022.</w:t>
      </w:r>
    </w:p>
    <w:p>
      <w:pPr>
        <w:spacing w:after="0" w:line="187"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18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2023 is calculated to be approximately $3.9 million. However, this dividend amount is subject to annual enhanced solvency requirement calculations.</w:t>
      </w:r>
    </w:p>
    <w:p>
      <w:pPr>
        <w:spacing w:after="0" w:line="16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spacing w:after="0" w:line="184"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Our cash flows from operations may differ substantially from our net income due to non</w:t>
      </w:r>
      <w:r>
        <w:rPr>
          <w:rFonts w:ascii="MS PGothic" w:cs="MS PGothic" w:eastAsia="MS PGothic" w:hAnsi="MS PGothic"/>
          <w:sz w:val="16"/>
          <w:szCs w:val="16"/>
          <w:color w:val="auto"/>
        </w:rPr>
        <w:t>‑</w:t>
      </w:r>
      <w:r>
        <w:rPr>
          <w:rFonts w:ascii="Arial" w:cs="Arial" w:eastAsia="Arial" w:hAnsi="Arial"/>
          <w:sz w:val="16"/>
          <w:szCs w:val="16"/>
          <w:color w:val="auto"/>
        </w:rPr>
        <w:t>cash charges or due to changes in balance sheet accounts.</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8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ind w:left="660"/>
              <w:spacing w:after="0"/>
              <w:rPr>
                <w:sz w:val="20"/>
                <w:szCs w:val="20"/>
                <w:color w:val="auto"/>
              </w:rPr>
            </w:pPr>
            <w:r>
              <w:rPr>
                <w:rFonts w:ascii="Arial" w:cs="Arial" w:eastAsia="Arial" w:hAnsi="Arial"/>
                <w:sz w:val="18"/>
                <w:szCs w:val="18"/>
                <w:color w:val="auto"/>
                <w:w w:val="91"/>
              </w:rPr>
              <w:t>The following table summarizes our cash flows for the six months ended June 30, 2023 and 2022: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4"/>
          </w:tcPr>
          <w:p>
            <w:pPr>
              <w:jc w:val="center"/>
              <w:ind w:right="3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7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r>
      <w:tr>
        <w:trPr>
          <w:trHeight w:val="210"/>
        </w:trPr>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9"/>
              </w:rPr>
              <w:t>2022</w:t>
            </w:r>
          </w:p>
        </w:tc>
      </w:tr>
      <w:tr>
        <w:trPr>
          <w:trHeight w:val="209"/>
        </w:trPr>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 in thousands)</w:t>
            </w:r>
          </w:p>
        </w:tc>
        <w:tc>
          <w:tcPr>
            <w:tcW w:w="104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Operating activities</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23,203</w:t>
            </w:r>
          </w:p>
        </w:tc>
        <w:tc>
          <w:tcPr>
            <w:tcW w:w="64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82,799</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(101,497)</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20,144</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4,835</w:t>
            </w:r>
          </w:p>
        </w:tc>
      </w:tr>
      <w:tr>
        <w:trPr>
          <w:trHeight w:val="25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w:t>
            </w: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cash flow from operating activities was positive during the six months ended June 30, 2023 and 2022 due to net income and a decrease in net operating assets in each period.</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Cash used in investing activities for the three months ended June 30, 2023 and 2022 related primarily to purchases of fixed maturity securities in excess of sales and maturities in each period.</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Cash provided by financing activities for three months ended June 30, 2023 was related to $35.0 million in borrowings from our lines of credit, the receipt of $0.3 million in proceeds from stock option exercises and the receipt of $0.4 million in proceeds from our employee stock purchase plan, offset by the repurchase of $15.6 million of our common stock. Cash provided by financing activities for three months ended June 30, 2022 was related to $23.0 million in borrowings from our FHLB line of credit, the receipt of $1.8 million in proceeds from stock option exercises and the receipt of $0.3 million in proceeds from our employee stock purchase plan, offset by the repurchase of $20.3 million of our common stock.</w:t>
      </w:r>
    </w:p>
    <w:p>
      <w:pPr>
        <w:spacing w:after="0" w:line="176" w:lineRule="exact"/>
        <w:rPr>
          <w:sz w:val="20"/>
          <w:szCs w:val="20"/>
          <w:color w:val="auto"/>
        </w:rPr>
      </w:pPr>
    </w:p>
    <w:p>
      <w:pPr>
        <w:jc w:val="both"/>
        <w:ind w:right="180" w:firstLine="648"/>
        <w:spacing w:after="0" w:line="219" w:lineRule="exact"/>
        <w:rPr>
          <w:sz w:val="20"/>
          <w:szCs w:val="20"/>
          <w:color w:val="auto"/>
        </w:rPr>
      </w:pPr>
      <w:r>
        <w:rPr>
          <w:rFonts w:ascii="Arial" w:cs="Arial" w:eastAsia="Arial" w:hAnsi="Arial"/>
          <w:sz w:val="16"/>
          <w:szCs w:val="16"/>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$660.2 million in cash and investment securities available at June 30, 2023. We also have the ability to access additional capital through pursuing third</w:t>
      </w:r>
      <w:r>
        <w:rPr>
          <w:rFonts w:ascii="MS PGothic" w:cs="MS PGothic" w:eastAsia="MS PGothic" w:hAnsi="MS PGothic"/>
          <w:sz w:val="16"/>
          <w:szCs w:val="16"/>
          <w:color w:val="auto"/>
        </w:rPr>
        <w:t>‑</w:t>
      </w:r>
      <w:r>
        <w:rPr>
          <w:rFonts w:ascii="Arial" w:cs="Arial" w:eastAsia="Arial" w:hAnsi="Arial"/>
          <w:sz w:val="16"/>
          <w:szCs w:val="16"/>
          <w:color w:val="auto"/>
        </w:rPr>
        <w:t>party borrowings, sales of our equity or debt securities or entrance into a reinsurance arrangement.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 in accordance with federal securities laws. We purchased 301,162 shares for $15.6 million under this program during the six months ended June 30, 2023 and $50.0 million remains available for future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ability to access additional capital through multiple credit agreements.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w:t>
      </w:r>
    </w:p>
    <w:p>
      <w:pPr>
        <w:spacing w:after="0" w:line="2"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0.75%. A loan may be either a SOFR rate loan or a base rate loan, at our discretion. Outstanding amounts under the Credit Agreement may be prepaid in full or in part at any time with no prepayment premium and may be reduced in full or in part at any time upon prior notice.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we had no borrowings outstanding through the Credit Agreement.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we had $71.4 million of borrowings outstanding through the FHLB line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Equity</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At June 30, 2023 total stockholders’ equity was $413.7 million and tangible stockholders’ equity was $400.6 million, compared to total stockholders’ equity of $384.8 million and tangible stockholders’ equity of $376.5 million as of December 31, 2022. Stockholder’s equity increased primarily due to net income earned for the period, activity related to stock-based compensation, and unrealized gains on fixed maturity securities and was partially offset by share repurchases made during the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40" w:firstLine="648"/>
        <w:spacing w:after="0" w:line="223" w:lineRule="exact"/>
        <w:rPr>
          <w:sz w:val="20"/>
          <w:szCs w:val="20"/>
          <w:color w:val="auto"/>
        </w:rPr>
      </w:pPr>
      <w:r>
        <w:rPr>
          <w:rFonts w:ascii="Arial" w:cs="Arial" w:eastAsia="Arial" w:hAnsi="Arial"/>
          <w:sz w:val="18"/>
          <w:szCs w:val="18"/>
          <w:color w:val="auto"/>
        </w:rPr>
        <w:t>Tangible stockholders’ equity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See “Reconciliation of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for a reconciliation of stockholders’ equity in accordance with GAAP to tangible stockholders’ equity.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225" w:lineRule="exact"/>
        <w:rPr>
          <w:sz w:val="20"/>
          <w:szCs w:val="20"/>
          <w:color w:val="auto"/>
        </w:rPr>
      </w:pPr>
    </w:p>
    <w:p>
      <w:pPr>
        <w:ind w:right="120" w:firstLine="648"/>
        <w:spacing w:after="0" w:line="217" w:lineRule="exact"/>
        <w:rPr>
          <w:sz w:val="20"/>
          <w:szCs w:val="20"/>
          <w:color w:val="auto"/>
        </w:rPr>
      </w:pPr>
      <w:r>
        <w:rPr>
          <w:rFonts w:ascii="Arial" w:cs="Arial" w:eastAsia="Arial" w:hAnsi="Arial"/>
          <w:sz w:val="16"/>
          <w:szCs w:val="16"/>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w:t>
      </w:r>
      <w:r>
        <w:rPr>
          <w:rFonts w:ascii="MS PGothic" w:cs="MS PGothic" w:eastAsia="MS PGothic" w:hAnsi="MS PGothic"/>
          <w:sz w:val="16"/>
          <w:szCs w:val="16"/>
          <w:color w:val="auto"/>
        </w:rPr>
        <w:t>‑</w:t>
      </w:r>
      <w:r>
        <w:rPr>
          <w:rFonts w:ascii="Arial" w:cs="Arial" w:eastAsia="Arial" w:hAnsi="Arial"/>
          <w:sz w:val="16"/>
          <w:szCs w:val="16"/>
          <w:color w:val="auto"/>
        </w:rPr>
        <w:t>exempt fixed maturities, as well as publicly traded mutual funds and common stock of individual companies. Our cash and invested assets consist of cash and cash equivalents, fixed maturity securities, and equity securities. As of June 30, 2023, the majority of our investment portfolio, or $560.1 million, was comprised of fixed maturity securities that are classified as available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sale and carried at fair value with unrealized gains and losses on these securities, net of applicable taxes, reported as a separate component of accumulated other comprehensive income. Also included in our investment portfolio were $41.4 million of equity securities. In addition, we maintained a non</w:t>
      </w:r>
      <w:r>
        <w:rPr>
          <w:rFonts w:ascii="MS PGothic" w:cs="MS PGothic" w:eastAsia="MS PGothic" w:hAnsi="MS PGothic"/>
          <w:sz w:val="16"/>
          <w:szCs w:val="16"/>
          <w:color w:val="auto"/>
        </w:rPr>
        <w:t>‑</w:t>
      </w:r>
      <w:r>
        <w:rPr>
          <w:rFonts w:ascii="Arial" w:cs="Arial" w:eastAsia="Arial" w:hAnsi="Arial"/>
          <w:sz w:val="16"/>
          <w:szCs w:val="16"/>
          <w:color w:val="auto"/>
        </w:rPr>
        <w:t>restricted cash and cash equivalent balance of $58.3 million at June 30, 2023. Our fixed maturity securities, including cash equivalents, had a weighted average effective duration of 3.86 and 3.81 years and an average rating of “A1/A+” and “A1/A+” at June 30, 2023 and December 31, 2022, respectively. Our fixed income investment portfolio had a book yield of 3.60% as of June 30, 2023, compared to 3.30% as of December 31, 2022.</w:t>
      </w:r>
    </w:p>
    <w:p>
      <w:pPr>
        <w:spacing w:after="0" w:line="206"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At June 30, 2023 and December 31, 2022 the amortized cost and fair value on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securities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Cost or 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U.S. Governments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45,975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43,797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 territories, and possessions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Political subdivisions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32,073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301,975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277,701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Mortgage/asset-backed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211,019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197,150</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605,040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560,121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 of Total</w:t>
            </w:r>
          </w:p>
        </w:tc>
        <w:tc>
          <w:tcPr>
            <w:tcW w:w="0" w:type="dxa"/>
            <w:vAlign w:val="bottom"/>
          </w:tcPr>
          <w:p>
            <w:pPr>
              <w:spacing w:after="0"/>
              <w:rPr>
                <w:sz w:val="1"/>
                <w:szCs w:val="1"/>
                <w:color w:val="auto"/>
              </w:rPr>
            </w:pPr>
          </w:p>
        </w:tc>
      </w:tr>
      <w:tr>
        <w:trPr>
          <w:trHeight w:val="2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2022</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Cost or 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U.S. Governments</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50,802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48,551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 territories, and possessions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Political subdivisions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4,298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Special revenue excluding mortgage/asset-backed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32,799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278,164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254,095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Mortgage/asset-backed securities</w:t>
            </w: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184,578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169,967</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561,580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515,064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140" w:type="dxa"/>
            <w:vAlign w:val="bottom"/>
            <w:vMerge w:val="restart"/>
          </w:tcPr>
          <w:p>
            <w:pPr>
              <w:jc w:val="right"/>
              <w:ind w:right="35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88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53"/>
        </w:trPr>
        <w:tc>
          <w:tcPr>
            <w:tcW w:w="10160" w:type="dxa"/>
            <w:vAlign w:val="bottom"/>
            <w:gridSpan w:val="7"/>
          </w:tcPr>
          <w:p>
            <w:pPr>
              <w:ind w:left="660"/>
              <w:spacing w:after="0"/>
              <w:rPr>
                <w:sz w:val="20"/>
                <w:szCs w:val="20"/>
                <w:color w:val="auto"/>
              </w:rPr>
            </w:pPr>
            <w:r>
              <w:rPr>
                <w:rFonts w:ascii="Arial" w:cs="Arial" w:eastAsia="Arial" w:hAnsi="Arial"/>
                <w:sz w:val="18"/>
                <w:szCs w:val="18"/>
                <w:color w:val="auto"/>
              </w:rPr>
              <w:t>The following tables provide the credit quality of investment securities as of June 30, 2023 and December 31, 2022:</w:t>
            </w:r>
          </w:p>
        </w:tc>
        <w:tc>
          <w:tcPr>
            <w:tcW w:w="10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3"/>
          </w:tcPr>
          <w:p>
            <w:pPr>
              <w:ind w:left="140"/>
              <w:spacing w:after="0"/>
              <w:rPr>
                <w:sz w:val="20"/>
                <w:szCs w:val="20"/>
                <w:color w:val="auto"/>
              </w:rPr>
            </w:pPr>
            <w:r>
              <w:rPr>
                <w:rFonts w:ascii="Arial" w:cs="Arial" w:eastAsia="Arial" w:hAnsi="Arial"/>
                <w:sz w:val="18"/>
                <w:szCs w:val="18"/>
                <w:b w:val="1"/>
                <w:bCs w:val="1"/>
                <w:color w:val="auto"/>
              </w:rPr>
              <w:t>Estimated</w:t>
            </w: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 of</w:t>
            </w:r>
          </w:p>
        </w:tc>
      </w:tr>
      <w:tr>
        <w:trPr>
          <w:trHeight w:val="234"/>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r>
      <w:tr>
        <w:trPr>
          <w:trHeight w:val="210"/>
        </w:trPr>
        <w:tc>
          <w:tcPr>
            <w:tcW w:w="12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ind w:left="740"/>
              <w:spacing w:after="0"/>
              <w:rPr>
                <w:sz w:val="20"/>
                <w:szCs w:val="20"/>
                <w:color w:val="auto"/>
              </w:rPr>
            </w:pPr>
            <w:r>
              <w:rPr>
                <w:rFonts w:ascii="Arial" w:cs="Arial" w:eastAsia="Arial" w:hAnsi="Arial"/>
                <w:sz w:val="18"/>
                <w:szCs w:val="18"/>
                <w:b w:val="1"/>
                <w:bCs w:val="1"/>
                <w:color w:val="auto"/>
                <w:w w:val="89"/>
              </w:rPr>
              <w:t>($ in thousands)</w:t>
            </w:r>
          </w:p>
        </w:tc>
        <w:tc>
          <w:tcPr>
            <w:tcW w:w="108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AAA</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198,099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55,034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188,574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109,177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BB</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7,055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CCC &amp; Below</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9"/>
        </w:trPr>
        <w:tc>
          <w:tcPr>
            <w:tcW w:w="128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560,121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394"/>
        </w:trPr>
        <w:tc>
          <w:tcPr>
            <w:tcW w:w="12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3"/>
          </w:tcPr>
          <w:p>
            <w:pPr>
              <w:ind w:left="140"/>
              <w:spacing w:after="0"/>
              <w:rPr>
                <w:sz w:val="20"/>
                <w:szCs w:val="20"/>
                <w:color w:val="auto"/>
              </w:rPr>
            </w:pPr>
            <w:r>
              <w:rPr>
                <w:rFonts w:ascii="Arial" w:cs="Arial" w:eastAsia="Arial" w:hAnsi="Arial"/>
                <w:sz w:val="18"/>
                <w:szCs w:val="18"/>
                <w:b w:val="1"/>
                <w:bCs w:val="1"/>
                <w:color w:val="auto"/>
              </w:rPr>
              <w:t>Estimated</w:t>
            </w: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 of</w:t>
            </w:r>
          </w:p>
        </w:tc>
      </w:tr>
      <w:tr>
        <w:trPr>
          <w:trHeight w:val="234"/>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r>
      <w:tr>
        <w:trPr>
          <w:trHeight w:val="209"/>
        </w:trPr>
        <w:tc>
          <w:tcPr>
            <w:tcW w:w="12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ind w:left="740"/>
              <w:spacing w:after="0"/>
              <w:rPr>
                <w:sz w:val="20"/>
                <w:szCs w:val="20"/>
                <w:color w:val="auto"/>
              </w:rPr>
            </w:pPr>
            <w:r>
              <w:rPr>
                <w:rFonts w:ascii="Arial" w:cs="Arial" w:eastAsia="Arial" w:hAnsi="Arial"/>
                <w:sz w:val="18"/>
                <w:szCs w:val="18"/>
                <w:b w:val="1"/>
                <w:bCs w:val="1"/>
                <w:color w:val="auto"/>
                <w:w w:val="89"/>
              </w:rPr>
              <w:t>($ in thousands)</w:t>
            </w:r>
          </w:p>
        </w:tc>
        <w:tc>
          <w:tcPr>
            <w:tcW w:w="108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AAA</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182,620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55,438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171,292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95,402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BB</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10,047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CCC &amp; Below</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128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515,064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100" w:firstLine="648"/>
        <w:spacing w:after="0" w:line="223" w:lineRule="exact"/>
        <w:rPr>
          <w:sz w:val="20"/>
          <w:szCs w:val="20"/>
          <w:color w:val="auto"/>
        </w:rPr>
      </w:pPr>
      <w:r>
        <w:rPr>
          <w:rFonts w:ascii="Arial" w:cs="Arial" w:eastAsia="Arial" w:hAnsi="Arial"/>
          <w:sz w:val="18"/>
          <w:szCs w:val="18"/>
          <w:color w:val="auto"/>
        </w:rPr>
        <w:t>The amortized cost and fair value of our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investments in fixed maturity securities summarized by contractual maturity as of June 30, 2023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45,887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44,464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167,430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156,746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144,598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130,308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Due after ten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36,106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31,453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and asset-backed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211,019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197,150</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10"/>
        </w:trPr>
        <w:tc>
          <w:tcPr>
            <w:tcW w:w="6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605,040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560,121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540" w:right="1460" w:hanging="4877"/>
        <w:spacing w:after="0" w:line="527" w:lineRule="auto"/>
        <w:rPr>
          <w:sz w:val="20"/>
          <w:szCs w:val="20"/>
          <w:color w:val="auto"/>
        </w:rPr>
      </w:pPr>
      <w:r>
        <w:rPr>
          <w:rFonts w:ascii="Arial" w:cs="Arial" w:eastAsia="Arial" w:hAnsi="Arial"/>
          <w:sz w:val="18"/>
          <w:szCs w:val="18"/>
          <w:color w:val="auto"/>
        </w:rPr>
        <w:t>Expected maturities may differ from contractual maturities because borrowers may have the right to call or prepay obligations.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 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8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which became effective June 1, 2023. This catastrophe bond was also completed through Torrey Pines Re Ltd and provides indemnity-based reinsurance covering earthquake events through June 1, 2026.</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catastrophe event retention is currently $17.5 million for all perils. Our reinsurance coverage exhausts at $2.66 billion for earthquake events, $900 million for Hawaii hurricane events, and $100 million for continental U.S. hurricane events, providing coverage in excess of our 1 in 250 year peak zone PML and in excess of our A.M. Best requirement. In addition, we maintain reinsurance coverage equivalent to or better than the 1 in 250 year PML for our other lines.</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2022 Annual Report on Form 10-K.</w:t>
      </w:r>
    </w:p>
    <w:p>
      <w:pPr>
        <w:spacing w:after="0" w:line="192"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There have been no significant changes in our critical accounting policies and estimates as compared to the critical accounting policies and estimates disclosed in Management’s Discussion and Analysis of Financial Condition and Operations included in our 2022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spacing w:after="0" w:line="14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78.9% rated “A−” or better. At June 30, 2023, 1.6%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171" w:lineRule="exact"/>
        <w:rPr>
          <w:sz w:val="20"/>
          <w:szCs w:val="20"/>
          <w:color w:val="auto"/>
        </w:rPr>
      </w:pPr>
    </w:p>
    <w:p>
      <w:pPr>
        <w:ind w:right="140" w:firstLine="648"/>
        <w:spacing w:after="0" w:line="220" w:lineRule="exact"/>
        <w:rPr>
          <w:sz w:val="20"/>
          <w:szCs w:val="20"/>
          <w:color w:val="auto"/>
        </w:rPr>
      </w:pPr>
      <w:r>
        <w:rPr>
          <w:rFonts w:ascii="Arial" w:cs="Arial" w:eastAsia="Arial" w:hAnsi="Arial"/>
          <w:sz w:val="18"/>
          <w:szCs w:val="18"/>
          <w:color w:val="auto"/>
        </w:rPr>
        <w:t>As of the end of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we carried out an evaluation, under the supervision and with the participation of our management, including our CEO and CFO, of the effectiveness of the design and operation of our disclosure controls and procedures defined under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Exchange Act. Based upon this evaluation, our CEO and CFO concluded that our disclosure controls and procedures were effective.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40" w:firstLine="648"/>
        <w:spacing w:after="0" w:line="224" w:lineRule="exact"/>
        <w:rPr>
          <w:sz w:val="20"/>
          <w:szCs w:val="20"/>
          <w:color w:val="auto"/>
        </w:rPr>
      </w:pPr>
      <w:r>
        <w:rPr>
          <w:rFonts w:ascii="Arial" w:cs="Arial" w:eastAsia="Arial" w:hAnsi="Arial"/>
          <w:sz w:val="16"/>
          <w:szCs w:val="16"/>
          <w:color w:val="auto"/>
        </w:rPr>
        <w:t>No changes in our internal control over financial reporting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under the Exchange Act) occurred during the quarter ended June 30, 2023 that have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is subject to numerous risks and uncertainties, these risks include, but are not limited to,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industry:</w:t>
      </w:r>
    </w:p>
    <w:p>
      <w:pPr>
        <w:spacing w:after="0" w:line="225" w:lineRule="exact"/>
        <w:rPr>
          <w:sz w:val="20"/>
          <w:szCs w:val="20"/>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reinsurers may not pay claims on a timely basis, or at all, which may materially adversely affect our business, financial condition, and results of operations;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loss reserves are established based on estimates and may be inadequate to cover actual incurred losses which could have a material adverse impact on our results of operations and financial condition;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purchase third-party reinsurance or otherwise expand our catastrophe coverage in amounts we desire on commercially acceptable terms or on terms that adequately protect us;</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concentrated in California and Texas and we are exposed more significantly to California and Texas loss activity and regulatory environments;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a select group of brokers and program administrators, and such relationships may not continue;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intense competition for business in our industry;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Economic Environment:</w:t>
      </w:r>
    </w:p>
    <w:p>
      <w:pPr>
        <w:spacing w:after="0" w:line="225" w:lineRule="exact"/>
        <w:rPr>
          <w:sz w:val="20"/>
          <w:szCs w:val="20"/>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economic factors, including recession, inflation, periods of high unemployment or lower economic activity could affect our growth and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Technology:</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our information technology and telecommunications systems could adversely affect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breaches or cyber-attacks could expose us to liability and damage our reputation and business;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Laws and Regulations: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extensive regulation, which may adversely affect our ability to achieve our business objectives;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incur significant costs as a result of operating as a public company, and our management is required to devote substantial time to complying with public company regulations;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Ownership of our Common Stock:</w:t>
      </w:r>
    </w:p>
    <w:p>
      <w:pPr>
        <w:spacing w:after="0" w:line="225" w:lineRule="exact"/>
        <w:rPr>
          <w:sz w:val="20"/>
          <w:szCs w:val="20"/>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results and stock price may be volatile, or may decline regardless of our operating performance, and holders of our common stock could lose all or part of their investment.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Claims arising from unpredictable and severe catastrophe events, including those caused by global climate change, could reduce or eliminate our earnings and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equity and limit our ability to underwrite new insurance policies.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insurance operations expose us to claims arising from unpredictable catastrophe events, such as earthquakes, hurricanes, windstorms, floods and other severe events. We have experienced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reinsurance coverage currently exhausts at $2.66 billion for earthquake events, $900 million for Hawaii hurricane events, and $100 million for continental U.S. hurricane events, with coverage in excess of our estimated peak zone 1 in 250 year PML event and in excess of our A.M. Best threshold. Our catastrophe event retention is currently $17.5 million for all perils. In addition to our event retention, we may also incur additional reinsurance expenses upon a catastrophe event. While we only select reinsurers whom we believe to have acceptable credit, if our reinsurers are unable to pay the claims for which they are responsible, we ultimately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these claims.</w:t>
      </w:r>
    </w:p>
    <w:p>
      <w:pPr>
        <w:spacing w:after="0" w:line="17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June 30, 2023, we had $255.9 million of aggregate reinsurance recoverables.</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loss reserves are established based on estimates which may be inadequate to cover actual incurred losses which could have a material adverse impact on our results of operations and financial condition</w:t>
      </w:r>
    </w:p>
    <w:p>
      <w:pPr>
        <w:spacing w:after="0" w:line="17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spacing w:after="0" w:line="18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catastrophe events often involve a significant number of claims and ultimate cost of settling all claims is inherently difficult to predict upon the event’s occurrence.</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spacing w:after="0" w:line="184"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For further information on our loss reserving methodology, see “Management’s Discussion and Analysis-Critical Accounting Policies and Estimates- Reserve for Losses and Loss Adjustment Expenses” in our Annual Report on Form 10-K.</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84"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4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primarily use treaty reinsurance, consisting of excess of loss (“XOL”) coverage. Additionally, we buy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spacing w:after="0" w:line="16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which became effective June 1, 2023. This catastrophe bond was also completed through Torrey Pines Re Ltd and provides indemnity-based reinsurance covering earthquake events through June 1, 2026.</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may seek similar catastrophe bond offerings in the future. However, there can be no assurance that we will be able to complete such offerings on acceptable terms, if at all.</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would have a negative impact on our ability to grow our written premiums and maintain our current level of profitability.</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8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losses that one would expect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might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18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spacing w:after="0" w:line="18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models do not address all the possible hazard characteristics of a catastrophe peril (e.g., the precise path and wind speed of a hurricane);</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models may not accurately reflect the true frequency or severity of events;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models may not accurately reflect a risk’s vulnerability or susceptibility to damage for a given event characteristic;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models may not account for unusual or unprecedented catastrophe events;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models may not adequately consider the impact of inflation on the magnitude of modeled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models may not accurately represent loss potential to insurance or reinsurance contract coverage limits, terms and conditions; and</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decline in our financial strength rating may adversely affect the amount of business we write and impact compliance with our debt covenants.</w:t>
      </w:r>
    </w:p>
    <w:p>
      <w:pPr>
        <w:spacing w:after="0" w:line="2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June 30, 2023, A.M. Best has assigned a financial strength rating of “A−” (Excellent) (Outlook Stable) to our insurance company subsidiaries, Palomar Specialty Insurance Company (“PSIC”) and Palomar Excess and Surplus Insurance Company (“PESIC”). Subsequent to our quarter-end on June 30, 2023, the Company's financial strength rating was upgraded to "A-" (Excellent) (Outlook Positive) on July 14, 2023.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6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change our business practices from our organizational business plan in a manner that no longer supports A.M. Best’s rating;</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unfavorable financial, regulatory or market trends affect us, including excess market capacity;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losses exceed our loss reserves;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have unresolved issues with government regulators;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retain our senior management or other key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investment portfolio incurs significant losses;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A.M. Best alters its capital adequacy assessment methodology in a manner that would adversely affect our rating.</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These and other factors could result in a downgrade of our financial strength rating. A downgrade or withdrawal of our rating could result in any of the following consequences, among others:</w:t>
      </w:r>
    </w:p>
    <w:p>
      <w:pPr>
        <w:spacing w:after="0" w:line="170" w:lineRule="exact"/>
        <w:rPr>
          <w:sz w:val="20"/>
          <w:szCs w:val="20"/>
          <w:color w:val="auto"/>
        </w:rPr>
      </w:pPr>
    </w:p>
    <w:p>
      <w:pPr>
        <w:ind w:left="5540" w:right="2140" w:hanging="4884"/>
        <w:spacing w:after="0" w:line="559" w:lineRule="auto"/>
        <w:tabs>
          <w:tab w:leader="none" w:pos="9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Causing our current and future distribution partners and insureds to choose other, more highly-rated competitors;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the cost or reducing the availability of reinsurance to 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Severely limiting or preventing us from writing new and renewal insurance contracts;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Causing us to be out of compliance with the financial covenants in our credit agreement.</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and our customers could be negatively and adversely impacted by pandemics, disease outbreaks and other public health crises, such as the COVID-19 pandemic.</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Since March 2020, the COVID-19 pandemic has impacted financial markets, businesses, households, and communities. The extent of the impact of COVID-19 or another similar event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16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Pandemics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pandemic’s impact on the economy and financial markets could reduce our net investment income and result in realized investment losses in future periods. The macroeconomic effects of the COVID-19 Pandemic may persist for an indefinite period, even after the Pandemic has subsided. We cannot anticipate all the ways in which COVID-19 or other similar global health crises could adversely impact our business in the future.</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Texas and, as a result, we are exposed more significantly to California and Texas loss activity and regulatory environments.</w:t>
      </w:r>
    </w:p>
    <w:p>
      <w:pPr>
        <w:spacing w:after="0" w:line="170"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Our policyholders and insurance risks are currently concentrated in California and Texas, which generated 47% and 10% of our gross written premiums for the year ended December 31, 2022 and 57% and 9% for the six months ended June 30, 2023. We are exposed to business, economic, political, judicial and regulatory risks due to this concentration that are greater than the risks faced by insurance companies that conduct business over a more extensive geographic area. Any single, major catastrophe event, series of events or other condition causing significant losses in California or Texas could materially adversely affect our business, financial condition and results of operations. Additionally, unfavorable business, economic or regulatory conditions in these states may result in a significant reduction of our premiums or increase our loss exposure.</w:t>
      </w:r>
    </w:p>
    <w:p>
      <w:pPr>
        <w:spacing w:after="0" w:line="16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Changes in California or Texas political climates could result in new or changed legislation affecting the property and casualty insurance industry in general which could have a negative impact on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adversely affected by the loss of one or more key executives or by an inability to attract and retain qualified personnel.</w:t>
      </w:r>
    </w:p>
    <w:p>
      <w:pPr>
        <w:spacing w:after="0" w:line="2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depend on our ability to attract and retain experienced personnel and seasoned key executives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Recently, companies have had issues with employee turnover and finding, hiring, and retaining qualified employees. These challenges may continue for the foreseeable future.</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particular, our future success is substantially dependent on the continued service of our 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select group of brokers and program administrators, and such relationships may not continue.</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spacing w:after="0" w:line="16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For the year ended December 31, 2022, our largest program administrator distributed $322.4 million or 36.6% of our gross written premiums and our second largest program administrator distributed $95.1 million, or 10.8% of our gross written premiums. There were no other program administrators which distributed greater than 10% of our gross written premiums for the year ended December 31, 2022.</w:t>
      </w:r>
    </w:p>
    <w:p>
      <w:pPr>
        <w:spacing w:after="0" w:line="184"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For the six months ended June 30, 2023, our largest program administrator distributed $164.3 million or 31.3% of our gross written premiums and our second largest program administrator distributed $77.2 million, or 14.7% of our gross written premiums. There were no other program administrators which distributed greater than 10% of our gross written premiums for the six months ended June 30, 2023.</w:t>
      </w:r>
    </w:p>
    <w:p>
      <w:pPr>
        <w:spacing w:after="0" w:line="16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largest program administrator, Arrowhead General Insurance Agency, distributes our Value Select Residential Earthquake program, which represents the majority of our Residential Earthquake premium and is administered through a mutually exclusive agreement with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spacing w:after="0" w:line="176"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b w:val="1"/>
          <w:bCs w:val="1"/>
          <w:i w:val="1"/>
          <w:iCs w:val="1"/>
          <w:color w:val="auto"/>
        </w:rPr>
        <w:t>Because we provide our program administrators with specific quoting and binding authority, if any of them fail to comply with pre</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established guidelines, our results of operations could be adversely affected.</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81"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w:t>
      </w:r>
      <w:r>
        <w:rPr>
          <w:rFonts w:ascii="MS PGothic" w:cs="MS PGothic" w:eastAsia="MS PGothic" w:hAnsi="MS PGothic"/>
          <w:sz w:val="18"/>
          <w:szCs w:val="18"/>
          <w:color w:val="auto"/>
        </w:rPr>
        <w:t>‑</w:t>
      </w:r>
      <w:r>
        <w:rPr>
          <w:rFonts w:ascii="Arial" w:cs="Arial" w:eastAsia="Arial" w:hAnsi="Arial"/>
          <w:sz w:val="18"/>
          <w:szCs w:val="18"/>
          <w:color w:val="auto"/>
        </w:rPr>
        <w:t>needed basis. If we are unable to collect premiums from our brokers in the future, our underwriting profits may decline, and our financial condition and results of operations could be materially and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business in our industry is intense.</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spacing w:after="0" w:line="17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spacing w:after="0" w:line="157" w:lineRule="exact"/>
        <w:rPr>
          <w:sz w:val="20"/>
          <w:szCs w:val="20"/>
          <w:color w:val="auto"/>
        </w:rPr>
      </w:pPr>
    </w:p>
    <w:p>
      <w:pPr>
        <w:jc w:val="both"/>
        <w:ind w:right="580" w:firstLine="648"/>
        <w:spacing w:after="0" w:line="311" w:lineRule="auto"/>
        <w:rPr>
          <w:sz w:val="20"/>
          <w:szCs w:val="20"/>
          <w:color w:val="auto"/>
        </w:rPr>
      </w:pPr>
      <w:r>
        <w:rPr>
          <w:rFonts w:ascii="Arial" w:cs="Arial" w:eastAsia="Arial" w:hAnsi="Arial"/>
          <w:sz w:val="16"/>
          <w:szCs w:val="16"/>
          <w:color w:val="auto"/>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spacing w:after="0" w:line="14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170"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Most of our insurance policies are written for a one</w:t>
      </w:r>
      <w:r>
        <w:rPr>
          <w:rFonts w:ascii="MS PGothic" w:cs="MS PGothic" w:eastAsia="MS PGothic" w:hAnsi="MS PGothic"/>
          <w:sz w:val="17"/>
          <w:szCs w:val="17"/>
          <w:color w:val="auto"/>
        </w:rPr>
        <w:t>‑</w:t>
      </w:r>
      <w:r>
        <w:rPr>
          <w:rFonts w:ascii="Arial" w:cs="Arial" w:eastAsia="Arial" w:hAnsi="Arial"/>
          <w:sz w:val="17"/>
          <w:szCs w:val="17"/>
          <w:color w:val="auto"/>
        </w:rPr>
        <w:t>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spacing w:after="0" w:line="2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7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and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6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addition, if we do not manage our TPAs effectively, or if our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act based on inaccurate or incomplete information regarding the accounts we underwrite.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change our underwriting guidelines or our strategy without stockholder approval.</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could take excessive risks, which could negatively affect our financial condition and business.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in the future, which may not be available or may only be available on unfavorable terms.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would be subject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effectively.</w:t>
      </w:r>
    </w:p>
    <w:p>
      <w:pPr>
        <w:spacing w:after="0" w:line="225"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spacing w:after="0" w:line="18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Our operating results have in the past varied from quarter to quarter and may not be indicative of our long</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term prospects.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and gains and losses on our equity securities, and the cost of reinsurance coverage.</w:t>
      </w:r>
    </w:p>
    <w:p>
      <w:pPr>
        <w:spacing w:after="0" w:line="188" w:lineRule="exact"/>
        <w:rPr>
          <w:sz w:val="20"/>
          <w:szCs w:val="20"/>
          <w:color w:val="auto"/>
        </w:rPr>
      </w:pPr>
    </w:p>
    <w:p>
      <w:pPr>
        <w:ind w:right="140" w:firstLine="360"/>
        <w:spacing w:after="0" w:line="263" w:lineRule="auto"/>
        <w:rPr>
          <w:sz w:val="20"/>
          <w:szCs w:val="20"/>
          <w:color w:val="auto"/>
        </w:rPr>
      </w:pPr>
      <w:r>
        <w:rPr>
          <w:rFonts w:ascii="Arial" w:cs="Arial" w:eastAsia="Arial" w:hAnsi="Arial"/>
          <w:sz w:val="18"/>
          <w:szCs w:val="18"/>
          <w:color w:val="auto"/>
        </w:rPr>
        <w:t>In addition, the insurance and reinsurance business historically has been a cyclical industry characterized by periods of intense price competition due to excessive underwriting capacity (soft market cycle) as well as periods when shortages of capacity increase premium levels (hard market cycle). We expect our business and results of operations to be continuously impacted by these market cycles.</w:t>
      </w:r>
    </w:p>
    <w:p>
      <w:pPr>
        <w:spacing w:after="0" w:line="184" w:lineRule="exact"/>
        <w:rPr>
          <w:sz w:val="20"/>
          <w:szCs w:val="20"/>
          <w:color w:val="auto"/>
        </w:rPr>
      </w:pPr>
    </w:p>
    <w:p>
      <w:pPr>
        <w:ind w:right="400" w:firstLine="648"/>
        <w:spacing w:after="0" w:line="220" w:lineRule="exact"/>
        <w:rPr>
          <w:sz w:val="20"/>
          <w:szCs w:val="20"/>
          <w:color w:val="auto"/>
        </w:rPr>
      </w:pPr>
      <w:r>
        <w:rPr>
          <w:rFonts w:ascii="Arial" w:cs="Arial" w:eastAsia="Arial" w:hAnsi="Arial"/>
          <w:sz w:val="16"/>
          <w:szCs w:val="16"/>
          <w:color w:val="auto"/>
        </w:rPr>
        <w:t>We seek to underwrite products and make investments to achieve favorable returns on tangible stockholders’ equity over the long term. Our opportunistic nature and focus on long</w:t>
      </w:r>
      <w:r>
        <w:rPr>
          <w:rFonts w:ascii="MS PGothic" w:cs="MS PGothic" w:eastAsia="MS PGothic" w:hAnsi="MS PGothic"/>
          <w:sz w:val="16"/>
          <w:szCs w:val="16"/>
          <w:color w:val="auto"/>
        </w:rPr>
        <w:t>‑</w:t>
      </w:r>
      <w:r>
        <w:rPr>
          <w:rFonts w:ascii="Arial" w:cs="Arial" w:eastAsia="Arial" w:hAnsi="Arial"/>
          <w:sz w:val="16"/>
          <w:szCs w:val="16"/>
          <w:color w:val="auto"/>
        </w:rPr>
        <w:t>term growth in tangible equity may result in fluctuations in gross written premiums, reinsurance expenses, loss expenses, and other underwriting expenses from period to period as we concentrate on underwriting contracts that we believe will generate better long</w:t>
      </w:r>
      <w:r>
        <w:rPr>
          <w:rFonts w:ascii="MS PGothic" w:cs="MS PGothic" w:eastAsia="MS PGothic" w:hAnsi="MS PGothic"/>
          <w:sz w:val="16"/>
          <w:szCs w:val="16"/>
          <w:color w:val="auto"/>
        </w:rPr>
        <w:t>‑</w:t>
      </w:r>
      <w:r>
        <w:rPr>
          <w:rFonts w:ascii="Arial" w:cs="Arial" w:eastAsia="Arial" w:hAnsi="Arial"/>
          <w:sz w:val="16"/>
          <w:szCs w:val="16"/>
          <w:color w:val="auto"/>
        </w:rPr>
        <w:t>term, rather than short</w:t>
      </w:r>
      <w:r>
        <w:rPr>
          <w:rFonts w:ascii="MS PGothic" w:cs="MS PGothic" w:eastAsia="MS PGothic" w:hAnsi="MS PGothic"/>
          <w:sz w:val="16"/>
          <w:szCs w:val="16"/>
          <w:color w:val="auto"/>
        </w:rPr>
        <w:t>‑</w:t>
      </w:r>
      <w:r>
        <w:rPr>
          <w:rFonts w:ascii="Arial" w:cs="Arial" w:eastAsia="Arial" w:hAnsi="Arial"/>
          <w:sz w:val="16"/>
          <w:szCs w:val="16"/>
          <w:color w:val="auto"/>
        </w:rPr>
        <w:t>term, results. Accordingly, our short</w:t>
      </w:r>
      <w:r>
        <w:rPr>
          <w:rFonts w:ascii="MS PGothic" w:cs="MS PGothic" w:eastAsia="MS PGothic" w:hAnsi="MS PGothic"/>
          <w:sz w:val="16"/>
          <w:szCs w:val="16"/>
          <w:color w:val="auto"/>
        </w:rPr>
        <w:t>‑</w:t>
      </w:r>
      <w:r>
        <w:rPr>
          <w:rFonts w:ascii="Arial" w:cs="Arial" w:eastAsia="Arial" w:hAnsi="Arial"/>
          <w:sz w:val="16"/>
          <w:szCs w:val="16"/>
          <w:color w:val="auto"/>
        </w:rPr>
        <w:t>term results of operations may not be indicative of our long</w:t>
      </w:r>
      <w:r>
        <w:rPr>
          <w:rFonts w:ascii="MS PGothic" w:cs="MS PGothic" w:eastAsia="MS PGothic" w:hAnsi="MS PGothic"/>
          <w:sz w:val="16"/>
          <w:szCs w:val="16"/>
          <w:color w:val="auto"/>
        </w:rPr>
        <w:t>‑</w:t>
      </w:r>
      <w:r>
        <w:rPr>
          <w:rFonts w:ascii="Arial" w:cs="Arial" w:eastAsia="Arial" w:hAnsi="Arial"/>
          <w:sz w:val="16"/>
          <w:szCs w:val="16"/>
          <w:color w:val="auto"/>
        </w:rPr>
        <w:t>term prospects.</w:t>
      </w:r>
    </w:p>
    <w:p>
      <w:pPr>
        <w:spacing w:after="0" w:line="20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4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December 2021, we entered into a Credit Agreement (the “Credit Agreement”) with certain lenders which provides a revolving credit facility of up to $100.0 million. Borrowings under the Credit Agreement may impact our business and financial condition by:</w:t>
      </w:r>
    </w:p>
    <w:p>
      <w:pPr>
        <w:spacing w:after="0" w:line="170"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Exposing us to interest rate risk since the interest rate in the credit agreement is a variable rate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Economic Environment</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underwrite a significant portion of our insurance in California and Texas. An economic downturn which particularly impacts either state could have an adverse effect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of our investment portfolio is subject to a variety of investment risks that may adversely affect our financial results.</w:t>
      </w:r>
    </w:p>
    <w:p>
      <w:pPr>
        <w:spacing w:after="0" w:line="22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spacing w:after="0" w:line="149" w:lineRule="exact"/>
        <w:rPr>
          <w:sz w:val="20"/>
          <w:szCs w:val="20"/>
          <w:color w:val="auto"/>
        </w:rPr>
      </w:pPr>
    </w:p>
    <w:p>
      <w:pPr>
        <w:ind w:right="80" w:firstLine="648"/>
        <w:spacing w:after="0" w:line="218" w:lineRule="exact"/>
        <w:rPr>
          <w:sz w:val="20"/>
          <w:szCs w:val="20"/>
          <w:color w:val="auto"/>
        </w:rPr>
      </w:pPr>
      <w:r>
        <w:rPr>
          <w:rFonts w:ascii="Arial" w:cs="Arial" w:eastAsia="Arial" w:hAnsi="Arial"/>
          <w:sz w:val="16"/>
          <w:szCs w:val="16"/>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r>
      <w:r>
        <w:rPr>
          <w:rFonts w:ascii="MS PGothic" w:cs="MS PGothic" w:eastAsia="MS PGothic" w:hAnsi="MS PGothic"/>
          <w:sz w:val="16"/>
          <w:szCs w:val="16"/>
          <w:color w:val="auto"/>
        </w:rPr>
        <w:t>‑</w:t>
      </w:r>
      <w:r>
        <w:rPr>
          <w:rFonts w:ascii="Arial" w:cs="Arial" w:eastAsia="Arial" w:hAnsi="Arial"/>
          <w:sz w:val="16"/>
          <w:szCs w:val="16"/>
          <w:color w:val="auto"/>
        </w:rPr>
        <w:t>backed and asset</w:t>
      </w:r>
      <w:r>
        <w:rPr>
          <w:rFonts w:ascii="MS PGothic" w:cs="MS PGothic" w:eastAsia="MS PGothic" w:hAnsi="MS PGothic"/>
          <w:sz w:val="16"/>
          <w:szCs w:val="16"/>
          <w:color w:val="auto"/>
        </w:rPr>
        <w:t>‑</w:t>
      </w:r>
      <w:r>
        <w:rPr>
          <w:rFonts w:ascii="Arial" w:cs="Arial" w:eastAsia="Arial" w:hAnsi="Arial"/>
          <w:sz w:val="16"/>
          <w:szCs w:val="16"/>
          <w:color w:val="auto"/>
        </w:rPr>
        <w:t>backed securities, carry prepayment risk or, in a rising interest rate environment, may not prepay as quickly as expected.</w:t>
      </w:r>
    </w:p>
    <w:p>
      <w:pPr>
        <w:spacing w:after="0" w:line="206"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8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also invest in marketable equity securities. These securities are carried on the balance sheet at fair market value and are subject to potential losses and declines in market value based on the performance of equity markets. Our equity invested assets totaled $41.4 million as of June 30, 2023.</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spacing w:after="0" w:line="187"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4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forced to sell investments to meet our liquidity requirements.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our information technology and telecommunications systems could adversely affect our business.</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w:t>
      </w:r>
      <w:r>
        <w:rPr>
          <w:rFonts w:ascii="MS PGothic" w:cs="MS PGothic" w:eastAsia="MS PGothic" w:hAnsi="MS PGothic"/>
          <w:sz w:val="17"/>
          <w:szCs w:val="17"/>
          <w:color w:val="auto"/>
        </w:rPr>
        <w:t>‑</w:t>
      </w:r>
      <w:r>
        <w:rPr>
          <w:rFonts w:ascii="Arial" w:cs="Arial" w:eastAsia="Arial" w:hAnsi="Arial"/>
          <w:sz w:val="17"/>
          <w:szCs w:val="17"/>
          <w:color w:val="auto"/>
        </w:rPr>
        <w:t>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 significant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or cyber-attacks could expose us to liability and damage our reputation and business.</w:t>
      </w:r>
    </w:p>
    <w:p>
      <w:pPr>
        <w:spacing w:after="0" w:line="225" w:lineRule="exact"/>
        <w:rPr>
          <w:sz w:val="20"/>
          <w:szCs w:val="20"/>
          <w:color w:val="auto"/>
        </w:rPr>
      </w:pPr>
    </w:p>
    <w:p>
      <w:pPr>
        <w:jc w:val="both"/>
        <w:ind w:right="500" w:firstLine="648"/>
        <w:spacing w:after="0" w:line="220" w:lineRule="exact"/>
        <w:rPr>
          <w:sz w:val="20"/>
          <w:szCs w:val="20"/>
          <w:color w:val="auto"/>
        </w:rPr>
      </w:pPr>
      <w:r>
        <w:rPr>
          <w:rFonts w:ascii="Arial" w:cs="Arial" w:eastAsia="Arial" w:hAnsi="Arial"/>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r>
      <w:r>
        <w:rPr>
          <w:rFonts w:ascii="MS PGothic" w:cs="MS PGothic" w:eastAsia="MS PGothic" w:hAnsi="MS PGothic"/>
          <w:sz w:val="18"/>
          <w:szCs w:val="18"/>
          <w:color w:val="auto"/>
        </w:rPr>
        <w:t>‑</w:t>
      </w:r>
      <w:r>
        <w:rPr>
          <w:rFonts w:ascii="Arial" w:cs="Arial" w:eastAsia="Arial" w:hAnsi="Arial"/>
          <w:sz w:val="18"/>
          <w:szCs w:val="18"/>
          <w:color w:val="auto"/>
        </w:rPr>
        <w:t>attacks or other disruptions.</w:t>
      </w:r>
    </w:p>
    <w:p>
      <w:pPr>
        <w:spacing w:after="0" w:line="204"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6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64" w:lineRule="exact"/>
        <w:rPr>
          <w:sz w:val="20"/>
          <w:szCs w:val="20"/>
          <w:color w:val="auto"/>
        </w:rPr>
      </w:pPr>
    </w:p>
    <w:p>
      <w:pPr>
        <w:ind w:right="220" w:firstLine="648"/>
        <w:spacing w:after="0" w:line="219" w:lineRule="exact"/>
        <w:rPr>
          <w:sz w:val="20"/>
          <w:szCs w:val="20"/>
          <w:color w:val="auto"/>
        </w:rPr>
      </w:pPr>
      <w:r>
        <w:rPr>
          <w:rFonts w:ascii="Arial" w:cs="Arial" w:eastAsia="Arial" w:hAnsi="Arial"/>
          <w:sz w:val="18"/>
          <w:szCs w:val="18"/>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r>
      <w:r>
        <w:rPr>
          <w:rFonts w:ascii="MS PGothic" w:cs="MS PGothic" w:eastAsia="MS PGothic" w:hAnsi="MS PGothic"/>
          <w:sz w:val="18"/>
          <w:szCs w:val="18"/>
          <w:color w:val="auto"/>
        </w:rPr>
        <w:t>‑</w:t>
      </w:r>
      <w:r>
        <w:rPr>
          <w:rFonts w:ascii="Arial" w:cs="Arial" w:eastAsia="Arial" w:hAnsi="Arial"/>
          <w:sz w:val="18"/>
          <w:szCs w:val="18"/>
          <w:color w:val="auto"/>
        </w:rPr>
        <w:t>ins or inappropriate access, or other developments will not compromise or breach the technology or other security measures protecting the networks and systems used in connection with our business.</w:t>
      </w:r>
    </w:p>
    <w:p>
      <w:pPr>
        <w:spacing w:after="0" w:line="203" w:lineRule="exact"/>
        <w:rPr>
          <w:sz w:val="20"/>
          <w:szCs w:val="20"/>
          <w:color w:val="auto"/>
        </w:rPr>
      </w:pPr>
    </w:p>
    <w:p>
      <w:pPr>
        <w:ind w:right="140"/>
        <w:spacing w:after="0" w:line="223" w:lineRule="exact"/>
        <w:rPr>
          <w:sz w:val="20"/>
          <w:szCs w:val="20"/>
          <w:color w:val="auto"/>
        </w:rPr>
      </w:pPr>
      <w:r>
        <w:rPr>
          <w:rFonts w:ascii="Arial" w:cs="Arial" w:eastAsia="Arial" w:hAnsi="Arial"/>
          <w:sz w:val="18"/>
          <w:szCs w:val="18"/>
          <w:b w:val="1"/>
          <w:bCs w:val="1"/>
          <w:i w:val="1"/>
          <w:iCs w:val="1"/>
          <w:color w:val="auto"/>
        </w:rPr>
        <w:t>We employ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licensed software for use in our business, and the inability to maintain these licenses, problems with the software we license, or increases to the cost of software licenses could adversely affect our business.</w:t>
      </w:r>
    </w:p>
    <w:p>
      <w:pPr>
        <w:spacing w:after="0" w:line="203"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Multiple areas of our business rely on certain third</w:t>
      </w:r>
      <w:r>
        <w:rPr>
          <w:rFonts w:ascii="MS PGothic" w:cs="MS PGothic" w:eastAsia="MS PGothic" w:hAnsi="MS PGothic"/>
          <w:sz w:val="16"/>
          <w:szCs w:val="16"/>
          <w:color w:val="auto"/>
        </w:rPr>
        <w:t>‑</w:t>
      </w:r>
      <w:r>
        <w:rPr>
          <w:rFonts w:ascii="Arial" w:cs="Arial" w:eastAsia="Arial" w:hAnsi="Arial"/>
          <w:sz w:val="16"/>
          <w:szCs w:val="16"/>
          <w:color w:val="auto"/>
        </w:rPr>
        <w:t>party software obtained under licenses from other companies. We anticipate that we will continue to rely on such third</w:t>
      </w:r>
      <w:r>
        <w:rPr>
          <w:rFonts w:ascii="MS PGothic" w:cs="MS PGothic" w:eastAsia="MS PGothic" w:hAnsi="MS PGothic"/>
          <w:sz w:val="16"/>
          <w:szCs w:val="16"/>
          <w:color w:val="auto"/>
        </w:rPr>
        <w:t>‑</w:t>
      </w:r>
      <w:r>
        <w:rPr>
          <w:rFonts w:ascii="Arial" w:cs="Arial" w:eastAsia="Arial" w:hAnsi="Arial"/>
          <w:sz w:val="16"/>
          <w:szCs w:val="16"/>
          <w:color w:val="auto"/>
        </w:rPr>
        <w:t>party software in the future. Unforeseen issues may arise in third-party software platforms which may have an adverse impact on our operations. Integration of new third</w:t>
      </w:r>
      <w:r>
        <w:rPr>
          <w:rFonts w:ascii="MS PGothic" w:cs="MS PGothic" w:eastAsia="MS PGothic" w:hAnsi="MS PGothic"/>
          <w:sz w:val="16"/>
          <w:szCs w:val="16"/>
          <w:color w:val="auto"/>
        </w:rPr>
        <w:t>‑</w:t>
      </w:r>
      <w:r>
        <w:rPr>
          <w:rFonts w:ascii="Arial" w:cs="Arial" w:eastAsia="Arial" w:hAnsi="Arial"/>
          <w:sz w:val="16"/>
          <w:szCs w:val="16"/>
          <w:color w:val="auto"/>
        </w:rPr>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w:t>
      </w:r>
      <w:r>
        <w:rPr>
          <w:rFonts w:ascii="MS PGothic" w:cs="MS PGothic" w:eastAsia="MS PGothic" w:hAnsi="MS PGothic"/>
          <w:sz w:val="16"/>
          <w:szCs w:val="16"/>
          <w:color w:val="auto"/>
        </w:rPr>
        <w:t>‑</w:t>
      </w:r>
      <w:r>
        <w:rPr>
          <w:rFonts w:ascii="Arial" w:cs="Arial" w:eastAsia="Arial" w:hAnsi="Arial"/>
          <w:sz w:val="16"/>
          <w:szCs w:val="16"/>
          <w:color w:val="auto"/>
        </w:rPr>
        <w:t>party software cannot be eliminated, and these risks could negatively affect our business.</w:t>
      </w:r>
    </w:p>
    <w:p>
      <w:pPr>
        <w:spacing w:after="0" w:line="204" w:lineRule="exact"/>
        <w:rPr>
          <w:sz w:val="20"/>
          <w:szCs w:val="20"/>
          <w:color w:val="auto"/>
        </w:rPr>
      </w:pPr>
    </w:p>
    <w:p>
      <w:pPr>
        <w:ind w:right="340" w:firstLine="648"/>
        <w:spacing w:after="0" w:line="219" w:lineRule="exact"/>
        <w:rPr>
          <w:sz w:val="20"/>
          <w:szCs w:val="20"/>
          <w:color w:val="auto"/>
        </w:rPr>
      </w:pPr>
      <w:r>
        <w:rPr>
          <w:rFonts w:ascii="Arial" w:cs="Arial" w:eastAsia="Arial" w:hAnsi="Arial"/>
          <w:sz w:val="17"/>
          <w:szCs w:val="17"/>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w:t>
      </w:r>
      <w:r>
        <w:rPr>
          <w:rFonts w:ascii="MS PGothic" w:cs="MS PGothic" w:eastAsia="MS PGothic" w:hAnsi="MS PGothic"/>
          <w:sz w:val="17"/>
          <w:szCs w:val="17"/>
          <w:color w:val="auto"/>
        </w:rPr>
        <w:t>‑</w:t>
      </w:r>
      <w:r>
        <w:rPr>
          <w:rFonts w:ascii="Arial" w:cs="Arial" w:eastAsia="Arial" w:hAnsi="Arial"/>
          <w:sz w:val="17"/>
          <w:szCs w:val="17"/>
          <w:color w:val="auto"/>
        </w:rPr>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cloud provider service failure or control weakness could adversely affect our business.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employ cloud-based services to host our applications and intend to expand our use. As we expand our use of cloud-based services, we will increasingly rely on third-party cloud providers to maintain appropriate controls and safeguards to protect confidential information we receive, including personal, personally identifiable, sensitive, confidential or proprietary data, and the integrity and continuous operation of our proprietary technology platform. While we conduct due diligence on these cloud providers with respect to their security and business controls, we may not have the visibility to effectively monitor the implementation and efficacy of these controls. Outside parties may be able to circumvent controls or exploit vulnerabilities, resulting in operational disruption, data loss, defects or a security event. Migrating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or otherwise operate our business. Any such event or failure could have a material adverse effect on our business, financial condition and results of operations.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PSIC is subject to extensive regulation in Oregon, its state of domicile, California, where it is commercially domiciled, and to a lesser degree, the other states in which it operates. PESIC is subject to extensive regulation in Arizona, its state of domicile, and to a lesser degree, the other states in which it writes business. Our Bermuda based reinsurance subsidiary, Palomar Specialty Reinsurance Company Bermuda Ltd. (“PSRE”), is subject to regulation in Bermuda.</w:t>
      </w:r>
    </w:p>
    <w:p>
      <w:pPr>
        <w:spacing w:after="0" w:line="187"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w:t>
      </w:r>
      <w:r>
        <w:rPr>
          <w:rFonts w:ascii="MS PGothic" w:cs="MS PGothic" w:eastAsia="MS PGothic" w:hAnsi="MS PGothic"/>
          <w:sz w:val="18"/>
          <w:szCs w:val="18"/>
          <w:color w:val="auto"/>
        </w:rPr>
        <w:t>‑</w:t>
      </w:r>
      <w:r>
        <w:rPr>
          <w:rFonts w:ascii="Arial" w:cs="Arial" w:eastAsia="Arial" w:hAnsi="Arial"/>
          <w:sz w:val="18"/>
          <w:szCs w:val="18"/>
          <w:color w:val="auto"/>
        </w:rPr>
        <w:t>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20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 30 days prior to engaging in the transaction and the California Department of Insurance, the Oregon Division of Financial Regulation, or the Arizona Department of Insurance, as applicable, has not disapproved such transaction within the 30</w:t>
      </w:r>
      <w:r>
        <w:rPr>
          <w:rFonts w:ascii="MS PGothic" w:cs="MS PGothic" w:eastAsia="MS PGothic" w:hAnsi="MS PGothic"/>
          <w:sz w:val="18"/>
          <w:szCs w:val="18"/>
          <w:color w:val="auto"/>
        </w:rPr>
        <w:t>‑</w:t>
      </w:r>
      <w:r>
        <w:rPr>
          <w:rFonts w:ascii="Arial" w:cs="Arial" w:eastAsia="Arial" w:hAnsi="Arial"/>
          <w:sz w:val="18"/>
          <w:szCs w:val="18"/>
          <w:color w:val="auto"/>
        </w:rPr>
        <w:t>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92"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Our U.S. insurance subsidiaries are subject to risk</w:t>
      </w:r>
      <w:r>
        <w:rPr>
          <w:rFonts w:ascii="MS PGothic" w:cs="MS PGothic" w:eastAsia="MS PGothic" w:hAnsi="MS PGothic"/>
          <w:sz w:val="18"/>
          <w:szCs w:val="18"/>
          <w:color w:val="auto"/>
        </w:rPr>
        <w:t>‑</w:t>
      </w:r>
      <w:r>
        <w:rPr>
          <w:rFonts w:ascii="Arial" w:cs="Arial" w:eastAsia="Arial" w:hAnsi="Arial"/>
          <w:sz w:val="18"/>
          <w:szCs w:val="18"/>
          <w:color w:val="auto"/>
        </w:rPr>
        <w:t>based capital requirements, based upon the “risk based capital model” adopted by the NAIC, and other minimum capital and surplus restrictions imposed under Arizona, Oregon and California law. These requirements establish the minimum amount of risk</w:t>
      </w:r>
      <w:r>
        <w:rPr>
          <w:rFonts w:ascii="MS PGothic" w:cs="MS PGothic" w:eastAsia="MS PGothic" w:hAnsi="MS PGothic"/>
          <w:sz w:val="18"/>
          <w:szCs w:val="18"/>
          <w:color w:val="auto"/>
        </w:rPr>
        <w:t>‑</w:t>
      </w:r>
      <w:r>
        <w:rPr>
          <w:rFonts w:ascii="Arial" w:cs="Arial" w:eastAsia="Arial" w:hAnsi="Arial"/>
          <w:sz w:val="18"/>
          <w:szCs w:val="18"/>
          <w:color w:val="auto"/>
        </w:rPr>
        <w:t>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w:t>
      </w:r>
      <w:r>
        <w:rPr>
          <w:rFonts w:ascii="MS PGothic" w:cs="MS PGothic" w:eastAsia="MS PGothic" w:hAnsi="MS PGothic"/>
          <w:sz w:val="18"/>
          <w:szCs w:val="18"/>
          <w:color w:val="auto"/>
        </w:rPr>
        <w:t>‑</w:t>
      </w:r>
      <w:r>
        <w:rPr>
          <w:rFonts w:ascii="Arial" w:cs="Arial" w:eastAsia="Arial" w:hAnsi="Arial"/>
          <w:sz w:val="18"/>
          <w:szCs w:val="18"/>
          <w:color w:val="auto"/>
        </w:rPr>
        <w:t>based capital at the required levels could adversely affect their ability to maintain regulatory authority to conduct business.</w:t>
      </w:r>
    </w:p>
    <w:p>
      <w:pPr>
        <w:spacing w:after="0" w:line="20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will be subject to the ES Requirements. As a result, our Bermuda subsidiary may be required to change or increase our business operations in Bermuda to meet the new requirements. Compliance with the ES Requirements is required with effect from July 1, 2019.</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81"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subject to additional government or market regulation, including additional regulation around cyber-attacks, which may have a material adverse impact on our business.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business could be adversely affected by changes in state laws, including those relating to asset and reserve valuation requirements, surplus requirements, limitations on investments and dividends, enterprise risk and risk</w:t>
      </w:r>
      <w:r>
        <w:rPr>
          <w:rFonts w:ascii="MS PGothic" w:cs="MS PGothic" w:eastAsia="MS PGothic" w:hAnsi="MS PGothic"/>
          <w:sz w:val="17"/>
          <w:szCs w:val="17"/>
          <w:color w:val="auto"/>
        </w:rPr>
        <w:t>‑</w:t>
      </w:r>
      <w:r>
        <w:rPr>
          <w:rFonts w:ascii="Arial" w:cs="Arial" w:eastAsia="Arial" w:hAnsi="Arial"/>
          <w:sz w:val="17"/>
          <w:szCs w:val="17"/>
          <w:color w:val="auto"/>
        </w:rPr>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Any government mandates and/or legislative changes related to COVID-19 or other events, including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Additionally, in response to the growing threat of cyber-attacks in the insurance industry, certain jurisdictions have begun to consider new cybersecurity measures, including the adoption of cybersecurity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As we expand our insurance operations, we expect to be impacted by this legislation and be required to file compliance certifications pertaining to this legislation.</w:t>
      </w:r>
    </w:p>
    <w:p>
      <w:pPr>
        <w:spacing w:after="0" w:line="178"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as a result of the enactment of tax legislation could impact our operations and profitability.</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states increase the assessments that we are required to pay, our business, financial condition and results of operations would suffer.</w:t>
      </w:r>
    </w:p>
    <w:p>
      <w:pPr>
        <w:spacing w:after="0" w:line="23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PSIC is licensed to conduct insurance operations on an admitted basis in 37 states. As PSIC grows, its share of any assessments in each state in which it underwrites business on an admitted basis may increase. PSIC paid assessments of and $0.6 million in 2022 and $0.2 million for the six months ended June 30, 2023.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46"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w:t>
      </w:r>
      <w:r>
        <w:rPr>
          <w:rFonts w:ascii="MS PGothic" w:cs="MS PGothic" w:eastAsia="MS PGothic" w:hAnsi="MS PGothic"/>
          <w:sz w:val="17"/>
          <w:szCs w:val="17"/>
          <w:color w:val="auto"/>
        </w:rPr>
        <w:t>‑</w:t>
      </w:r>
      <w:r>
        <w:rPr>
          <w:rFonts w:ascii="Arial" w:cs="Arial" w:eastAsia="Arial" w:hAnsi="Arial"/>
          <w:sz w:val="17"/>
          <w:szCs w:val="17"/>
          <w:color w:val="auto"/>
        </w:rPr>
        <w:t>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spacing w:after="0" w:line="20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88"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litigation on our business are uncertain and could have an adverse effect on our business.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70"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r>
      <w:r>
        <w:rPr>
          <w:rFonts w:ascii="MS PGothic" w:cs="MS PGothic" w:eastAsia="MS PGothic" w:hAnsi="MS PGothic"/>
          <w:sz w:val="16"/>
          <w:szCs w:val="16"/>
          <w:color w:val="auto"/>
        </w:rPr>
        <w:t>‑</w:t>
      </w:r>
      <w:r>
        <w:rPr>
          <w:rFonts w:ascii="Arial" w:cs="Arial" w:eastAsia="Arial" w:hAnsi="Arial"/>
          <w:sz w:val="16"/>
          <w:szCs w:val="16"/>
          <w:color w:val="auto"/>
        </w:rPr>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204"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divert the attention of our management and key personnel from our business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practices and future pronouncements may materially affect our reported financial results.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7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addition to compliance with GAAP on a consolidated basis, PSIC, PESIC, and PSRE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9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incur significant costs as a public company, and our management is required to devote substantial time to complying with public company regulations.</w:t>
      </w:r>
    </w:p>
    <w:p>
      <w:pPr>
        <w:spacing w:after="0" w:line="170"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spacing w:after="0" w:line="207" w:lineRule="exact"/>
        <w:rPr>
          <w:sz w:val="20"/>
          <w:szCs w:val="20"/>
          <w:color w:val="auto"/>
        </w:rPr>
      </w:pPr>
    </w:p>
    <w:p>
      <w:pPr>
        <w:ind w:right="220" w:firstLine="648"/>
        <w:spacing w:after="0" w:line="221" w:lineRule="exact"/>
        <w:rPr>
          <w:sz w:val="20"/>
          <w:szCs w:val="20"/>
          <w:color w:val="auto"/>
        </w:rPr>
      </w:pPr>
      <w:r>
        <w:rPr>
          <w:rFonts w:ascii="Arial" w:cs="Arial" w:eastAsia="Arial" w:hAnsi="Arial"/>
          <w:sz w:val="16"/>
          <w:szCs w:val="16"/>
          <w:color w:val="auto"/>
        </w:rPr>
        <w:t>The Sarbanes</w:t>
      </w:r>
      <w:r>
        <w:rPr>
          <w:rFonts w:ascii="MS PGothic" w:cs="MS PGothic" w:eastAsia="MS PGothic" w:hAnsi="MS PGothic"/>
          <w:sz w:val="16"/>
          <w:szCs w:val="16"/>
          <w:color w:val="auto"/>
        </w:rPr>
        <w:t>‑</w:t>
      </w:r>
      <w:r>
        <w:rPr>
          <w:rFonts w:ascii="Arial" w:cs="Arial" w:eastAsia="Arial" w:hAnsi="Arial"/>
          <w:sz w:val="16"/>
          <w:szCs w:val="16"/>
          <w:color w:val="auto"/>
        </w:rPr>
        <w:t>Oxley Act and the Dodd</w:t>
      </w:r>
      <w:r>
        <w:rPr>
          <w:rFonts w:ascii="MS PGothic" w:cs="MS PGothic" w:eastAsia="MS PGothic" w:hAnsi="MS PGothic"/>
          <w:sz w:val="16"/>
          <w:szCs w:val="16"/>
          <w:color w:val="auto"/>
        </w:rPr>
        <w:t>‑</w:t>
      </w:r>
      <w:r>
        <w:rPr>
          <w:rFonts w:ascii="Arial" w:cs="Arial" w:eastAsia="Arial" w:hAnsi="Arial"/>
          <w:sz w:val="16"/>
          <w:szCs w:val="16"/>
          <w:color w:val="auto"/>
        </w:rPr>
        <w:t>Frank Act, as well as new rules subsequently implemented by the SEC and Nasdaq, have increased regulation of, and imposed enhanced disclosure and corporate governance requirements on, public companies. Our efforts to comply with these evolving laws, regulations and standards increases our operating costs and divert management’s time and attention from revenue</w:t>
      </w:r>
      <w:r>
        <w:rPr>
          <w:rFonts w:ascii="MS PGothic" w:cs="MS PGothic" w:eastAsia="MS PGothic" w:hAnsi="MS PGothic"/>
          <w:sz w:val="16"/>
          <w:szCs w:val="16"/>
          <w:color w:val="auto"/>
        </w:rPr>
        <w:t>‑</w:t>
      </w:r>
      <w:r>
        <w:rPr>
          <w:rFonts w:ascii="Arial" w:cs="Arial" w:eastAsia="Arial" w:hAnsi="Arial"/>
          <w:sz w:val="16"/>
          <w:szCs w:val="16"/>
          <w:color w:val="auto"/>
        </w:rPr>
        <w:t>generating activities.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188" w:lineRule="exact"/>
        <w:rPr>
          <w:sz w:val="20"/>
          <w:szCs w:val="20"/>
          <w:color w:val="auto"/>
        </w:rPr>
      </w:pPr>
    </w:p>
    <w:p>
      <w:pPr>
        <w:ind w:left="980" w:right="7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and file periodic reports and distribute other stockholder communications, in compliance with the federal securities laws and requirements of Nasdaq;</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define and expand the roles and the duties of our Board of Directors and its committees;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institute comprehensive compliance and investor relations functions; and</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18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We are required by Section 404 of the Sarbanes</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204" w:lineRule="exact"/>
        <w:rPr>
          <w:sz w:val="20"/>
          <w:szCs w:val="20"/>
          <w:color w:val="auto"/>
        </w:rPr>
      </w:pPr>
    </w:p>
    <w:p>
      <w:pPr>
        <w:ind w:right="180" w:firstLine="648"/>
        <w:spacing w:after="0" w:line="220" w:lineRule="exact"/>
        <w:rPr>
          <w:sz w:val="20"/>
          <w:szCs w:val="20"/>
          <w:color w:val="auto"/>
        </w:rPr>
      </w:pPr>
      <w:r>
        <w:rPr>
          <w:rFonts w:ascii="Arial" w:cs="Arial" w:eastAsia="Arial" w:hAnsi="Arial"/>
          <w:sz w:val="18"/>
          <w:szCs w:val="18"/>
          <w:color w:val="auto"/>
        </w:rPr>
        <w:t>As a public company with SEC reporting obligations, we are required to document and test our internal control procedures to satisfy the requirements of Section 404(b)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our assessments, we may identify deficiencies that we are unable to remediate in a timely manner. Testing and maintaining our internal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control over financial reporting may also divert management’s attention from other matters that are important to the operation of our business. We may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able to conclude on an ongoing basis that we have effective internal control over financial reporting in accordance with Section 404(b) of</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Sarbanes</w:t>
      </w:r>
      <w:r>
        <w:rPr>
          <w:rFonts w:ascii="MS PGothic" w:cs="MS PGothic" w:eastAsia="MS PGothic" w:hAnsi="MS PGothic"/>
          <w:sz w:val="16"/>
          <w:szCs w:val="16"/>
          <w:color w:val="auto"/>
        </w:rPr>
        <w:t>‑</w:t>
      </w:r>
      <w:r>
        <w:rPr>
          <w:rFonts w:ascii="Arial" w:cs="Arial" w:eastAsia="Arial" w:hAnsi="Arial"/>
          <w:sz w:val="16"/>
          <w:szCs w:val="16"/>
          <w:color w:val="auto"/>
        </w:rPr>
        <w:t>Oxley. If we conclude that our internal control over financial reporting is not effective, the cost and scope of remediation actions and their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our operations may be significant. Moreover, any material weaknesses or other deficiencies in our internal control over financial reporting may impede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file timely and accurate reports with the SEC. Any of the above could cause investors to lose confidence in our reported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our common stock listing on Nasdaq to be suspended or terminated, which could have a negative effect on the trading price of our common stock.</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Applicable insurance laws may make it difficult to effect a change of control.</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r>
      <w:r>
        <w:rPr>
          <w:rFonts w:ascii="MS PGothic" w:cs="MS PGothic" w:eastAsia="MS PGothic" w:hAnsi="MS PGothic"/>
          <w:sz w:val="16"/>
          <w:szCs w:val="16"/>
          <w:color w:val="auto"/>
        </w:rPr>
        <w:t>‑</w:t>
      </w:r>
      <w:r>
        <w:rPr>
          <w:rFonts w:ascii="Arial" w:cs="Arial" w:eastAsia="Arial" w:hAnsi="Arial"/>
          <w:sz w:val="16"/>
          <w:szCs w:val="16"/>
          <w:color w:val="auto"/>
        </w:rPr>
        <w:t>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20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transactions where we raise capital may negatively affect our stock price.</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6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that vary from expectations of securities analysis and investors;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by us, our competitors or our acquisition targets;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 including by our directors, executive officers and principal stockholders;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in our Board or Directors, senior management or other key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legal or political developments;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indebtedness we may incur or securities we may issue in the future;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under agreements governing our indebtedness;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capital and credit market risks that adversely affect our investment portfolio or our capital resources;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corporate tax rates;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or exchange rate fluctuations;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events or factors, including those from natural disasters, war, pandemics, acts of terrorism, cyber-attacks or responses to these events.</w:t>
      </w:r>
    </w:p>
    <w:p>
      <w:pPr>
        <w:spacing w:after="0" w:line="27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5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takeover provisions in our organizational documents could delay a change in management and limit our share price.</w:t>
      </w:r>
    </w:p>
    <w:p>
      <w:pPr>
        <w:spacing w:after="0" w:line="225"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84" w:lineRule="exact"/>
        <w:rPr>
          <w:sz w:val="20"/>
          <w:szCs w:val="20"/>
          <w:color w:val="auto"/>
        </w:rPr>
      </w:pPr>
    </w:p>
    <w:p>
      <w:pPr>
        <w:ind w:firstLine="648"/>
        <w:spacing w:after="0" w:line="223" w:lineRule="exact"/>
        <w:rPr>
          <w:sz w:val="20"/>
          <w:szCs w:val="20"/>
          <w:color w:val="auto"/>
        </w:rPr>
      </w:pPr>
      <w:r>
        <w:rPr>
          <w:rFonts w:ascii="Arial" w:cs="Arial" w:eastAsia="Arial" w:hAnsi="Arial"/>
          <w:sz w:val="18"/>
          <w:szCs w:val="18"/>
          <w:color w:val="auto"/>
        </w:rPr>
        <w:t>Our charter documents contain anti</w:t>
      </w:r>
      <w:r>
        <w:rPr>
          <w:rFonts w:ascii="MS PGothic" w:cs="MS PGothic" w:eastAsia="MS PGothic" w:hAnsi="MS PGothic"/>
          <w:sz w:val="18"/>
          <w:szCs w:val="18"/>
          <w:color w:val="auto"/>
        </w:rPr>
        <w:t>‑</w:t>
      </w:r>
      <w:r>
        <w:rPr>
          <w:rFonts w:ascii="Arial" w:cs="Arial" w:eastAsia="Arial" w:hAnsi="Arial"/>
          <w:sz w:val="18"/>
          <w:szCs w:val="18"/>
          <w:color w:val="auto"/>
        </w:rPr>
        <w:t>takeover provisions that will hinder takeover attempts and could reduce the market value of our common stock or prevent sale at a premium. Our anti</w:t>
      </w:r>
      <w:r>
        <w:rPr>
          <w:rFonts w:ascii="MS PGothic" w:cs="MS PGothic" w:eastAsia="MS PGothic" w:hAnsi="MS PGothic"/>
          <w:sz w:val="18"/>
          <w:szCs w:val="18"/>
          <w:color w:val="auto"/>
        </w:rPr>
        <w:t>‑</w:t>
      </w:r>
      <w:r>
        <w:rPr>
          <w:rFonts w:ascii="Arial" w:cs="Arial" w:eastAsia="Arial" w:hAnsi="Arial"/>
          <w:sz w:val="18"/>
          <w:szCs w:val="18"/>
          <w:color w:val="auto"/>
        </w:rPr>
        <w:t>takeover provisions:</w:t>
      </w:r>
    </w:p>
    <w:p>
      <w:pPr>
        <w:spacing w:after="0" w:line="203"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252"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through 2027, that our Board of Directors are classified into three classes with staggered, three year terms and that directors may only be removed for cause;</w:t>
      </w:r>
    </w:p>
    <w:p>
      <w:pPr>
        <w:spacing w:after="0" w:line="170"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super</w:t>
      </w:r>
      <w:r>
        <w:rPr>
          <w:rFonts w:ascii="MS PGothic" w:cs="MS PGothic" w:eastAsia="MS PGothic" w:hAnsi="MS PGothic"/>
          <w:sz w:val="18"/>
          <w:szCs w:val="18"/>
          <w:color w:val="auto"/>
        </w:rPr>
        <w:t>‑</w:t>
      </w:r>
      <w:r>
        <w:rPr>
          <w:rFonts w:ascii="Arial" w:cs="Arial" w:eastAsia="Arial" w:hAnsi="Arial"/>
          <w:sz w:val="18"/>
          <w:szCs w:val="18"/>
          <w:color w:val="auto"/>
        </w:rPr>
        <w:t>majority voting to amend provisions in our certificate of incorporation and bylaws;</w:t>
      </w:r>
    </w:p>
    <w:p>
      <w:pPr>
        <w:spacing w:after="0" w:line="252" w:lineRule="exact"/>
        <w:rPr>
          <w:rFonts w:ascii="Arial" w:cs="Arial" w:eastAsia="Arial" w:hAnsi="Arial"/>
          <w:sz w:val="18"/>
          <w:szCs w:val="18"/>
          <w:color w:val="auto"/>
        </w:rPr>
      </w:pPr>
    </w:p>
    <w:p>
      <w:pPr>
        <w:jc w:val="both"/>
        <w:ind w:left="980" w:right="120" w:hanging="324"/>
        <w:spacing w:after="0" w:line="224" w:lineRule="exact"/>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 blank</w:t>
      </w:r>
      <w:r>
        <w:rPr>
          <w:rFonts w:ascii="MS PGothic" w:cs="MS PGothic" w:eastAsia="MS PGothic" w:hAnsi="MS PGothic"/>
          <w:sz w:val="16"/>
          <w:szCs w:val="16"/>
          <w:color w:val="auto"/>
        </w:rPr>
        <w:t>‑</w:t>
      </w:r>
      <w:r>
        <w:rPr>
          <w:rFonts w:ascii="Arial" w:cs="Arial" w:eastAsia="Arial" w:hAnsi="Arial"/>
          <w:sz w:val="16"/>
          <w:szCs w:val="16"/>
          <w:color w:val="auto"/>
        </w:rPr>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201"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other than unanimous written consent;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and</w:t>
      </w:r>
    </w:p>
    <w:p>
      <w:pPr>
        <w:spacing w:after="0" w:line="252"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obtain a favorable judicial forum for disputes with us or our directors, officers or employees.</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certificate of incorporation and bylaws provide that the Court of Chancery of the State of Delaware is the exclusive forum for the following civil actions:</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by any of our directors, officers, employees or agents or our stockholders;</w:t>
      </w:r>
    </w:p>
    <w:p>
      <w:pPr>
        <w:spacing w:after="0" w:line="263" w:lineRule="exact"/>
        <w:rPr>
          <w:rFonts w:ascii="Arial" w:cs="Arial" w:eastAsia="Arial" w:hAnsi="Arial"/>
          <w:sz w:val="17"/>
          <w:szCs w:val="17"/>
          <w:color w:val="auto"/>
        </w:rPr>
      </w:pPr>
    </w:p>
    <w:p>
      <w:pPr>
        <w:ind w:left="980" w:right="3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certificate of incorporation or our bylaws;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purchases of our equity securities in the second quarter of fiscal year 2023 were:</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April 1, 2023 to April 30, 2023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1, 2023 to May 31,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 2023 to June 30,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right"/>
              <w:ind w:right="150"/>
              <w:spacing w:after="0"/>
              <w:rPr>
                <w:sz w:val="20"/>
                <w:szCs w:val="20"/>
                <w:color w:val="auto"/>
              </w:rPr>
            </w:pPr>
            <w:r>
              <w:rPr>
                <w:rFonts w:ascii="Arial" w:cs="Arial" w:eastAsia="Arial" w:hAnsi="Arial"/>
                <w:sz w:val="18"/>
                <w:szCs w:val="18"/>
                <w:b w:val="1"/>
                <w:bCs w:val="1"/>
                <w:color w:val="auto"/>
              </w:rPr>
              <w:t>Approximate Dollar</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 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w w:val="91"/>
              </w:rPr>
              <w:t>Value of Shares that May</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Average Price</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Paid Per Share (1)</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I</w:t>
            </w:r>
          </w:p>
        </w:tc>
      </w:tr>
      <w:tr>
        <w:trPr>
          <w:trHeight w:val="195"/>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right"/>
              <w:ind w:right="370"/>
              <w:spacing w:after="0" w:line="195" w:lineRule="exact"/>
              <w:rPr>
                <w:sz w:val="20"/>
                <w:szCs w:val="20"/>
                <w:color w:val="auto"/>
              </w:rPr>
            </w:pPr>
            <w:r>
              <w:rPr>
                <w:rFonts w:ascii="Arial" w:cs="Arial" w:eastAsia="Arial" w:hAnsi="Arial"/>
                <w:sz w:val="18"/>
                <w:szCs w:val="18"/>
                <w:b w:val="1"/>
                <w:bCs w:val="1"/>
                <w:color w:val="auto"/>
              </w:rPr>
              <w:t>($ in thousands)</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84,547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54.02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84,547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54,187</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68,061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49.52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68,061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50,815</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13,874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54.96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13,874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50,022</w:t>
            </w:r>
          </w:p>
        </w:tc>
      </w:tr>
      <w:tr>
        <w:trPr>
          <w:trHeight w:val="210"/>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-445135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-161925</wp:posOffset>
            </wp:positionV>
            <wp:extent cx="713232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760"/>
          </w:cols>
          <w:pgMar w:left="320" w:top="125" w:right="339" w:bottom="0" w:gutter="0" w:footer="0" w:header="0"/>
          <w:type w:val="continuous"/>
        </w:sectPr>
      </w:pPr>
    </w:p>
    <w:p>
      <w:pPr>
        <w:spacing w:after="0" w:line="2"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Average Price Paid Per Share excludes cash paid for commissions.</w:t>
      </w:r>
    </w:p>
    <w:p>
      <w:pPr>
        <w:spacing w:after="0" w:line="225" w:lineRule="exact"/>
        <w:rPr>
          <w:rFonts w:ascii="Arial" w:cs="Arial" w:eastAsia="Arial" w:hAnsi="Arial"/>
          <w:sz w:val="18"/>
          <w:szCs w:val="18"/>
          <w:color w:val="auto"/>
        </w:rPr>
      </w:pPr>
    </w:p>
    <w:p>
      <w:pPr>
        <w:ind w:right="140" w:firstLine="8"/>
        <w:spacing w:after="0" w:line="263"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January 24, 2022, the Company’s Board of Directors approved the adoption of a share repurchase plan that authorizes the repurchase of up to $100 million of outstanding shares of common stock through the period ending on March 31, 2024. The approved plan replaced the Company’s previous $40 million share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Rule 10b5-1 Trading Plans</w:t>
      </w:r>
    </w:p>
    <w:p>
      <w:pPr>
        <w:spacing w:after="0" w:line="225" w:lineRule="exact"/>
        <w:rPr>
          <w:sz w:val="20"/>
          <w:szCs w:val="20"/>
          <w:color w:val="auto"/>
        </w:rPr>
      </w:pPr>
    </w:p>
    <w:p>
      <w:pPr>
        <w:ind w:left="160" w:right="80"/>
        <w:spacing w:after="0" w:line="263" w:lineRule="auto"/>
        <w:rPr>
          <w:sz w:val="20"/>
          <w:szCs w:val="20"/>
          <w:color w:val="auto"/>
        </w:rPr>
      </w:pPr>
      <w:r>
        <w:rPr>
          <w:rFonts w:ascii="Arial" w:cs="Arial" w:eastAsia="Arial" w:hAnsi="Arial"/>
          <w:sz w:val="18"/>
          <w:szCs w:val="18"/>
          <w:color w:val="auto"/>
        </w:rPr>
        <w:t>During the quarter ended June 30, 2023,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Form Executive Employment Agreement</w:t>
      </w:r>
    </w:p>
    <w:p>
      <w:pPr>
        <w:spacing w:after="0" w:line="225" w:lineRule="exact"/>
        <w:rPr>
          <w:sz w:val="20"/>
          <w:szCs w:val="20"/>
          <w:color w:val="auto"/>
        </w:rPr>
      </w:pPr>
    </w:p>
    <w:p>
      <w:pPr>
        <w:ind w:left="160" w:right="340"/>
        <w:spacing w:after="0" w:line="279" w:lineRule="auto"/>
        <w:rPr>
          <w:sz w:val="20"/>
          <w:szCs w:val="20"/>
          <w:color w:val="auto"/>
        </w:rPr>
      </w:pPr>
      <w:r>
        <w:rPr>
          <w:rFonts w:ascii="Arial" w:cs="Arial" w:eastAsia="Arial" w:hAnsi="Arial"/>
          <w:sz w:val="17"/>
          <w:szCs w:val="17"/>
          <w:color w:val="auto"/>
        </w:rPr>
        <w:t>On July 28, 2023, our Compensation Committee of the Board of Directors (the “Compensation Committee”) approved a new form of executive employment agreement (the “Form Agreement”), to be entered into by our executive officers (excluding Mr. Armstrong). We intend to enter into the Form Agreement with each of our executive officers prior to December 31, 2023. The Form Agreement provides, among other things, the executive’s annual base salary and target bonus amount, each subject to review and adjustment by the Compensation Committee.</w:t>
      </w:r>
    </w:p>
    <w:p>
      <w:pPr>
        <w:spacing w:after="0" w:line="171"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The Form Agreement also provides benefits in connection with a termination of the executive’s employment under specified circumstances. Under the terms of the Form Agreement, if we terminate the executive’s employment other than for “cause” or the executive terminates his or her employment for “good reason”(each as defined in the Form Agreement), the executive will be entitled to receive, subject to his or her timely execution and non-revocation of a separation agreement and release of claims in a form reasonably satisfactory to us and his or her continued adherence to the non-solicitation provision of the Form Agreement, (i) severance payments in an amount equal to his or her then-current base salary for a period of 12 months plus the pro rata amount such executive’s target bonus based on the month of termination payable in accordance with our regularly scheduled payroll; (ii) reimbursements for the executive’s and his or her eligible dependents’ COBRA premiums for up to 12 months; and (iii) in the event that the executive has been continuously employed by the Company for at least 36 months prior to termination (and such termination occurs outside a change in control (as</w:t>
      </w:r>
    </w:p>
    <w:p>
      <w:pPr>
        <w:sectPr>
          <w:pgSz w:w="11900" w:h="16838" w:orient="portrait"/>
          <w:cols w:equalWidth="0" w:num="1">
            <w:col w:w="11240"/>
          </w:cols>
          <w:pgMar w:left="320" w:top="125" w:right="339" w:bottom="0" w:gutter="0" w:footer="0" w:header="0"/>
          <w:type w:val="continuous"/>
        </w:sectPr>
      </w:pPr>
    </w:p>
    <w:bookmarkStart w:id="70" w:name="page71"/>
    <w:bookmarkEnd w:id="70"/>
    <w:p>
      <w:pPr>
        <w:ind w:right="60"/>
        <w:spacing w:after="0" w:line="277" w:lineRule="auto"/>
        <w:rPr>
          <w:sz w:val="20"/>
          <w:szCs w:val="20"/>
          <w:color w:val="auto"/>
        </w:rPr>
      </w:pPr>
      <w:r>
        <w:rPr>
          <w:rFonts w:ascii="Arial" w:cs="Arial" w:eastAsia="Arial" w:hAnsi="Arial"/>
          <w:sz w:val="18"/>
          <w:szCs w:val="18"/>
          <w:color w:val="auto"/>
        </w:rPr>
        <w:t>defined in the Form Agreement)), then any unvested equity awards that are subject to vest based on the passage of time that would have vested within 12 months of the termination date shall vest (such payments under (i), (ii) and (iii), the “Severance Pay”).</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if we terminate the executive without cause or the executive resigns for good reason within 12 months following a change in control (as defined in the Form Agreement), the executive is entitled to receive the Severance Pay and, in the event the executive’s outstanding equity is assumed or continued following the change in control, the acceleration of his or her then unvested equity awards.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Form Agreement also includes a non-solicitation provision prohibiting the executive from soliciting for employment or as a consultant for 12 months following separation of employment any employee or consultant of the Company, including those engaged within the twelve months prior to executive’s termination.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125"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53"/>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5"/>
              </w:rPr>
              <w:t>Item 6. Exhibits</w:t>
            </w:r>
          </w:p>
        </w:tc>
        <w:tc>
          <w:tcPr>
            <w:tcW w:w="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1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20"/>
                <w:szCs w:val="20"/>
                <w:color w:val="auto"/>
              </w:rPr>
            </w:pPr>
          </w:p>
        </w:tc>
        <w:tc>
          <w:tcPr>
            <w:tcW w:w="9880" w:type="dxa"/>
            <w:vAlign w:val="bottom"/>
            <w:gridSpan w:val="5"/>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601"/>
        </w:trPr>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8"/>
                <w:szCs w:val="18"/>
                <w:color w:val="0000EE"/>
                <w:w w:val="91"/>
              </w:rPr>
              <w:t>Form of Executive Employment Agreement (Named Executive Officers)</w:t>
            </w:r>
          </w:p>
        </w:tc>
        <w:tc>
          <w:tcPr>
            <w:tcW w:w="4640" w:type="dxa"/>
            <w:vAlign w:val="bottom"/>
            <w:tcBorders>
              <w:top w:val="single" w:sz="8" w:color="auto"/>
            </w:tcBorders>
            <w:gridSpan w:val="4"/>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principal executive officer pursuant to Section 302 of the Sarbanes-Oxley Act of 2002</w:t>
            </w:r>
          </w:p>
        </w:tc>
        <w:tc>
          <w:tcPr>
            <w:tcW w:w="254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Certification of principal financial officer pursuant to Section 302 of the Sarbanes-Oxley Act of 2002</w:t>
            </w:r>
          </w:p>
        </w:tc>
        <w:tc>
          <w:tcPr>
            <w:tcW w:w="2600" w:type="dxa"/>
            <w:vAlign w:val="bottom"/>
            <w:gridSpan w:val="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Certifications pursuant to Section 906 of the Sarbanes-Oxley Act of 2002</w:t>
            </w:r>
          </w:p>
        </w:tc>
        <w:tc>
          <w:tcPr>
            <w:tcW w:w="4600" w:type="dxa"/>
            <w:vAlign w:val="bottom"/>
            <w:gridSpan w:val="3"/>
          </w:tcPr>
          <w:p>
            <w:pPr>
              <w:spacing w:after="0"/>
              <w:rPr>
                <w:sz w:val="17"/>
                <w:szCs w:val="17"/>
                <w:color w:val="auto"/>
              </w:rPr>
            </w:pPr>
          </w:p>
        </w:tc>
      </w:tr>
      <w:tr>
        <w:trPr>
          <w:trHeight w:val="654"/>
        </w:trPr>
        <w:tc>
          <w:tcPr>
            <w:tcW w:w="12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5540" w:right="4120" w:hanging="5532"/>
        <w:spacing w:after="0" w:line="761" w:lineRule="auto"/>
        <w:tabs>
          <w:tab w:leader="none" w:pos="136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 Page Interactive Date File (embedded within the Inline XBRL document)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Arial" w:cs="Arial" w:eastAsia="Arial" w:hAnsi="Arial"/>
                <w:sz w:val="18"/>
                <w:szCs w:val="18"/>
                <w:b w:val="1"/>
                <w:bCs w:val="1"/>
                <w:color w:val="auto"/>
              </w:rPr>
              <w:t>Palomar Holdings, Inc.</w:t>
            </w: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Date: August 3, 2023</w:t>
            </w:r>
          </w:p>
        </w:tc>
        <w:tc>
          <w:tcPr>
            <w:tcW w:w="7720" w:type="dxa"/>
            <w:vAlign w:val="bottom"/>
            <w:gridSpan w:val="2"/>
          </w:tcPr>
          <w:p>
            <w:pPr>
              <w:ind w:left="2000"/>
              <w:spacing w:after="0"/>
              <w:rPr>
                <w:sz w:val="20"/>
                <w:szCs w:val="20"/>
                <w:color w:val="auto"/>
              </w:rPr>
            </w:pPr>
            <w:r>
              <w:rPr>
                <w:rFonts w:ascii="Arial" w:cs="Arial" w:eastAsia="Arial" w:hAnsi="Arial"/>
                <w:sz w:val="18"/>
                <w:szCs w:val="18"/>
                <w:color w:val="auto"/>
              </w:rPr>
              <w:t>By: /s/ Mac Armstrong</w:t>
            </w:r>
          </w:p>
        </w:tc>
      </w:tr>
      <w:tr>
        <w:trPr>
          <w:trHeight w:val="195"/>
        </w:trPr>
        <w:tc>
          <w:tcPr>
            <w:tcW w:w="35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3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Mac Armstrong</w:t>
            </w:r>
          </w:p>
        </w:tc>
      </w:tr>
      <w:tr>
        <w:trPr>
          <w:trHeight w:val="216"/>
        </w:trPr>
        <w:tc>
          <w:tcPr>
            <w:tcW w:w="3520" w:type="dxa"/>
            <w:vAlign w:val="bottom"/>
          </w:tcPr>
          <w:p>
            <w:pPr>
              <w:spacing w:after="0"/>
              <w:rPr>
                <w:sz w:val="18"/>
                <w:szCs w:val="18"/>
                <w:color w:val="auto"/>
              </w:rPr>
            </w:pPr>
          </w:p>
        </w:tc>
        <w:tc>
          <w:tcPr>
            <w:tcW w:w="7720" w:type="dxa"/>
            <w:vAlign w:val="bottom"/>
            <w:gridSpan w:val="2"/>
          </w:tcPr>
          <w:p>
            <w:pPr>
              <w:ind w:left="2320"/>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520" w:type="dxa"/>
            <w:vAlign w:val="bottom"/>
          </w:tcPr>
          <w:p>
            <w:pPr>
              <w:spacing w:after="0"/>
              <w:rPr>
                <w:sz w:val="20"/>
                <w:szCs w:val="20"/>
                <w:color w:val="auto"/>
              </w:rPr>
            </w:pPr>
          </w:p>
        </w:tc>
        <w:tc>
          <w:tcPr>
            <w:tcW w:w="7720" w:type="dxa"/>
            <w:vAlign w:val="bottom"/>
            <w:gridSpan w:val="2"/>
          </w:tcPr>
          <w:p>
            <w:pPr>
              <w:ind w:left="232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Date: August 3, 2023</w:t>
            </w:r>
          </w:p>
        </w:tc>
        <w:tc>
          <w:tcPr>
            <w:tcW w:w="7720" w:type="dxa"/>
            <w:vAlign w:val="bottom"/>
            <w:gridSpan w:val="2"/>
          </w:tcPr>
          <w:p>
            <w:pPr>
              <w:ind w:left="2000"/>
              <w:spacing w:after="0"/>
              <w:rPr>
                <w:sz w:val="20"/>
                <w:szCs w:val="20"/>
                <w:color w:val="auto"/>
              </w:rPr>
            </w:pPr>
            <w:r>
              <w:rPr>
                <w:rFonts w:ascii="Arial" w:cs="Arial" w:eastAsia="Arial" w:hAnsi="Arial"/>
                <w:sz w:val="18"/>
                <w:szCs w:val="18"/>
                <w:color w:val="auto"/>
              </w:rPr>
              <w:t>By: /s/ T. Christopher Uchida</w:t>
            </w:r>
          </w:p>
        </w:tc>
      </w:tr>
      <w:tr>
        <w:trPr>
          <w:trHeight w:val="195"/>
        </w:trPr>
        <w:tc>
          <w:tcPr>
            <w:tcW w:w="35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3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T. Christopher Uchida</w:t>
            </w:r>
          </w:p>
        </w:tc>
      </w:tr>
      <w:tr>
        <w:trPr>
          <w:trHeight w:val="216"/>
        </w:trPr>
        <w:tc>
          <w:tcPr>
            <w:tcW w:w="3520" w:type="dxa"/>
            <w:vAlign w:val="bottom"/>
          </w:tcPr>
          <w:p>
            <w:pPr>
              <w:spacing w:after="0"/>
              <w:rPr>
                <w:sz w:val="18"/>
                <w:szCs w:val="18"/>
                <w:color w:val="auto"/>
              </w:rPr>
            </w:pPr>
          </w:p>
        </w:tc>
        <w:tc>
          <w:tcPr>
            <w:tcW w:w="7720" w:type="dxa"/>
            <w:vAlign w:val="bottom"/>
            <w:gridSpan w:val="2"/>
          </w:tcPr>
          <w:p>
            <w:pPr>
              <w:ind w:left="2320"/>
              <w:spacing w:after="0"/>
              <w:rPr>
                <w:sz w:val="20"/>
                <w:szCs w:val="20"/>
                <w:color w:val="auto"/>
              </w:rPr>
            </w:pPr>
            <w:r>
              <w:rPr>
                <w:rFonts w:ascii="Arial" w:cs="Arial" w:eastAsia="Arial" w:hAnsi="Arial"/>
                <w:sz w:val="18"/>
                <w:szCs w:val="18"/>
                <w:color w:val="auto"/>
              </w:rPr>
              <w:t>Chief Financial Officer</w:t>
            </w:r>
          </w:p>
        </w:tc>
      </w:tr>
      <w:tr>
        <w:trPr>
          <w:trHeight w:val="230"/>
        </w:trPr>
        <w:tc>
          <w:tcPr>
            <w:tcW w:w="3520" w:type="dxa"/>
            <w:vAlign w:val="bottom"/>
          </w:tcPr>
          <w:p>
            <w:pPr>
              <w:spacing w:after="0"/>
              <w:rPr>
                <w:sz w:val="20"/>
                <w:szCs w:val="20"/>
                <w:color w:val="auto"/>
              </w:rPr>
            </w:pPr>
          </w:p>
        </w:tc>
        <w:tc>
          <w:tcPr>
            <w:tcW w:w="7720" w:type="dxa"/>
            <w:vAlign w:val="bottom"/>
            <w:gridSpan w:val="2"/>
          </w:tcPr>
          <w:p>
            <w:pPr>
              <w:ind w:left="2320"/>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520" w:type="dxa"/>
            <w:vAlign w:val="bottom"/>
          </w:tcPr>
          <w:p>
            <w:pPr>
              <w:spacing w:after="0"/>
              <w:rPr>
                <w:sz w:val="24"/>
                <w:szCs w:val="24"/>
                <w:color w:val="auto"/>
              </w:rPr>
            </w:pPr>
          </w:p>
        </w:tc>
        <w:tc>
          <w:tcPr>
            <w:tcW w:w="2340" w:type="dxa"/>
            <w:vAlign w:val="bottom"/>
          </w:tcPr>
          <w:p>
            <w:pPr>
              <w:ind w:left="2020"/>
              <w:spacing w:after="0"/>
              <w:rPr>
                <w:sz w:val="20"/>
                <w:szCs w:val="20"/>
                <w:color w:val="auto"/>
              </w:rPr>
            </w:pPr>
            <w:r>
              <w:rPr>
                <w:rFonts w:ascii="Arial" w:cs="Arial" w:eastAsia="Arial" w:hAnsi="Arial"/>
                <w:sz w:val="18"/>
                <w:szCs w:val="18"/>
                <w:color w:val="auto"/>
              </w:rPr>
              <w:t>72</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Executive Employment Agreement</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and effective as of ________________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between ________________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Palomar Holdings,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of the Company and Executive are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collectively, they are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employ Executive pursuant to the terms of this Agreement, and Executive desires to provide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Company in return for certain compensation under this Agreement; and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and intend that this Agreement supersede any and all prior employment agreement and understandings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the Company or any of its or their subsidiaries or affiliates (which collectively or singularly, as the context requires, is referred to as the “</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or any predecessor to the Company Group and to provide for the employment of Executive upon the terms and conditions set forth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contained herein, the Parties agree to the following:</w:t>
      </w:r>
    </w:p>
    <w:p>
      <w:pPr>
        <w:spacing w:after="0" w:line="22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Employment by the 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-7620</wp:posOffset>
            </wp:positionV>
            <wp:extent cx="15773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Position</w:t>
      </w:r>
      <w:r>
        <w:rPr>
          <w:rFonts w:ascii="Arial" w:cs="Arial" w:eastAsia="Arial" w:hAnsi="Arial"/>
          <w:sz w:val="16"/>
          <w:szCs w:val="16"/>
          <w:color w:val="auto"/>
        </w:rPr>
        <w:t>. Subject to the terms set forth herein, the Company agrees to employ Executive in the position of _________________,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5080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8000" cy="8255"/>
                    </a:xfrm>
                    <a:prstGeom prst="rect">
                      <a:avLst/>
                    </a:prstGeom>
                    <a:noFill/>
                  </pic:spPr>
                </pic:pic>
              </a:graphicData>
            </a:graphic>
          </wp:anchor>
        </w:drawing>
      </w:r>
    </w:p>
    <w:p>
      <w:pPr>
        <w:spacing w:after="0" w:line="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Executive hereby accepts such employment. This is a full-time, exempt position, and Executive will be expected to work at least 40 hours per week and additional hours as required by Executive’s job duties.</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Duties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4254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5450" cy="8255"/>
                    </a:xfrm>
                    <a:prstGeom prst="rect">
                      <a:avLst/>
                    </a:prstGeom>
                    <a:noFill/>
                  </pic:spPr>
                </pic:pic>
              </a:graphicData>
            </a:graphic>
          </wp:anchor>
        </w:drawing>
      </w:r>
    </w:p>
    <w:p>
      <w:pPr>
        <w:spacing w:after="0" w:line="209" w:lineRule="exact"/>
        <w:rPr>
          <w:sz w:val="20"/>
          <w:szCs w:val="20"/>
          <w:color w:val="auto"/>
        </w:rPr>
      </w:pPr>
    </w:p>
    <w:p>
      <w:pPr>
        <w:ind w:right="260" w:firstLine="1304"/>
        <w:spacing w:after="0" w:line="259" w:lineRule="auto"/>
        <w:tabs>
          <w:tab w:leader="none" w:pos="16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will report to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Executive shall faithfully perform all duties related to the position or positions held by Executive, including but not limited to all duties set forth in this Agreement and/or in the Bylaws or operating agreement, as applicable, of the Company Group related to the position or positions held by Executive and all additional duties and authority as are reasonably assigned to Executive, from time to time, by the CEO or designee.</w:t>
      </w:r>
    </w:p>
    <w:p>
      <w:pPr>
        <w:spacing w:after="0" w:line="186" w:lineRule="exact"/>
        <w:rPr>
          <w:rFonts w:ascii="Arial" w:cs="Arial" w:eastAsia="Arial" w:hAnsi="Arial"/>
          <w:sz w:val="18"/>
          <w:szCs w:val="18"/>
          <w:color w:val="auto"/>
        </w:rPr>
      </w:pPr>
    </w:p>
    <w:p>
      <w:pPr>
        <w:ind w:right="160" w:firstLine="1304"/>
        <w:spacing w:after="0" w:line="255" w:lineRule="auto"/>
        <w:tabs>
          <w:tab w:leader="none" w:pos="16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agrees that, while employed by the Company, Executive will devote Executive’s full business time and Executive’s best efforts and business judgment exclusively to the advancement of the business interests of the Company Group and to the discharge of Executive’s duties and responsibilities for them. Executive will not, while employed by the Company, undertake or engage in any other employment, occupation or business enterprise, except for (i) service on non-for-profit boards, (ii) volunteer service in various civic and charitable activities, and (iii) such other activities as may be specifically approved in writing by the CEO, so long as such activities do not, individually or in the aggregate, interfere with the faithful performance of Executive’s duties and obligations hereunder.</w:t>
      </w:r>
    </w:p>
    <w:p>
      <w:pPr>
        <w:spacing w:after="0" w:line="192" w:lineRule="exact"/>
        <w:rPr>
          <w:rFonts w:ascii="Arial" w:cs="Arial" w:eastAsia="Arial" w:hAnsi="Arial"/>
          <w:sz w:val="18"/>
          <w:szCs w:val="18"/>
          <w:color w:val="auto"/>
        </w:rPr>
      </w:pPr>
    </w:p>
    <w:p>
      <w:pPr>
        <w:ind w:right="80" w:firstLine="1304"/>
        <w:spacing w:after="0" w:line="263" w:lineRule="auto"/>
        <w:tabs>
          <w:tab w:leader="none" w:pos="16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shall perform Executive’s duties under this Agreement principally out of the Company’s office in ________________. In addition, Executive shall make such business trips to such places as may be reasonably necessary or advisable as part of Executive’s performance of Executive’s duties for the Company Group.</w:t>
      </w:r>
    </w:p>
    <w:p>
      <w:pPr>
        <w:spacing w:after="0" w:line="18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Company Policies</w:t>
      </w:r>
      <w:r>
        <w:rPr>
          <w:rFonts w:ascii="Arial" w:cs="Arial" w:eastAsia="Arial" w:hAnsi="Arial"/>
          <w:sz w:val="18"/>
          <w:szCs w:val="18"/>
          <w:color w:val="auto"/>
        </w:rPr>
        <w:t>. Executive shall comply with all policies, standards, rules, and regulations, including any code of conduct, code of ethics or compliance manual, of the Company Group (a “</w:t>
      </w:r>
      <w:r>
        <w:rPr>
          <w:rFonts w:ascii="Arial" w:cs="Arial" w:eastAsia="Arial" w:hAnsi="Arial"/>
          <w:sz w:val="18"/>
          <w:szCs w:val="18"/>
          <w:b w:val="1"/>
          <w:bCs w:val="1"/>
          <w:i w:val="1"/>
          <w:iCs w:val="1"/>
          <w:color w:val="auto"/>
        </w:rPr>
        <w:t>Company Policy</w:t>
      </w:r>
      <w:r>
        <w:rPr>
          <w:rFonts w:ascii="Arial" w:cs="Arial" w:eastAsia="Arial" w:hAnsi="Arial"/>
          <w:sz w:val="18"/>
          <w:szCs w:val="18"/>
          <w:color w:val="auto"/>
        </w:rPr>
        <w:t>” or collectively, the “</w:t>
      </w:r>
      <w:r>
        <w:rPr>
          <w:rFonts w:ascii="Arial" w:cs="Arial" w:eastAsia="Arial" w:hAnsi="Arial"/>
          <w:sz w:val="18"/>
          <w:szCs w:val="18"/>
          <w:b w:val="1"/>
          <w:bCs w:val="1"/>
          <w:i w:val="1"/>
          <w:iCs w:val="1"/>
          <w:color w:val="auto"/>
        </w:rPr>
        <w:t>Company Policies</w:t>
      </w:r>
      <w:r>
        <w:rPr>
          <w:rFonts w:ascii="Arial" w:cs="Arial" w:eastAsia="Arial" w:hAnsi="Arial"/>
          <w:sz w:val="18"/>
          <w:szCs w:val="18"/>
          <w:color w:val="auto"/>
        </w:rPr>
        <w:t>”) and all applicable government laws, rules, and regulations that are now or hereafter in effect. Executive acknowledges receipt of copies of all written Company Policies that are in effect as of the date of this Agreement. Notwithstanding the foregoing, in the event that the terms of this Agreement differ from or are in conflict with the Company Policies, this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-582930</wp:posOffset>
            </wp:positionV>
            <wp:extent cx="9867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16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Compensation; Benefits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-7620</wp:posOffset>
            </wp:positionV>
            <wp:extent cx="127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Salary</w:t>
      </w:r>
      <w:r>
        <w:rPr>
          <w:rFonts w:ascii="Arial" w:cs="Arial" w:eastAsia="Arial" w:hAnsi="Arial"/>
          <w:sz w:val="16"/>
          <w:szCs w:val="16"/>
          <w:color w:val="auto"/>
        </w:rPr>
        <w:t>. The Company will pay Executive a base salary of $_______________ on an annualized basis, subject to review and adjustment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4318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0" cy="8890"/>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285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Company, payable subject to standard federal and state payroll withholding requirements in accordance with the Company’s standard payroll practices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w:t>
      </w:r>
    </w:p>
    <w:p>
      <w:pPr>
        <w:spacing w:after="0" w:line="18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Bonuses.</w:t>
      </w:r>
      <w:r>
        <w:rPr>
          <w:rFonts w:ascii="Arial" w:cs="Arial" w:eastAsia="Arial" w:hAnsi="Arial"/>
          <w:sz w:val="16"/>
          <w:szCs w:val="16"/>
          <w:color w:val="auto"/>
        </w:rPr>
        <w:t xml:space="preserve"> During the period Executive is employed with the Company, Executive shall be eligible to earn for Executive’s services to be rendered under this Agreement a discretionary annual cash bonus, targeted at ____% of Base Salary (“</w:t>
      </w:r>
      <w:r>
        <w:rPr>
          <w:rFonts w:ascii="Arial" w:cs="Arial" w:eastAsia="Arial" w:hAnsi="Arial"/>
          <w:sz w:val="16"/>
          <w:szCs w:val="16"/>
          <w:b w:val="1"/>
          <w:bCs w:val="1"/>
          <w:i w:val="1"/>
          <w:iCs w:val="1"/>
          <w:color w:val="auto"/>
        </w:rPr>
        <w:t>Target Bonus Amount</w:t>
      </w:r>
      <w:r>
        <w:rPr>
          <w:rFonts w:ascii="Arial" w:cs="Arial" w:eastAsia="Arial" w:hAnsi="Arial"/>
          <w:sz w:val="16"/>
          <w:szCs w:val="16"/>
          <w:color w:val="auto"/>
        </w:rPr>
        <w:t>”). The Target Bonus Amount will be subject to review and adjustment by the Compensation Committee of the Board of Directors of the Company (the “</w:t>
      </w: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-298450</wp:posOffset>
            </wp:positionV>
            <wp:extent cx="5143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its sole discretion. Whether or not Executive earns any bonus will be dependent upon (a) Executive ’s continuous performance of services to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the date any bonus is paid; and (b) the actual achievement by Executive and the Company of the applicable performance targets and goals 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CEO and/or the Compensation Committee in advance of, or within the first quarter of, each bonus year. The annual period over which performance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measured for purposes of this bonus is January 1 through December 31, unless otherwise modified by the Compensation Committee (such period,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The Compensation Committee will determine in its sole discretion the extent to which Executive and the Company have achieved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goals upon which the bonus is based and the amount of the bonus. Any bonus shall be subject to the terms of any applicable incentive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compensation plan adopted by the Company. Any bonus, if earned, will be paid to Executive subject to standard federal and state payroll withholding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requirements within the time period set forth in the incentive compensation plan, or if no such time period was established, in the year following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Performance Period, at the same time and under the same terms and conditions as other employees of the Company, which will generally occur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thirty (30) days after the Company’s receipt of its audited financial statements for the applicable Performance Period.</w:t>
      </w:r>
    </w:p>
    <w:p>
      <w:pPr>
        <w:spacing w:after="0" w:line="207"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Benefits</w:t>
      </w:r>
      <w:r>
        <w:rPr>
          <w:rFonts w:ascii="Arial" w:cs="Arial" w:eastAsia="Arial" w:hAnsi="Arial"/>
          <w:sz w:val="18"/>
          <w:szCs w:val="18"/>
          <w:color w:val="auto"/>
        </w:rPr>
        <w:t>. Executive will be eligible to participate on the same basis as other similarly situated employees of the Company in all employee benefit plans from time to time in effect for employees of the Company generally, except to the extent such plans are duplicative of benefits otherwise provided Executive under this Agreement (</w:t>
      </w:r>
      <w:r>
        <w:rPr>
          <w:rFonts w:ascii="Arial" w:cs="Arial" w:eastAsia="Arial" w:hAnsi="Arial"/>
          <w:sz w:val="18"/>
          <w:szCs w:val="18"/>
          <w:i w:val="1"/>
          <w:iCs w:val="1"/>
          <w:color w:val="auto"/>
        </w:rPr>
        <w:t>e.g.</w:t>
      </w:r>
      <w:r>
        <w:rPr>
          <w:rFonts w:ascii="Arial" w:cs="Arial" w:eastAsia="Arial" w:hAnsi="Arial"/>
          <w:sz w:val="18"/>
          <w:szCs w:val="18"/>
          <w:color w:val="auto"/>
        </w:rPr>
        <w:t>, a severance pay plan). All matters of eligibility for coverage or benefits under any benefit plan shall be determined in accordance with the provisions of such plan. The Company Group reserves the right to change, alter, or terminate any benefit plan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-582930</wp:posOffset>
            </wp:positionV>
            <wp:extent cx="5080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800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74" w:name="page75"/>
    <w:bookmarkEnd w:id="74"/>
    <w:p>
      <w:pPr>
        <w:ind w:firstLine="648"/>
        <w:spacing w:after="0" w:line="274"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color w:val="auto"/>
        </w:rPr>
        <w:t>Expense Reimbursement</w:t>
      </w:r>
      <w:r>
        <w:rPr>
          <w:rFonts w:ascii="Arial" w:cs="Arial" w:eastAsia="Arial" w:hAnsi="Arial"/>
          <w:sz w:val="17"/>
          <w:szCs w:val="17"/>
          <w:color w:val="auto"/>
        </w:rPr>
        <w:t>. The Company shall reimburse Executive for all other customary and appropriate business-related expenses actually incurred and documented in accordance with the Company Group’s policies as in effect from time to time. For the avoidance of doubt, to the extent that any reimbursements payable to Executive are subject to the provisions of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-726440</wp:posOffset>
            </wp:positionV>
            <wp:extent cx="132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53" w:lineRule="exact"/>
        <w:rPr>
          <w:sz w:val="20"/>
          <w:szCs w:val="20"/>
          <w:color w:val="auto"/>
        </w:rPr>
      </w:pPr>
    </w:p>
    <w:p>
      <w:pPr>
        <w:ind w:right="360" w:firstLine="8"/>
        <w:spacing w:after="0" w:line="261"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Proprietary Information, Inventions, Non-Competition and Non-Solicitation Obligations. </w:t>
      </w:r>
      <w:r>
        <w:rPr>
          <w:rFonts w:ascii="Arial" w:cs="Arial" w:eastAsia="Arial" w:hAnsi="Arial"/>
          <w:sz w:val="18"/>
          <w:szCs w:val="18"/>
          <w:color w:val="auto"/>
        </w:rPr>
        <w:t>As a condition of employment, Executive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abide by a</w:t>
      </w:r>
    </w:p>
    <w:p>
      <w:pPr>
        <w:ind w:right="200"/>
        <w:spacing w:after="0" w:line="255" w:lineRule="auto"/>
        <w:rPr>
          <w:rFonts w:ascii="Arial" w:cs="Arial" w:eastAsia="Arial" w:hAnsi="Arial"/>
          <w:sz w:val="18"/>
          <w:szCs w:val="18"/>
          <w:color w:val="auto"/>
        </w:rPr>
      </w:pPr>
      <w:r>
        <w:rPr>
          <w:rFonts w:ascii="Arial" w:cs="Arial" w:eastAsia="Arial" w:hAnsi="Arial"/>
          <w:sz w:val="18"/>
          <w:szCs w:val="18"/>
          <w:color w:val="auto"/>
        </w:rPr>
        <w:t>Employee Proprietary Information and Inventions Agreement (the “</w:t>
      </w:r>
      <w:r>
        <w:rPr>
          <w:rFonts w:ascii="Arial" w:cs="Arial" w:eastAsia="Arial" w:hAnsi="Arial"/>
          <w:sz w:val="18"/>
          <w:szCs w:val="18"/>
          <w:b w:val="1"/>
          <w:bCs w:val="1"/>
          <w:i w:val="1"/>
          <w:iCs w:val="1"/>
          <w:color w:val="auto"/>
        </w:rPr>
        <w:t>Proprietary Information Agreement</w:t>
      </w:r>
      <w:r>
        <w:rPr>
          <w:rFonts w:ascii="Arial" w:cs="Arial" w:eastAsia="Arial" w:hAnsi="Arial"/>
          <w:sz w:val="18"/>
          <w:szCs w:val="18"/>
          <w:color w:val="auto"/>
        </w:rPr>
        <w:t>”), which may be amended by the Parties from time to time without regard to this Agreement. The Proprietary Information Agreement contains provisions that are intended by the Parties to survive and do survive termination of this Agreement.</w:t>
      </w:r>
    </w:p>
    <w:p>
      <w:pPr>
        <w:spacing w:after="0" w:line="185"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Restrictive Covenants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-830580</wp:posOffset>
            </wp:positionV>
            <wp:extent cx="44227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2277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-7620</wp:posOffset>
            </wp:positionV>
            <wp:extent cx="11836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5" w:lineRule="exact"/>
        <w:rPr>
          <w:sz w:val="20"/>
          <w:szCs w:val="20"/>
          <w:color w:val="auto"/>
        </w:rPr>
      </w:pPr>
    </w:p>
    <w:p>
      <w:pPr>
        <w:ind w:right="240" w:firstLine="648"/>
        <w:spacing w:after="0" w:line="30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No Conflict with Existing Obligations.</w:t>
      </w:r>
      <w:r>
        <w:rPr>
          <w:rFonts w:ascii="Arial" w:cs="Arial" w:eastAsia="Arial" w:hAnsi="Arial"/>
          <w:sz w:val="16"/>
          <w:szCs w:val="16"/>
          <w:color w:val="auto"/>
        </w:rPr>
        <w:t xml:space="preserve"> Executive represents that Executive’s performance of all the terms of this Agreement and as 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-466090</wp:posOffset>
            </wp:positionV>
            <wp:extent cx="19424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Non-Solicitation of Customers.</w:t>
      </w:r>
      <w:r>
        <w:rPr>
          <w:rFonts w:ascii="Arial" w:cs="Arial" w:eastAsia="Arial" w:hAnsi="Arial"/>
          <w:sz w:val="16"/>
          <w:szCs w:val="16"/>
          <w:color w:val="auto"/>
        </w:rPr>
        <w:t xml:space="preserve"> Executive acknowledges that non-public information relating to Company Group’s customers and prospects (including their needs or desires with respect to the types of products or services offered by Company Group, proposals, bids, contracts and their contents, the type and quantity of products and services provided or sought to be provided) is confidential and constitutes Proprietary Information (as defined in the Proprietary Information Agreement). Accordingly, to protect such Proprietary Information and Company Group’s customer goodwill, Executive agrees that, during Executive’s employment with the Company and for a period ending eighteen (18) months after the termination of Executive’s employment with the Company for any reason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Executive will not, either directly or indirectly, separately or in association with others: (a) use Proprietary Information to induce any Partner, Customer or Potential Customer to terminate, diminish, or materially alter in a manner harmful to the Company Group its relationship with the Company Group; (b) tortiously interfere with the Company Group’s relationship with any Partner, Customer or Potential Customer; or (c) use Proprietary Information to sell, offer, or provide any products or services to a Customer or Potential Customer that competes with any products or services offered by a Company Group entity. For purposes of this Agreement, “</w:t>
      </w:r>
      <w:r>
        <w:rPr>
          <w:rFonts w:ascii="Arial" w:cs="Arial" w:eastAsia="Arial" w:hAnsi="Arial"/>
          <w:sz w:val="16"/>
          <w:szCs w:val="16"/>
          <w:b w:val="1"/>
          <w:bCs w:val="1"/>
          <w:i w:val="1"/>
          <w:iCs w:val="1"/>
          <w:color w:val="auto"/>
        </w:rPr>
        <w:t>Customer or Potential Customer</w:t>
      </w:r>
      <w:r>
        <w:rPr>
          <w:rFonts w:ascii="Arial" w:cs="Arial" w:eastAsia="Arial" w:hAnsi="Arial"/>
          <w:sz w:val="16"/>
          <w:szCs w:val="16"/>
          <w:color w:val="auto"/>
        </w:rPr>
        <w:t>” is any person or entity who or which, at any time during the twelve (12) month period prior to the date Executive’s employment with the Company ends: (i) contracted for, was billed for, or received from a Company Group entity any of its products or services; or (ii) was solicited by a Company Group entity for the purpose of offering its products or services in an effort in which Executive was involved. The term “</w:t>
      </w:r>
      <w:r>
        <w:rPr>
          <w:rFonts w:ascii="Arial" w:cs="Arial" w:eastAsia="Arial" w:hAnsi="Arial"/>
          <w:sz w:val="16"/>
          <w:szCs w:val="16"/>
          <w:b w:val="1"/>
          <w:bCs w:val="1"/>
          <w:i w:val="1"/>
          <w:iCs w:val="1"/>
          <w:color w:val="auto"/>
        </w:rPr>
        <w:t>Partner</w:t>
      </w:r>
      <w:r>
        <w:rPr>
          <w:rFonts w:ascii="Arial" w:cs="Arial" w:eastAsia="Arial" w:hAnsi="Arial"/>
          <w:sz w:val="16"/>
          <w:szCs w:val="16"/>
          <w:color w:val="auto"/>
        </w:rPr>
        <w:t>” means any prospective carrier, broker, agent, or other individual, corporation, or business entity that assists the Company Group in selling or offering its products or services or has entered a formal business relationship with the Company Group for the purpose of advancing the Company Group’s business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-1964690</wp:posOffset>
            </wp:positionV>
            <wp:extent cx="15868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86865" cy="8255"/>
                    </a:xfrm>
                    <a:prstGeom prst="rect">
                      <a:avLst/>
                    </a:prstGeom>
                    <a:noFill/>
                  </pic:spPr>
                </pic:pic>
              </a:graphicData>
            </a:graphic>
          </wp:anchor>
        </w:drawing>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Non-Solicitation of Employees or Consultants</w:t>
      </w:r>
      <w:r>
        <w:rPr>
          <w:rFonts w:ascii="Arial" w:cs="Arial" w:eastAsia="Arial" w:hAnsi="Arial"/>
          <w:sz w:val="18"/>
          <w:szCs w:val="18"/>
          <w:color w:val="auto"/>
        </w:rPr>
        <w:t>. Executive agrees that, during the Restricted Period, Executive will not, either directly or indirectly, separately or in association with others: (a) solicit for employment or as a consultant, or induce or attempt to persuade to terminate or significantly reduce his or her employment or consulting relationship with a Company Group entity, any person employed or engaged by a Company Group entity and any former employee, consultant or contractor of a Company Group entity employed or engaged by such entity in the preceding twelve (12) months (each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and collectively, “</w:t>
      </w:r>
      <w:r>
        <w:rPr>
          <w:rFonts w:ascii="Arial" w:cs="Arial" w:eastAsia="Arial" w:hAnsi="Arial"/>
          <w:sz w:val="18"/>
          <w:szCs w:val="18"/>
          <w:b w:val="1"/>
          <w:bCs w:val="1"/>
          <w:i w:val="1"/>
          <w:iCs w:val="1"/>
          <w:color w:val="auto"/>
        </w:rPr>
        <w:t>Covered Persons</w:t>
      </w:r>
      <w:r>
        <w:rPr>
          <w:rFonts w:ascii="Arial" w:cs="Arial" w:eastAsia="Arial" w:hAnsi="Arial"/>
          <w:sz w:val="18"/>
          <w:szCs w:val="18"/>
          <w:color w:val="auto"/>
        </w:rPr>
        <w:t xml:space="preserve">”), even if Executive did not initiate the discussion or seek out the contact;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general advertisements for employment which are not specifically targeted at any Covered Person will not alone constitute a violation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or (b) hire, employ, or exclusive engage, or attempt to hire, employ, or exclusively engage, any Covered Person to work in any capacity for an entity that competes with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-989330</wp:posOffset>
            </wp:positionV>
            <wp:extent cx="23342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34260" cy="8255"/>
                    </a:xfrm>
                    <a:prstGeom prst="rect">
                      <a:avLst/>
                    </a:prstGeom>
                    <a:noFill/>
                  </pic:spPr>
                </pic:pic>
              </a:graphicData>
            </a:graphic>
          </wp:anchor>
        </w:drawing>
      </w:r>
    </w:p>
    <w:p>
      <w:pPr>
        <w:spacing w:after="0" w:line="172" w:lineRule="exact"/>
        <w:rPr>
          <w:sz w:val="20"/>
          <w:szCs w:val="20"/>
          <w:color w:val="auto"/>
        </w:rPr>
      </w:pPr>
    </w:p>
    <w:p>
      <w:pPr>
        <w:jc w:val="both"/>
        <w:ind w:right="40" w:firstLine="648"/>
        <w:spacing w:after="0" w:line="29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color w:val="auto"/>
        </w:rPr>
        <w:t>Non-Disparagement</w:t>
      </w:r>
      <w:r>
        <w:rPr>
          <w:rFonts w:ascii="Arial" w:cs="Arial" w:eastAsia="Arial" w:hAnsi="Arial"/>
          <w:sz w:val="16"/>
          <w:szCs w:val="16"/>
          <w:color w:val="auto"/>
        </w:rPr>
        <w:t>. Executive agrees not to disparage, criticize, or make any written or verbal statements that are negative, detrimental, or injurious to the Company Group, or their business, their management or their products, services or other offerings, except (a)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-161290</wp:posOffset>
            </wp:positionV>
            <wp:extent cx="10979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jc w:val="both"/>
        <w:ind w:right="220" w:firstLine="8"/>
        <w:spacing w:after="0" w:line="277" w:lineRule="auto"/>
        <w:tabs>
          <w:tab w:leader="none" w:pos="2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connection with reports of possible violations of anti-discrimination laws, labor relations laws, occupational health and safety laws, wage and hour laws, or securities laws to the appropriate government enforcing agency and such other disclosures that are expressly protected under such laws, or (c) in responding truthfully to inquiries from, or otherwise cooperating with, any governmental or regulatory investigation.</w:t>
      </w:r>
    </w:p>
    <w:p>
      <w:pPr>
        <w:spacing w:after="0" w:line="169" w:lineRule="exact"/>
        <w:rPr>
          <w:sz w:val="20"/>
          <w:szCs w:val="20"/>
          <w:color w:val="auto"/>
        </w:rPr>
      </w:pPr>
    </w:p>
    <w:p>
      <w:pPr>
        <w:ind w:right="600" w:firstLine="648"/>
        <w:spacing w:after="0" w:line="34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color w:val="auto"/>
        </w:rPr>
        <w:t>Notification of New Employer</w:t>
      </w:r>
      <w:r>
        <w:rPr>
          <w:rFonts w:ascii="Arial" w:cs="Arial" w:eastAsia="Arial" w:hAnsi="Arial"/>
          <w:sz w:val="16"/>
          <w:szCs w:val="16"/>
          <w:color w:val="auto"/>
        </w:rPr>
        <w:t xml:space="preserve">. In the event that Executive leaves the employ of the Company, Executive hereby grants consent to notification by the Company to Executive’s new employer or business partners about the Executive’s obligations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-213995</wp:posOffset>
            </wp:positionV>
            <wp:extent cx="15709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9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Executive agrees that the restrictions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 are reasonable, proper, and necessitated by the Company’s legitimate business interests. In the event that a court finds any of the restrictions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 to be ambiguous, unenforceable, or invalid, Executive and the Company agree that the court will read the Agreement as a whole and interpret the restriction(s) at issue to be enforceable and valid to the maximum extent allowed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-448310</wp:posOffset>
            </wp:positionV>
            <wp:extent cx="7556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55650" cy="8890"/>
                    </a:xfrm>
                    <a:prstGeom prst="rect">
                      <a:avLst/>
                    </a:prstGeom>
                    <a:noFill/>
                  </pic:spPr>
                </pic:pic>
              </a:graphicData>
            </a:graphic>
          </wp:anchor>
        </w:drawing>
      </w:r>
    </w:p>
    <w:p>
      <w:pPr>
        <w:spacing w:after="0" w:line="16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b w:val="1"/>
          <w:bCs w:val="1"/>
          <w:color w:val="auto"/>
        </w:rPr>
        <w:t>Injunctive Relief</w:t>
      </w:r>
      <w:r>
        <w:rPr>
          <w:rFonts w:ascii="Arial" w:cs="Arial" w:eastAsia="Arial" w:hAnsi="Arial"/>
          <w:sz w:val="16"/>
          <w:szCs w:val="16"/>
          <w:color w:val="auto"/>
        </w:rPr>
        <w:t xml:space="preserve">. Executive agrees that, were Executive to breach any of the covenants contained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damage to the Company Group would be irreparable. Executive, therefore, agrees that the Company, in addition to any other remedies available to it, shall be entitled to preliminary and permanent injunctive relief against any breach or threatened breach by Executive of any of those covenants without having to post bond and will additionally be entitled to an award of its attorney’s fees. So that the Company Group may enjoy the full benefit of the covenants contained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Executive further agree that the Restricted Period shall be tolled, and shall not run, during the period of any breach by Executive of any of the covenants contained in </w:t>
      </w:r>
      <w:r>
        <w:rPr>
          <w:rFonts w:ascii="Arial" w:cs="Arial" w:eastAsia="Arial" w:hAnsi="Arial"/>
          <w:sz w:val="16"/>
          <w:szCs w:val="16"/>
          <w:u w:val="single" w:color="auto"/>
          <w:color w:val="auto"/>
        </w:rPr>
        <w:t>Sections 4.2 or 4.3</w:t>
      </w:r>
      <w:r>
        <w:rPr>
          <w:rFonts w:ascii="Arial" w:cs="Arial" w:eastAsia="Arial" w:hAnsi="Arial"/>
          <w:sz w:val="16"/>
          <w:szCs w:val="16"/>
          <w:color w:val="auto"/>
        </w:rPr>
        <w:t xml:space="preserve">. The Parties further agree that each entity within the Company Group shall have the right to enforce all of Executive’s obligations to that entity under this Agreement, including without limitation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Finally, except as otherwise expressly set forth herein, no claimed breach of this Agreement or other violation of law attributed to the Company Group or change in the nature or scope of Executive’s employment shall operate to excuse Executive from the performance of Executive’s obligations under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-1142365</wp:posOffset>
            </wp:positionV>
            <wp:extent cx="9296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spacing w:after="0" w:line="146" w:lineRule="exact"/>
        <w:rPr>
          <w:sz w:val="20"/>
          <w:szCs w:val="20"/>
          <w:color w:val="auto"/>
        </w:rPr>
      </w:pPr>
    </w:p>
    <w:p>
      <w:pPr>
        <w:ind w:right="60" w:firstLine="8"/>
        <w:spacing w:after="0" w:line="298" w:lineRule="auto"/>
        <w:tabs>
          <w:tab w:leader="none" w:pos="315"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At-Will Employment. </w:t>
      </w:r>
      <w:r>
        <w:rPr>
          <w:rFonts w:ascii="Arial" w:cs="Arial" w:eastAsia="Arial" w:hAnsi="Arial"/>
          <w:sz w:val="16"/>
          <w:szCs w:val="16"/>
          <w:color w:val="auto"/>
        </w:rPr>
        <w:t>Executive shall be employed by the Company on an “at will” basis, meaning either the Company or Executive may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Executive’s employment at any time, with or without cause or advance notice.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-601345</wp:posOffset>
            </wp:positionV>
            <wp:extent cx="1165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75" w:name="page76"/>
    <w:bookmarkEnd w:id="75"/>
    <w:p>
      <w:pPr>
        <w:ind w:left="-8" w:right="140" w:firstLine="8"/>
        <w:spacing w:after="0" w:line="254" w:lineRule="auto"/>
        <w:tabs>
          <w:tab w:leader="none" w:pos="30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Effect of Termination</w:t>
      </w:r>
      <w:r>
        <w:rPr>
          <w:rFonts w:ascii="Arial" w:cs="Arial" w:eastAsia="Arial" w:hAnsi="Arial"/>
          <w:sz w:val="18"/>
          <w:szCs w:val="18"/>
          <w:color w:val="auto"/>
        </w:rPr>
        <w:t>. The provisions in this Section govern the amount of compensation, if any, to be provided to Executive upon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do not alter the at-will status of Executive’s employment. The effective date on which Executive’s employment with the Company ends for any reason shall be referred to as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In the event Executive’s employment ends for any reason, Executive shall be entitled to the Accrued Obligations. For purposes of this Agreement,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are (i) Executive’s accrued but unpaid salary through the Termination Date,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 Executive’s rights to any additional compensation following a termination shall be only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-989330</wp:posOffset>
            </wp:positionV>
            <wp:extent cx="11614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pacing w:after="0" w:line="172" w:lineRule="exact"/>
        <w:rPr>
          <w:sz w:val="20"/>
          <w:szCs w:val="20"/>
          <w:color w:val="auto"/>
        </w:rPr>
      </w:pPr>
    </w:p>
    <w:p>
      <w:pPr>
        <w:ind w:left="652"/>
        <w:spacing w:after="0"/>
        <w:tabs>
          <w:tab w:leader="none" w:pos="10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Termination by the Company for Cause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-7620</wp:posOffset>
            </wp:positionV>
            <wp:extent cx="20535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53590" cy="8890"/>
                    </a:xfrm>
                    <a:prstGeom prst="rect">
                      <a:avLst/>
                    </a:prstGeom>
                    <a:noFill/>
                  </pic:spPr>
                </pic:pic>
              </a:graphicData>
            </a:graphic>
          </wp:anchor>
        </w:drawing>
      </w:r>
    </w:p>
    <w:p>
      <w:pPr>
        <w:spacing w:after="0" w:line="209" w:lineRule="exact"/>
        <w:rPr>
          <w:sz w:val="20"/>
          <w:szCs w:val="20"/>
          <w:color w:val="auto"/>
        </w:rPr>
      </w:pPr>
    </w:p>
    <w:p>
      <w:pPr>
        <w:ind w:left="-8" w:firstLine="1304"/>
        <w:spacing w:after="0" w:line="285" w:lineRule="auto"/>
        <w:tabs>
          <w:tab w:leader="none" w:pos="1668"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to terminate Executive’s employment with the Company at any time for Cause by giving notice as described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of this Agreement. For purposes of this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for termination shall mean that the Company has determined in its sole discretion that Executive has engaged in any of the following: (i) Executive’s refusal or failure to perform (other than by reason of Disability), or Executive’s material negligence in the performance of Executive’s duties and responsibilities to the Company Group, or Executive’s refusal or failure to follow or carry out any reasonable direction of the CEO, an authorized officer of the Company Group, the Board of Directors of the Company or a committee thereof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which refusal, failure or negligence, if susceptible of cure, remains uncured or continues or recurs ten (10) days after written notice from the Company specifying in reasonable detail the nature of such breach, (ii) Executive’s material breach of any Company Policy or any provision of any agreement to which Executive and the Company Group are party, which breach, if susceptible of cure, remains uncured or continues or recurs ten (10) days after written notice from the Company specifying in reasonable detail the nature of such breach (provided that any material breach of any of the terms of the Proprietary Information Agreement shall be deemed not susceptible of cure), (iii) commission by Executive of fraud, embezzlement or theft; (iv) commission by Executive of any felony or any other crime involving dishonesty or moral turpitude; (v) any other conduct that involves a breach of fiduciary obligation or otherwise could reasonably be expected to have a material adverse effect upon the business, interests or reputation of the Company Group, which breach, if susceptible of cure, remains uncured or continues or recurs ten (10) days after written notice from the Company specifying in reasonable detail the nature of such breach; (vi) any adverse action or omission by Executive which would be required to be disclosed pursuant to public securities laws or which would limit the ability of the Company Group to sell securities under any Federal or state law or which would disqualify the Company Group from any exemption otherwise available to it; (vii) Executive being prohibited by law or any order from any regulatory body or governmental body from being an employee or director of any company, firm or entity; or (viii) Executive’s willful failure to cooperate with a bona fide internal investigation or an investigation by regulatory or law enforcement authorities, after being instructed by the CEO or the Board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384" w:lineRule="exact"/>
        <w:rPr>
          <w:rFonts w:ascii="Arial" w:cs="Arial" w:eastAsia="Arial" w:hAnsi="Arial"/>
          <w:sz w:val="16"/>
          <w:szCs w:val="16"/>
          <w:color w:val="auto"/>
        </w:rPr>
      </w:pPr>
    </w:p>
    <w:p>
      <w:pPr>
        <w:ind w:left="-8" w:right="40" w:firstLine="1304"/>
        <w:spacing w:after="0" w:line="342" w:lineRule="auto"/>
        <w:tabs>
          <w:tab w:leader="none" w:pos="16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Executive’s employment is terminated at any time for Cause, Executive will not receive any severance compensation or benefits, except that, pursuant to the Company’s standard payroll policies, the Company shall pay to Executive the Accrued Obligations.</w:t>
      </w:r>
    </w:p>
    <w:p>
      <w:pPr>
        <w:spacing w:after="0" w:line="120" w:lineRule="exact"/>
        <w:rPr>
          <w:sz w:val="20"/>
          <w:szCs w:val="20"/>
          <w:color w:val="auto"/>
        </w:rPr>
      </w:pPr>
    </w:p>
    <w:p>
      <w:pPr>
        <w:ind w:left="652"/>
        <w:spacing w:after="0"/>
        <w:tabs>
          <w:tab w:leader="none" w:pos="10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Termination by the Company Without Cause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-7620</wp:posOffset>
            </wp:positionV>
            <wp:extent cx="23120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2035" cy="8255"/>
                    </a:xfrm>
                    <a:prstGeom prst="rect">
                      <a:avLst/>
                    </a:prstGeom>
                    <a:noFill/>
                  </pic:spPr>
                </pic:pic>
              </a:graphicData>
            </a:graphic>
          </wp:anchor>
        </w:drawing>
      </w:r>
    </w:p>
    <w:p>
      <w:pPr>
        <w:spacing w:after="0" w:line="209" w:lineRule="exact"/>
        <w:rPr>
          <w:sz w:val="20"/>
          <w:szCs w:val="20"/>
          <w:color w:val="auto"/>
        </w:rPr>
      </w:pPr>
    </w:p>
    <w:p>
      <w:pPr>
        <w:ind w:left="-8" w:right="180" w:firstLine="1304"/>
        <w:spacing w:after="0" w:line="255" w:lineRule="auto"/>
        <w:tabs>
          <w:tab w:leader="none" w:pos="16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Company shall have the right to terminate Executive’s employment with the Company without Cause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at any time by giving notice as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 A resignation for Good Reason pursuant to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below shall constitute a termination without Cause for purposes of receiving the Severance Pay described in this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In addition, a termination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below and a transfer of Executive’s employment from the Company to another member of the Company Group, and an assignment of this Agreement to such Company Group member, shall not constitute a termination without Cause for purposes of receiving the Severance Pay described in </w:t>
      </w:r>
      <w:r>
        <w:rPr>
          <w:rFonts w:ascii="Arial" w:cs="Arial" w:eastAsia="Arial" w:hAnsi="Arial"/>
          <w:sz w:val="18"/>
          <w:szCs w:val="18"/>
          <w:u w:val="single" w:color="auto"/>
          <w:color w:val="auto"/>
        </w:rPr>
        <w:t>Section 6.2(b).</w:t>
      </w:r>
    </w:p>
    <w:p>
      <w:pPr>
        <w:spacing w:after="0" w:line="192" w:lineRule="exact"/>
        <w:rPr>
          <w:rFonts w:ascii="Arial" w:cs="Arial" w:eastAsia="Arial" w:hAnsi="Arial"/>
          <w:sz w:val="18"/>
          <w:szCs w:val="18"/>
          <w:color w:val="auto"/>
        </w:rPr>
      </w:pPr>
    </w:p>
    <w:p>
      <w:pPr>
        <w:ind w:left="-8" w:firstLine="1304"/>
        <w:spacing w:after="0" w:line="284" w:lineRule="auto"/>
        <w:tabs>
          <w:tab w:leader="none" w:pos="1678"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If the Company terminates Executive’s employment without Cause, then Executive shall be entitled to receive the Accrued Obligations and, subject to Executive’s compliance with the obligations in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below, Executive shall be eligible to receive, and the Company will provide to Executive (or his legal representative or beneficiaries, as applicable) the severance benefits described below: (i) payments of Executive’s then current Base Salary for a period of twelve (12) months (the “</w:t>
      </w:r>
      <w:r>
        <w:rPr>
          <w:rFonts w:ascii="Arial" w:cs="Arial" w:eastAsia="Arial" w:hAnsi="Arial"/>
          <w:sz w:val="16"/>
          <w:szCs w:val="16"/>
          <w:b w:val="1"/>
          <w:bCs w:val="1"/>
          <w:i w:val="1"/>
          <w:iCs w:val="1"/>
          <w:color w:val="auto"/>
        </w:rPr>
        <w:t>Severance Period</w:t>
      </w:r>
      <w:r>
        <w:rPr>
          <w:rFonts w:ascii="Arial" w:cs="Arial" w:eastAsia="Arial" w:hAnsi="Arial"/>
          <w:sz w:val="16"/>
          <w:szCs w:val="16"/>
          <w:color w:val="auto"/>
        </w:rPr>
        <w:t xml:space="preserve">”), less all applicable withholdings and deductions, paid in equal installments on the Company’s regularly scheduled payroll dates over the Severance Period, beginning on the Company’s first regularly scheduled payroll date following the Release Effective Date (as defined in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below), with the remaining installments occurring on the Company’s regularly scheduled payroll dates thereafter; (ii) a prorated amount of Executive’s target annual bonus for the bonus year during which the Termination Date occurs, which shall be calculated based on the month in which the Termination Date occurs (</w:t>
      </w:r>
      <w:r>
        <w:rPr>
          <w:rFonts w:ascii="Arial" w:cs="Arial" w:eastAsia="Arial" w:hAnsi="Arial"/>
          <w:sz w:val="16"/>
          <w:szCs w:val="16"/>
          <w:i w:val="1"/>
          <w:iCs w:val="1"/>
          <w:color w:val="auto"/>
        </w:rPr>
        <w:t>e.g</w:t>
      </w:r>
      <w:r>
        <w:rPr>
          <w:rFonts w:ascii="Arial" w:cs="Arial" w:eastAsia="Arial" w:hAnsi="Arial"/>
          <w:sz w:val="16"/>
          <w:szCs w:val="16"/>
          <w:color w:val="auto"/>
        </w:rPr>
        <w:t>., if Executive’s employment terminates in the second month of the bonus year, Executive would be eligible to receive two-twelfths (2/12ths) of Executive’s target annual bonus), less all applicable withholdings and deductions, (iii) payments equal to the monthly premium cost to continue health coverage pursuant to Title X of the Consolidated Omnibus Budget Reconciliation Act of 1985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for Executive and Executive’s eligible dependents in the same amount as if Executive were an active employee of the Company, provided that Employee is eligible for and timely elects COBRA coverage and pays Executive’s share of the premium cost, which payments shall continue until the earliest of (A) the end of the Severance Period, (B) the date Executive is no longer eligible to receive continuation health coverage under COBRA, or (C) the date Executive becomes eligible for health coverage with a new employer, plus (iv) if, as of the Termination Date, Executive has been continuously employed by the Company for a minimum of 36 months and the Termination Date occurs outside a Change in Control Period (as defined below), then all unvested shares of equity grants that are subject to vesting based on the passage of time and that would have vested in the 12-month period following the Termination Date had Executive remained continuously employed during such period shall vest on the date the Release (defined below) becomes effective (such payments and benefits described in clauses (i), (ii), (iii) and (iv) collectively the “</w:t>
      </w:r>
      <w:r>
        <w:rPr>
          <w:rFonts w:ascii="Arial" w:cs="Arial" w:eastAsia="Arial" w:hAnsi="Arial"/>
          <w:sz w:val="16"/>
          <w:szCs w:val="16"/>
          <w:b w:val="1"/>
          <w:bCs w:val="1"/>
          <w:i w:val="1"/>
          <w:iCs w:val="1"/>
          <w:color w:val="auto"/>
        </w:rPr>
        <w:t>Severance Pay</w:t>
      </w:r>
      <w:r>
        <w:rPr>
          <w:rFonts w:ascii="Arial" w:cs="Arial" w:eastAsia="Arial" w:hAnsi="Arial"/>
          <w:sz w:val="16"/>
          <w:szCs w:val="16"/>
          <w:color w:val="auto"/>
        </w:rPr>
        <w:t>”). Any forfeiture or lapsing of the shares described in clause (iv) of the preceding sentence shall be delayed until the sixtieth (60th) day after the Termination Date and shall only occur if the Release does not become effective on or before that sixtieth (60th) day.</w:t>
      </w:r>
    </w:p>
    <w:p>
      <w:pPr>
        <w:spacing w:after="0" w:line="181" w:lineRule="exact"/>
        <w:rPr>
          <w:rFonts w:ascii="Arial" w:cs="Arial" w:eastAsia="Arial" w:hAnsi="Arial"/>
          <w:sz w:val="16"/>
          <w:szCs w:val="16"/>
          <w:color w:val="auto"/>
        </w:rPr>
      </w:pPr>
    </w:p>
    <w:p>
      <w:pPr>
        <w:ind w:left="-8" w:right="20" w:firstLine="1304"/>
        <w:spacing w:after="0" w:line="288" w:lineRule="auto"/>
        <w:tabs>
          <w:tab w:leader="none" w:pos="1668"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Executive shall be entitled to the Severance Pay pursuant to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of this Agreement only if: (i) Executive signs and delivers to the Company an effective, separation agreement and general release of claims in favor of the Company in a form reasonably acceptable to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by the 60th day following the Termination Date or such earlier date as set forth in the Release, which cannot be revoked in whole or part (if applicable) by such date or such earlier date as set forth in the Release (the date that the Release can no longer be revoked is referred to as the “</w:t>
      </w:r>
      <w:r>
        <w:rPr>
          <w:rFonts w:ascii="Arial" w:cs="Arial" w:eastAsia="Arial" w:hAnsi="Arial"/>
          <w:sz w:val="16"/>
          <w:szCs w:val="16"/>
          <w:b w:val="1"/>
          <w:bCs w:val="1"/>
          <w:i w:val="1"/>
          <w:iCs w:val="1"/>
          <w:color w:val="auto"/>
        </w:rPr>
        <w:t>Release Effective Date</w:t>
      </w:r>
      <w:r>
        <w:rPr>
          <w:rFonts w:ascii="Arial" w:cs="Arial" w:eastAsia="Arial" w:hAnsi="Arial"/>
          <w:sz w:val="16"/>
          <w:szCs w:val="16"/>
          <w:color w:val="auto"/>
        </w:rPr>
        <w:t>”); (ii) if Executive holds any other positions with the Company Group, Executive resigns such position(s) to be effective no later than the Termination Date (or such other date as requested by the CEO); (iii) Executive returns all Company property with all data stored on any electronic devices intact; (iv) Executive complies with all post-termination obligations under this Agreement; and (v) Executive complies with the terms of the Release, including without limitation the non-disparagement and confidentiality provisions contained in the Release. To the extent that the Severance Pay is deferred compensation under Section 409A of the Code, and is not otherwise exempt from the application of Section 409A, then, if the period during which Executive may consider and sign the Release spans two calendar years, the Severance Pay will not be made or begin until the later calendar year.</w:t>
      </w:r>
    </w:p>
    <w:p>
      <w:pPr>
        <w:sectPr>
          <w:pgSz w:w="11900" w:h="16838" w:orient="portrait"/>
          <w:cols w:equalWidth="0" w:num="1">
            <w:col w:w="11232"/>
          </w:cols>
          <w:pgMar w:left="328" w:top="121" w:right="339" w:bottom="0" w:gutter="0" w:footer="0" w:header="0"/>
        </w:sectPr>
      </w:pPr>
    </w:p>
    <w:bookmarkStart w:id="76" w:name="page77"/>
    <w:bookmarkEnd w:id="76"/>
    <w:p>
      <w:pPr>
        <w:ind w:right="380" w:firstLine="1304"/>
        <w:spacing w:after="0" w:line="342" w:lineRule="auto"/>
        <w:tabs>
          <w:tab w:leader="none" w:pos="168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Severance Pay provided to Executive pursuant to this Agreement is in lieu of, and not in addition to, any benefits to which Executive may otherwise be entitled under any Company severance plan, policy or program (excluding, however, any Accrued Obligations).</w:t>
      </w:r>
    </w:p>
    <w:p>
      <w:pPr>
        <w:spacing w:after="0" w:line="123" w:lineRule="exact"/>
        <w:rPr>
          <w:rFonts w:ascii="Arial" w:cs="Arial" w:eastAsia="Arial" w:hAnsi="Arial"/>
          <w:sz w:val="16"/>
          <w:szCs w:val="16"/>
          <w:color w:val="auto"/>
        </w:rPr>
      </w:pPr>
    </w:p>
    <w:p>
      <w:pPr>
        <w:ind w:right="300" w:firstLine="1304"/>
        <w:spacing w:after="0" w:line="263" w:lineRule="auto"/>
        <w:tabs>
          <w:tab w:leader="none" w:pos="16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damages caused by the termination of Executive’s employment without Cause would be difficult to ascertain; therefore, the Severance Pay for which Executive is eligible pursuant to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above in exchange for the Release is agreed to by the Parties as liquidated damages, to serve as full compensation, and not a penalty.</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Resignation by Executive; Resignation by Executive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34956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209" w:lineRule="exact"/>
        <w:rPr>
          <w:sz w:val="20"/>
          <w:szCs w:val="20"/>
          <w:color w:val="auto"/>
        </w:rPr>
      </w:pPr>
    </w:p>
    <w:p>
      <w:pPr>
        <w:ind w:right="60" w:firstLine="1304"/>
        <w:spacing w:after="0" w:line="279" w:lineRule="auto"/>
        <w:tabs>
          <w:tab w:leader="none" w:pos="16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Executive may resign without Good Reason from Executive’s employment with the Company at any time, although the Company requests at least thirty (30) days’ advance notice of Executive’s desire to resign his employment. In the event Executive resigns without Good Reason from Executive’s employment with the Company, Executive will not receive the Severance Pay or any other severance compensation or benefits, except that, pursuant to the Company’s standard payroll policies, the Company shall pay to Executive the Accrued Obligations.</w:t>
      </w:r>
    </w:p>
    <w:p>
      <w:pPr>
        <w:spacing w:after="0" w:line="171" w:lineRule="exact"/>
        <w:rPr>
          <w:rFonts w:ascii="Arial" w:cs="Arial" w:eastAsia="Arial" w:hAnsi="Arial"/>
          <w:sz w:val="17"/>
          <w:szCs w:val="17"/>
          <w:color w:val="auto"/>
        </w:rPr>
      </w:pPr>
    </w:p>
    <w:p>
      <w:pPr>
        <w:ind w:firstLine="1304"/>
        <w:spacing w:after="0" w:line="269" w:lineRule="auto"/>
        <w:tabs>
          <w:tab w:leader="none" w:pos="1686"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Executive may terminate Executive’s employment with the Company for Good Reason (as defined below) by (i) providing written notice thereof as described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to the Company no later than (30) days following the initial occurrence of the condition giving rise to Good Reason, which notice shall set forth in reasonable detail the nature of the facts and circumstances which constitute Good Reason, (ii) providing the Company a period of thirty (30) days after receipt of such resignation notice to remedy the condition which constitutes Good Reason and (iii) terminating Executive’s employment for Good Reason within thirty (30) days following the expiration of the period to remedy if the Company fails to remedy the condition. For purposes of this Agreement,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in each case without Executive’s consent, (i) a material diminution in Executive’s title, duties or responsibilities, provided that such action is not taken in connection with a disciplinary action nor termination of Executive’s employment by the Company and provided, further, that a change in title resulting from a restructuring or reorganization of the Company Group will not by itself result in a diminution of Executive’s title, duties or responsibilities, (ii) a material diminution in Executive’s Base Salary or Target Bonus Amount (unless pursuant to a salary reduction program or compensation change applicable generally to the Company’s similarly situated employees), or (iii) a requirement that Executive relocate Executive’s principal place of employment to a location more than twenty-five (25) miles from Executive’s then-current principal place of employment immediately prior to such relocation.</w:t>
      </w:r>
    </w:p>
    <w:p>
      <w:pPr>
        <w:spacing w:after="0" w:line="178" w:lineRule="exact"/>
        <w:rPr>
          <w:rFonts w:ascii="Arial" w:cs="Arial" w:eastAsia="Arial" w:hAnsi="Arial"/>
          <w:sz w:val="17"/>
          <w:szCs w:val="17"/>
          <w:color w:val="auto"/>
        </w:rPr>
      </w:pPr>
    </w:p>
    <w:p>
      <w:pPr>
        <w:ind w:right="340" w:firstLine="1304"/>
        <w:spacing w:after="0" w:line="286" w:lineRule="auto"/>
        <w:tabs>
          <w:tab w:leader="none" w:pos="16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 the event Executive resigns from Executive’s employment for Good Reason, then subject to Executive’s compliance with the obligations in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above, Executive shall be eligible to receive the Severance Pay as described in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and on the same terms and conditions set forth in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6.2(d)</w:t>
      </w:r>
      <w:r>
        <w:rPr>
          <w:rFonts w:ascii="Arial" w:cs="Arial" w:eastAsia="Arial" w:hAnsi="Arial"/>
          <w:sz w:val="17"/>
          <w:szCs w:val="17"/>
          <w:color w:val="auto"/>
        </w:rPr>
        <w:t xml:space="preserve"> as if Executive had been terminated by the Company without Cause.</w:t>
      </w:r>
    </w:p>
    <w:p>
      <w:pPr>
        <w:spacing w:after="0" w:line="165" w:lineRule="exact"/>
        <w:rPr>
          <w:rFonts w:ascii="Arial" w:cs="Arial" w:eastAsia="Arial" w:hAnsi="Arial"/>
          <w:sz w:val="17"/>
          <w:szCs w:val="17"/>
          <w:color w:val="auto"/>
        </w:rPr>
      </w:pPr>
    </w:p>
    <w:p>
      <w:pPr>
        <w:jc w:val="both"/>
        <w:ind w:right="160" w:firstLine="1304"/>
        <w:spacing w:after="0" w:line="263" w:lineRule="auto"/>
        <w:tabs>
          <w:tab w:leader="none" w:pos="16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Any damages caused by Executive’s resignation for Good Reason would be difficult to ascertain; therefore, the Severance Pay for which Executive is eligible pursuant to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above in exchange for the Release is agreed to by the Parties as liquidated damages, to serve as full compensation, and not a penalty.</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Termination by Virtue of Death, or Disability of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29419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4195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342" w:lineRule="auto"/>
        <w:tabs>
          <w:tab w:leader="none" w:pos="16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event of Executive’s death while employed pursuant to this Agreement, all obligations of the Parties hereunder shall terminate immediately, and the Company shall, pursuant to the Company’s standard payroll policies, pay to Executive’s legal representatives all Accrued Obligations.</w:t>
      </w:r>
    </w:p>
    <w:p>
      <w:pPr>
        <w:spacing w:after="0" w:line="123" w:lineRule="exact"/>
        <w:rPr>
          <w:rFonts w:ascii="Arial" w:cs="Arial" w:eastAsia="Arial" w:hAnsi="Arial"/>
          <w:sz w:val="16"/>
          <w:szCs w:val="16"/>
          <w:color w:val="auto"/>
        </w:rPr>
      </w:pPr>
    </w:p>
    <w:p>
      <w:pPr>
        <w:ind w:right="20" w:firstLine="1304"/>
        <w:spacing w:after="0" w:line="253" w:lineRule="auto"/>
        <w:tabs>
          <w:tab w:leader="none" w:pos="16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applicable state and federal law, the Company shall at all times have the right, upon written notice to Executive, to terminate this Agreement based on Executive’s Disability. Termination by the Company of Executive’s employment based on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termination because Executive (i) is unable due to a physical or mental condition to perform the essential functions of Executive’s position with or without reasonable accommodation (as applicable), which lasts or, based on the written certification by two licensed physicians, is expected to last at least 180 days in the aggregate during any twelve (12) month period; or (ii) is determined to be totally disabled by the Social Security Administration or qualifies for disability payments under any long term disability insurance plan. This definition shall be interpreted and applied consistent with the Americans with Disabilities Act and other applicable law. In the event Executive’s employment is terminated based on Executive’s Disability, Executive will not receive any severance compensation or benefit, except that, pursuant to the Company’s standard payroll policies, the Company shall pay to Executive the Accrued Obligations.</w:t>
      </w:r>
    </w:p>
    <w:p>
      <w:pPr>
        <w:spacing w:after="0" w:line="192"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color w:val="auto"/>
        </w:rPr>
        <w:t>Change in Control Benefits.</w:t>
      </w:r>
      <w:r>
        <w:rPr>
          <w:rFonts w:ascii="Arial" w:cs="Arial" w:eastAsia="Arial" w:hAnsi="Arial"/>
          <w:sz w:val="17"/>
          <w:szCs w:val="17"/>
          <w:color w:val="auto"/>
        </w:rPr>
        <w:t xml:space="preserve"> In the event the Company (or any surviving or acquiring corporation) terminates Executive’s employment without Cause or Executive resigns for Good Reason within twelve (12) months following the effective date of a Change in Control (as defined under the Palomar Holdings, Inc. 2019 Equity Incentive Plan, as amended from time to time) (such period the “</w:t>
      </w:r>
      <w:r>
        <w:rPr>
          <w:rFonts w:ascii="Arial" w:cs="Arial" w:eastAsia="Arial" w:hAnsi="Arial"/>
          <w:sz w:val="17"/>
          <w:szCs w:val="17"/>
          <w:b w:val="1"/>
          <w:bCs w:val="1"/>
          <w:i w:val="1"/>
          <w:iCs w:val="1"/>
          <w:color w:val="auto"/>
        </w:rPr>
        <w:t>Change in Control Period</w:t>
      </w:r>
      <w:r>
        <w:rPr>
          <w:rFonts w:ascii="Arial" w:cs="Arial" w:eastAsia="Arial" w:hAnsi="Arial"/>
          <w:sz w:val="17"/>
          <w:szCs w:val="17"/>
          <w:color w:val="auto"/>
        </w:rPr>
        <w:t xml:space="preserve">”), then Executive shall be entitled to the Accrued Obligations, the Severance Pay subject to the terms and conditions set forth in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6.2(e)</w:t>
      </w:r>
      <w:r>
        <w:rPr>
          <w:rFonts w:ascii="Arial" w:cs="Arial" w:eastAsia="Arial" w:hAnsi="Arial"/>
          <w:sz w:val="17"/>
          <w:szCs w:val="17"/>
          <w:color w:val="auto"/>
        </w:rPr>
        <w:t>, and in the event that Executive’s outstanding equity as of the closing of such Change in Control is assumed or continued (in accordance with its terms) by the surviving entity in such Change in Control, then 100% of the unvested portion of such equity shall 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-726440</wp:posOffset>
            </wp:positionV>
            <wp:extent cx="14706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70660" cy="8890"/>
                    </a:xfrm>
                    <a:prstGeom prst="rect">
                      <a:avLst/>
                    </a:prstGeom>
                    <a:noFill/>
                  </pic:spPr>
                </pic:pic>
              </a:graphicData>
            </a:graphic>
          </wp:anchor>
        </w:drawing>
      </w:r>
    </w:p>
    <w:p>
      <w:pPr>
        <w:spacing w:after="0" w:line="153" w:lineRule="exact"/>
        <w:rPr>
          <w:sz w:val="20"/>
          <w:szCs w:val="20"/>
          <w:color w:val="auto"/>
        </w:rPr>
      </w:pPr>
    </w:p>
    <w:p>
      <w:pPr>
        <w:ind w:right="200" w:firstLine="648"/>
        <w:spacing w:after="0" w:line="274"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color w:val="auto"/>
        </w:rPr>
        <w:t>Cooperation With Company After Termination of Employment</w:t>
      </w:r>
      <w:r>
        <w:rPr>
          <w:rFonts w:ascii="Arial" w:cs="Arial" w:eastAsia="Arial" w:hAnsi="Arial"/>
          <w:sz w:val="17"/>
          <w:szCs w:val="17"/>
          <w:color w:val="auto"/>
        </w:rPr>
        <w:t>. Following termination of Executive’s employment for any reason and for a period of two years thereafter, Executive agrees to cooperate (a) with the Company in (i) the defense of any legal matter involving any matter that arose during Executive’s employment with the Company, and (ii) all matters relating to the winding up of Executive’s pending work and the orderly transfer of any such pending work to such other employees as may be designated by the Company; and (b) with all government authorities on matters pertaining to any investigation, litigation or administrative proceeding pertaining to the Company. The Company will reimburse Executive for any reasonable travel and out of pocket expenses incurred by Executive in providing such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-726440</wp:posOffset>
            </wp:positionV>
            <wp:extent cx="31927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92780" cy="8255"/>
                    </a:xfrm>
                    <a:prstGeom prst="rect">
                      <a:avLst/>
                    </a:prstGeom>
                    <a:noFill/>
                  </pic:spPr>
                </pic:pic>
              </a:graphicData>
            </a:graphic>
          </wp:anchor>
        </w:drawing>
      </w:r>
    </w:p>
    <w:p>
      <w:pPr>
        <w:spacing w:after="0" w:line="15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b w:val="1"/>
          <w:bCs w:val="1"/>
          <w:color w:val="auto"/>
        </w:rPr>
        <w:t>Tax Provisions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8286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209" w:lineRule="exact"/>
        <w:rPr>
          <w:sz w:val="20"/>
          <w:szCs w:val="20"/>
          <w:color w:val="auto"/>
        </w:rPr>
      </w:pPr>
    </w:p>
    <w:p>
      <w:pPr>
        <w:ind w:right="340" w:firstLine="1304"/>
        <w:spacing w:after="0" w:line="291" w:lineRule="auto"/>
        <w:tabs>
          <w:tab w:leader="none" w:pos="16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It is intended that all of the Severance Pay under this Agreement satisfy, to the greatest extent possible, the exemptions from the application of Section 409A of the Code and the regulations and other guidance thereunder and any state law of similar effect (collectively, “</w:t>
      </w:r>
      <w:r>
        <w:rPr>
          <w:rFonts w:ascii="Arial" w:cs="Arial" w:eastAsia="Arial" w:hAnsi="Arial"/>
          <w:sz w:val="16"/>
          <w:szCs w:val="16"/>
          <w:b w:val="1"/>
          <w:bCs w:val="1"/>
          <w:i w:val="1"/>
          <w:iCs w:val="1"/>
          <w:color w:val="auto"/>
        </w:rPr>
        <w:t>Section</w:t>
      </w:r>
    </w:p>
    <w:p>
      <w:pPr>
        <w:ind w:right="20"/>
        <w:spacing w:after="0" w:line="255" w:lineRule="auto"/>
        <w:rPr>
          <w:rFonts w:ascii="Arial" w:cs="Arial" w:eastAsia="Arial" w:hAnsi="Arial"/>
          <w:sz w:val="16"/>
          <w:szCs w:val="16"/>
          <w:color w:val="auto"/>
        </w:rPr>
      </w:pPr>
      <w:r>
        <w:rPr>
          <w:rFonts w:ascii="Arial" w:cs="Arial" w:eastAsia="Arial" w:hAnsi="Arial"/>
          <w:sz w:val="18"/>
          <w:szCs w:val="18"/>
          <w:b w:val="1"/>
          <w:bCs w:val="1"/>
          <w:i w:val="1"/>
          <w:iCs w:val="1"/>
          <w:color w:val="auto"/>
        </w:rPr>
        <w:t>409A</w:t>
      </w:r>
      <w:r>
        <w:rPr>
          <w:rFonts w:ascii="Arial" w:cs="Arial" w:eastAsia="Arial" w:hAnsi="Arial"/>
          <w:sz w:val="18"/>
          <w:szCs w:val="18"/>
          <w:color w:val="auto"/>
        </w:rPr>
        <w:t>”) provided under Treasury Regulations Sections 1.409A-1(b)(4) and 1.409A-1(b)(9), and this Agreement will be construed in a manner that complies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Section 409A. If not so exempt, this Agreement (and any definitions hereunder) will be construed in a manner that complies with Section 409A, and incorporates by reference all required definitions and payment terms.</w:t>
      </w:r>
    </w:p>
    <w:p>
      <w:pPr>
        <w:spacing w:after="0" w:line="189" w:lineRule="exact"/>
        <w:rPr>
          <w:rFonts w:ascii="Arial" w:cs="Arial" w:eastAsia="Arial" w:hAnsi="Arial"/>
          <w:sz w:val="16"/>
          <w:szCs w:val="16"/>
          <w:color w:val="auto"/>
        </w:rPr>
      </w:pPr>
    </w:p>
    <w:p>
      <w:pPr>
        <w:jc w:val="both"/>
        <w:ind w:right="120" w:firstLine="1304"/>
        <w:spacing w:after="0" w:line="311" w:lineRule="auto"/>
        <w:tabs>
          <w:tab w:leader="none" w:pos="168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preceding provisions shall not be construed as a guarantee by the Company of any particular tax effect to Executive under this Agreement. The Company shall not be liable to Executive for any payment made under this Agreement which is determined to result in an additional tax, penalty or interest under Section 409A, nor for reporting in good faith any payment as an amount includible in gross income under Section 409A.</w:t>
      </w:r>
    </w:p>
    <w:p>
      <w:pPr>
        <w:sectPr>
          <w:pgSz w:w="11900" w:h="16838" w:orient="portrait"/>
          <w:cols w:equalWidth="0" w:num="1">
            <w:col w:w="11220"/>
          </w:cols>
          <w:pgMar w:left="320" w:top="125" w:right="359" w:bottom="0" w:gutter="0" w:footer="0" w:header="0"/>
        </w:sectPr>
      </w:pPr>
    </w:p>
    <w:bookmarkStart w:id="77" w:name="page78"/>
    <w:bookmarkEnd w:id="77"/>
    <w:p>
      <w:pPr>
        <w:ind w:right="80" w:firstLine="1304"/>
        <w:spacing w:after="0" w:line="257" w:lineRule="auto"/>
        <w:tabs>
          <w:tab w:leader="none" w:pos="16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Severance Pay will be made under this Agreement unless Executive’s termination of employment constitutes a “separation from service” (as defined under Treasury Regulation Section 1.409A-1(h) a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spacing w:after="0" w:line="187" w:lineRule="exact"/>
        <w:rPr>
          <w:rFonts w:ascii="Arial" w:cs="Arial" w:eastAsia="Arial" w:hAnsi="Arial"/>
          <w:sz w:val="18"/>
          <w:szCs w:val="18"/>
          <w:color w:val="auto"/>
        </w:rPr>
      </w:pPr>
    </w:p>
    <w:p>
      <w:pPr>
        <w:ind w:firstLine="1304"/>
        <w:spacing w:after="0" w:line="253" w:lineRule="auto"/>
        <w:tabs>
          <w:tab w:leader="none" w:pos="1686"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the Company determines that the Severance Pay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Pay will be delayed as follows: on the earlier to occur of (i) the date that is six months and one day after Executive’s Separation from Service, and (ii) the date of Executive’s death (such earlier date, the “</w:t>
      </w:r>
      <w:r>
        <w:rPr>
          <w:rFonts w:ascii="Arial" w:cs="Arial" w:eastAsia="Arial" w:hAnsi="Arial"/>
          <w:sz w:val="18"/>
          <w:szCs w:val="18"/>
          <w:b w:val="1"/>
          <w:bCs w:val="1"/>
          <w:i w:val="1"/>
          <w:iCs w:val="1"/>
          <w:color w:val="auto"/>
        </w:rPr>
        <w:t>Delayed Initial Payment Date</w:t>
      </w:r>
      <w:r>
        <w:rPr>
          <w:rFonts w:ascii="Arial" w:cs="Arial" w:eastAsia="Arial" w:hAnsi="Arial"/>
          <w:sz w:val="18"/>
          <w:szCs w:val="18"/>
          <w:color w:val="auto"/>
        </w:rPr>
        <w:t xml:space="preserve">”), the Company will (1) pay to Executive a lump sum amount equal to the sum of the Severance Pay that Executive would otherwise have received through the Delayed Initial Payment Date if the commencement of the payment of the Severance Pay had not been delayed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(2) commence paying the balance of the Severance Pay in accordance with the applicable payment schedule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No interest shall be due on any amounts deferred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Mutual Arbitration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-7620</wp:posOffset>
            </wp:positionV>
            <wp:extent cx="10629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Scope of Arbitration</w:t>
      </w:r>
      <w:r>
        <w:rPr>
          <w:rFonts w:ascii="Arial" w:cs="Arial" w:eastAsia="Arial" w:hAnsi="Arial"/>
          <w:sz w:val="17"/>
          <w:szCs w:val="17"/>
          <w:color w:val="auto"/>
        </w:rPr>
        <w:t>. In the event of any dispute, claim, or controversy that could otherwise be raised in court (“</w:t>
      </w:r>
      <w:r>
        <w:rPr>
          <w:rFonts w:ascii="Arial" w:cs="Arial" w:eastAsia="Arial" w:hAnsi="Arial"/>
          <w:sz w:val="17"/>
          <w:szCs w:val="17"/>
          <w:b w:val="1"/>
          <w:bCs w:val="1"/>
          <w:i w:val="1"/>
          <w:iCs w:val="1"/>
          <w:color w:val="auto"/>
        </w:rPr>
        <w:t>Claims</w:t>
      </w:r>
      <w:r>
        <w:rPr>
          <w:rFonts w:ascii="Arial" w:cs="Arial" w:eastAsia="Arial" w:hAnsi="Arial"/>
          <w:sz w:val="17"/>
          <w:szCs w:val="17"/>
          <w:color w:val="auto"/>
        </w:rPr>
        <w:t>”) between Executive and the Company (including all of its current or former officers; directors; members; employees; vendors; clients; agents; parent, subsidiary, and affiliated entities; benefit plans; benefit plans’ sponsors; fiduciaries; administrators; and all successors and assigns of any of them), the Parties jointly agree to submit all such Claims to binding arbitration and waive any right to a jury trial in court. The Claims subject to arbitration include all claims arising from or related to your employment or the termination of Executive’s employment including, but not limited to, claims for wages or other compensation due; claims for breach of any contract or covenant (express or implied); tort claims; claims for misappropriation of trade secrets or unfair competition; claims for wrongful termination or unjustified dismissal; claims for discrimination, harassment or retaliation (including, but not limited to, race, sex, religion, national origin, age, marital status, or medical condition or disability); claims for benefits (except where an employee benefit or pension plan specifies that its claims procedure shall culminate in an arbitration procedure different from this one); and claims for violation of any federal, state, or governmental law, statute, regulation, or ordinance. Claims not covered by this arbitration provision are: claims for workers' compensation or unemployment benefits; petitions or charges filed with the National Labor Relations Board, Equal Employment Opportunity Commission, or a similar government agency; and claims which are not subject to arbitration or pre-dispute arbitration agreements pursuant to federal law. Moreover, any Party may seek provisional relief from a court upon the ground that the award to which the Party may be entitled may be rendered ineffectual without provisional relief. All Claims subject to arbitration must be brought in the party’s individual capacity, and not as a plaintiff or class member in any class, collective, or representative action. Any disputes concerning the validity of this multi-plaintiff, class, collective and representative action waiver will be decided by a court of competent jurisdiction, not by the arbitrator. In the event a court determines this waiver is unenforceable with respect to any Claim, then this waiver shall not apply to that Claim, and that Claim may only proceed in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-2232660</wp:posOffset>
            </wp:positionV>
            <wp:extent cx="1110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15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Arbitration Rules and Process</w:t>
      </w:r>
      <w:r>
        <w:rPr>
          <w:rFonts w:ascii="Arial" w:cs="Arial" w:eastAsia="Arial" w:hAnsi="Arial"/>
          <w:sz w:val="16"/>
          <w:szCs w:val="16"/>
          <w:color w:val="auto"/>
        </w:rPr>
        <w:t>. The arbitration (i) shall be conducted pursuant to the JAMS Employment Arbitration Rules &amp; Procedures to the extent they do not conflict with this provision, which are incorporated by reference and may be accessed at https://www.jamsadr.com or by calling JAMS at (800) 352-5267; (ii) shall be heard before a retired State or Federal judge in the county containing the Company office in which Executive was last employed, unless the Parties agree otherwise; and (iii) must be initiated within the time period required under the applicable statute of limitations. Each Party shall have the right to conduct discovery adequate to fully and fairly present the claims and defenses consistent with the streamlined nature of arbitration. The arbitrator shall apply the substantive law relating to all claims and defenses to be arbitrated the same as if the matter had been heard in court, including the award of any remedy or relief on an individual basis. The arbitrator’s award shall be in writing, with factual findings, reasons given, and evidence cited to support the award. The arbitrator’s decision or award shall be final and binding and may be filed in any court of competent jurisdiction so that judgment may be entered upon it or it may be corrected, modified, or vacated on any ground permitted by applicable law. The Federal Arbitration Act (9 U.S.C. Sections 1, et seq.) shall govern this arbitration provision and State arbitration statutes shall apply only to the extent they are not preempted. If any part of this arbitration provision is held to be invalid, void, or unenforceable, it shall be interpreted in a manner or modified to make it enforceable. If that is not possible, it shall be severed and the remaining terms shall remain in full force and effect. The Parties shall equally share the cost of the arbitration, including the arbitrator’s fees. Each Party shall pay for its own costs and attorneys’ fees, if any,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-1692275</wp:posOffset>
            </wp:positionV>
            <wp:extent cx="15881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14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 xml:space="preserve">Advice of an Attorney. </w:t>
      </w:r>
      <w:r>
        <w:rPr>
          <w:rFonts w:ascii="Arial" w:cs="Arial" w:eastAsia="Arial" w:hAnsi="Arial"/>
          <w:sz w:val="16"/>
          <w:szCs w:val="16"/>
          <w:color w:val="auto"/>
        </w:rPr>
        <w:t>Executive acknowledges that the Company has advised Executive to consult with 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1205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5865" cy="8890"/>
                    </a:xfrm>
                    <a:prstGeom prst="rect">
                      <a:avLst/>
                    </a:prstGeom>
                    <a:noFill/>
                  </pic:spPr>
                </pic:pic>
              </a:graphicData>
            </a:graphic>
          </wp:anchor>
        </w:drawing>
      </w:r>
    </w:p>
    <w:p>
      <w:pPr>
        <w:spacing w:after="0" w:line="20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Voluntary Agreement</w:t>
      </w:r>
      <w:r>
        <w:rPr>
          <w:rFonts w:ascii="Arial" w:cs="Arial" w:eastAsia="Arial" w:hAnsi="Arial"/>
          <w:sz w:val="18"/>
          <w:szCs w:val="18"/>
          <w:color w:val="auto"/>
        </w:rPr>
        <w:t>. Executive represents that Executive has read this Agreement and understands and accepts each of its terms. Executive further represents that no representations, promises, agreements, stipulations, or statements have been made by the Company Group, beyond those contained herein. Executive further represents that Executive voluntarily signs this Agreement as Executive’s own free act, and that Executive is not acting under any coercion or duress.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-448310</wp:posOffset>
            </wp:positionV>
            <wp:extent cx="11931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160"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-7620</wp:posOffset>
            </wp:positionV>
            <wp:extent cx="10420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205"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Notices</w:t>
      </w:r>
      <w:r>
        <w:rPr>
          <w:rFonts w:ascii="Arial" w:cs="Arial" w:eastAsia="Arial" w:hAnsi="Arial"/>
          <w:sz w:val="17"/>
          <w:szCs w:val="17"/>
          <w:color w:val="auto"/>
        </w:rPr>
        <w:t>. Any notices required hereunder to be in writing shall be deemed effectively given: (a) upon personal delivery to the Party to be notified, (b) when sent by electronic mail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All communications shall be sent to the Company at its primary office location (attention of the Company’s Chief Executive Officer) and to Executive at Executive’s address as listed on the Company’s payroll, or at such other address as the Company or Executive may designate by ten (10) days advance written notice to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-726440</wp:posOffset>
            </wp:positionV>
            <wp:extent cx="4699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9900" cy="8890"/>
                    </a:xfrm>
                    <a:prstGeom prst="rect">
                      <a:avLst/>
                    </a:prstGeom>
                    <a:noFill/>
                  </pic:spPr>
                </pic:pic>
              </a:graphicData>
            </a:graphic>
          </wp:anchor>
        </w:drawing>
      </w:r>
    </w:p>
    <w:p>
      <w:pPr>
        <w:spacing w:after="0" w:line="153"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Severability</w:t>
      </w:r>
      <w:r>
        <w:rPr>
          <w:rFonts w:ascii="Arial" w:cs="Arial" w:eastAsia="Arial" w:hAnsi="Arial"/>
          <w:sz w:val="18"/>
          <w:szCs w:val="18"/>
          <w:color w:val="auto"/>
        </w:rPr>
        <w:t>. Whenever possible each provision of this Agreement will be interpreted so as to be fully effective and valid under applicable law. In the event that any provision of this Agreement is determined to be unenforceable in any respect as written, such provision of this Agreement is determined to be unenforceable in any respect as written, such provision will be deemed to have been automatically modified to the minimum extent necessary to make it enforceable and the provision will be enforced as so modified. If notwithstanding the preceding sentence, any provision contained in this Agreement is determined to be void or unenforceable in whole or in part or as so modified, it will not be deemed to affect or impair the validity of any other provision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-717550</wp:posOffset>
            </wp:positionV>
            <wp:extent cx="7270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075" cy="8890"/>
                    </a:xfrm>
                    <a:prstGeom prst="rect">
                      <a:avLst/>
                    </a:prstGeom>
                    <a:noFill/>
                  </pic:spPr>
                </pic:pic>
              </a:graphicData>
            </a:graphic>
          </wp:anchor>
        </w:drawing>
      </w:r>
    </w:p>
    <w:p>
      <w:pPr>
        <w:spacing w:after="0" w:line="167" w:lineRule="exact"/>
        <w:rPr>
          <w:sz w:val="20"/>
          <w:szCs w:val="20"/>
          <w:color w:val="auto"/>
        </w:rPr>
      </w:pPr>
    </w:p>
    <w:p>
      <w:pPr>
        <w:jc w:val="both"/>
        <w:ind w:right="160" w:firstLine="648"/>
        <w:spacing w:after="0" w:line="31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Waiver and Amendment</w:t>
      </w:r>
      <w:r>
        <w:rPr>
          <w:rFonts w:ascii="Arial" w:cs="Arial" w:eastAsia="Arial" w:hAnsi="Arial"/>
          <w:sz w:val="16"/>
          <w:szCs w:val="16"/>
          <w:color w:val="auto"/>
        </w:rPr>
        <w:t>. No amendment of any provision of this Agreement shall be valid unless the amendment is in writing and signed by Executive and by the Chief Executive Officer or Chief Financial Officer of the Company (exclusive of Executive himself). No waiver by any party of any default, misrepresentation or breach of warranty or covenant hereunder, whether intentional or not, shall be deemed to extend to any prior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-334645</wp:posOffset>
            </wp:positionV>
            <wp:extent cx="13341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78" w:name="page79"/>
    <w:bookmarkEnd w:id="78"/>
    <w:p>
      <w:pPr>
        <w:spacing w:after="0" w:line="259" w:lineRule="auto"/>
        <w:rPr>
          <w:sz w:val="20"/>
          <w:szCs w:val="20"/>
          <w:color w:val="auto"/>
        </w:rPr>
      </w:pPr>
      <w:r>
        <w:rPr>
          <w:rFonts w:ascii="Arial" w:cs="Arial" w:eastAsia="Arial" w:hAnsi="Arial"/>
          <w:sz w:val="18"/>
          <w:szCs w:val="18"/>
          <w:color w:val="auto"/>
        </w:rPr>
        <w:t>subsequent default, misrepresentation or breach of warranty or covenant hereunder or to affect in any way any rights arising by virtue of any prior or subsequent such occurrence, and no waiver shall be effective unless set forth in writing and signed by the party against whom such waiver is asserted. If the party against whom such waiver is asserted is the Company, no waiver shall be effective unless signed by the Chief Executive Officer or Chief Financial Officer of the Company (exclusive of Executive himself).</w:t>
      </w:r>
    </w:p>
    <w:p>
      <w:pPr>
        <w:spacing w:after="0" w:line="18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Headings</w:t>
      </w:r>
      <w:r>
        <w:rPr>
          <w:rFonts w:ascii="Arial" w:cs="Arial" w:eastAsia="Arial" w:hAnsi="Arial"/>
          <w:sz w:val="16"/>
          <w:szCs w:val="16"/>
          <w:color w:val="auto"/>
        </w:rPr>
        <w:t>. The headings contained in this Agreement are inserted for convenience only and do not constitute a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6000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5" w:lineRule="exact"/>
        <w:rPr>
          <w:sz w:val="20"/>
          <w:szCs w:val="20"/>
          <w:color w:val="auto"/>
        </w:rPr>
      </w:pPr>
    </w:p>
    <w:p>
      <w:pPr>
        <w:ind w:right="560" w:firstLine="648"/>
        <w:spacing w:after="0" w:line="347"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color w:val="auto"/>
        </w:rPr>
        <w:t>Complete Agreement</w:t>
      </w:r>
      <w:r>
        <w:rPr>
          <w:rFonts w:ascii="Arial" w:cs="Arial" w:eastAsia="Arial" w:hAnsi="Arial"/>
          <w:sz w:val="16"/>
          <w:szCs w:val="16"/>
          <w:color w:val="auto"/>
        </w:rPr>
        <w:t>. This Agreement embodies the complete agreement and understanding between the parties and supersedes and preempts any prior understandings, agreements or r representations by the parties, written or oral, which may relate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-213995</wp:posOffset>
            </wp:positionV>
            <wp:extent cx="1143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spacing w:after="0" w:line="9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Choice of Law</w:t>
      </w:r>
      <w:r>
        <w:rPr>
          <w:rFonts w:ascii="Arial" w:cs="Arial" w:eastAsia="Arial" w:hAnsi="Arial"/>
          <w:sz w:val="18"/>
          <w:szCs w:val="18"/>
          <w:color w:val="auto"/>
        </w:rPr>
        <w:t>. EXCEPT FOR THE FEDERAL ARBITRATION ACT, WHICH SHALL APPLY TO SECTION 7, the construction, validity and interpretation of this Agreement will be governed by the internal law, and not the law of conflicts, of the 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-185420</wp:posOffset>
            </wp:positionV>
            <wp:extent cx="8185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4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Provisions of this Agreement which by their terms must survive the termination of this Agreement in order to effectuate the intent of the Parties will survive any such termination, termination of Executive’s employment, or otherwise, for such period as may be appropriate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-313055</wp:posOffset>
            </wp:positionV>
            <wp:extent cx="5270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7050" cy="8255"/>
                    </a:xfrm>
                    <a:prstGeom prst="rect">
                      <a:avLst/>
                    </a:prstGeom>
                    <a:noFill/>
                  </pic:spPr>
                </pic:pic>
              </a:graphicData>
            </a:graphic>
          </wp:anchor>
        </w:drawing>
      </w:r>
    </w:p>
    <w:p>
      <w:pPr>
        <w:spacing w:after="0" w:line="156"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color w:val="auto"/>
        </w:rPr>
        <w:t>Successors and Assigns</w:t>
      </w:r>
      <w:r>
        <w:rPr>
          <w:rFonts w:ascii="Arial" w:cs="Arial" w:eastAsia="Arial" w:hAnsi="Arial"/>
          <w:sz w:val="16"/>
          <w:szCs w:val="16"/>
          <w:color w:val="auto"/>
        </w:rPr>
        <w:t>. The Company shall assign this Agreement and its rights and obligations hereunder in whole, but not in part, to any member of the Company Group or any successor. Any such successor will be deemed substituted for the Company under the terms of this Agreement for all purposes. For this purpose, “</w:t>
      </w:r>
      <w:r>
        <w:rPr>
          <w:rFonts w:ascii="Arial" w:cs="Arial" w:eastAsia="Arial" w:hAnsi="Arial"/>
          <w:sz w:val="16"/>
          <w:szCs w:val="16"/>
          <w:b w:val="1"/>
          <w:bCs w:val="1"/>
          <w:i w:val="1"/>
          <w:iCs w:val="1"/>
          <w:color w:val="auto"/>
        </w:rPr>
        <w:t>successor</w:t>
      </w:r>
      <w:r>
        <w:rPr>
          <w:rFonts w:ascii="Arial" w:cs="Arial" w:eastAsia="Arial" w:hAnsi="Arial"/>
          <w:sz w:val="16"/>
          <w:szCs w:val="16"/>
          <w:color w:val="auto"/>
        </w:rPr>
        <w:t>” means any person, firm, corporation or other business entity which at any time, whether by purchase, merger or otherwise, directly or indirectly acquires all or substantially all of the assets or business of the Company Group entity that employs Executive. Executive may not assign or transfer this Agreement or any rights or obligations hereunder, other than to Executive’s estate upon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-601345</wp:posOffset>
            </wp:positionV>
            <wp:extent cx="12382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13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b w:val="1"/>
          <w:bCs w:val="1"/>
          <w:color w:val="auto"/>
        </w:rPr>
        <w:t>Withholding</w:t>
      </w:r>
      <w:r>
        <w:rPr>
          <w:rFonts w:ascii="Arial" w:cs="Arial" w:eastAsia="Arial" w:hAnsi="Arial"/>
          <w:sz w:val="16"/>
          <w:szCs w:val="16"/>
          <w:color w:val="auto"/>
        </w:rPr>
        <w:t>. All amounts payable hereunder shall be subject to applicable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7283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separate counterparts, any one of which need not contain signatures of more than one Party, but all of which taken together will constitute one and the same Agreement. Electronic signatures and signatures transmitted by PDF shall be equivalent to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-313055</wp:posOffset>
            </wp:positionV>
            <wp:extent cx="774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2"/>
          <w:szCs w:val="12"/>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P</w:t>
      </w:r>
      <w:r>
        <w:rPr>
          <w:rFonts w:ascii="Arial" w:cs="Arial" w:eastAsia="Arial" w:hAnsi="Arial"/>
          <w:sz w:val="12"/>
          <w:szCs w:val="12"/>
          <w:color w:val="auto"/>
        </w:rPr>
        <w:t>arties have executed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greement on the day and year first written above</w:t>
      </w:r>
      <w:r>
        <w:rPr>
          <w:rFonts w:ascii="Arial" w:cs="Arial" w:eastAsia="Arial" w:hAnsi="Arial"/>
          <w:sz w:val="18"/>
          <w:szCs w:val="18"/>
          <w:color w:val="auto"/>
        </w:rPr>
        <w:t>.</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alomar</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-19050</wp:posOffset>
            </wp:positionV>
            <wp:extent cx="2571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color w:val="auto"/>
        </w:rPr>
        <w: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ame</w:t>
      </w:r>
      <w:r>
        <w:rPr>
          <w:rFonts w:ascii="Arial" w:cs="Arial" w:eastAsia="Arial" w:hAnsi="Arial"/>
          <w:sz w:val="18"/>
          <w:szCs w:val="18"/>
          <w:b w:val="1"/>
          <w:bCs w:val="1"/>
          <w:color w:val="auto"/>
        </w:rPr>
        <w:t>:</w:t>
      </w:r>
    </w:p>
    <w:p>
      <w:pPr>
        <w:sectPr>
          <w:pgSz w:w="11900" w:h="16838" w:orient="portrait"/>
          <w:cols w:equalWidth="0" w:num="1">
            <w:col w:w="11220"/>
          </w:cols>
          <w:pgMar w:left="320" w:top="125" w:right="3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Mac Armstrong, certify that: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report on Form 10-Q of Palomar Holdings, Inc.;</w:t>
      </w:r>
    </w:p>
    <w:p>
      <w:pPr>
        <w:spacing w:after="0" w:line="23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00" w:hanging="328"/>
        <w:spacing w:after="0" w:line="29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right="40" w:hanging="320"/>
        <w:spacing w:after="0" w:line="255"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300" w:right="40" w:hanging="320"/>
        <w:spacing w:after="0" w:line="263"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320"/>
        <w:spacing w:after="0" w:line="255"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right="72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right="460" w:hanging="320"/>
        <w:spacing w:after="0" w:line="281"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right="140" w:hanging="320"/>
        <w:spacing w:after="0" w:line="250"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620" w:right="4260" w:hanging="5615"/>
        <w:spacing w:after="0" w:line="290" w:lineRule="auto"/>
        <w:tabs>
          <w:tab w:leader="none" w:pos="56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6"/>
          <w:szCs w:val="16"/>
          <w:color w:val="auto"/>
        </w:rPr>
        <w:t>/s/ Mac Armstrong Mac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-144780</wp:posOffset>
            </wp:positionV>
            <wp:extent cx="3566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302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 Christopher Uchida, certify that: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report on Form 10-Q of Palomar Holdings, Inc.;</w:t>
      </w:r>
    </w:p>
    <w:p>
      <w:pPr>
        <w:spacing w:after="0" w:line="23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00" w:hanging="328"/>
        <w:spacing w:after="0" w:line="29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right="40" w:hanging="320"/>
        <w:spacing w:after="0" w:line="255"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300" w:right="40" w:hanging="320"/>
        <w:spacing w:after="0" w:line="263"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320"/>
        <w:spacing w:after="0" w:line="255"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right="72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right="460" w:hanging="320"/>
        <w:spacing w:after="0" w:line="323"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6"/>
          <w:szCs w:val="16"/>
          <w:color w:val="auto"/>
        </w:rPr>
      </w:pPr>
    </w:p>
    <w:p>
      <w:pPr>
        <w:ind w:left="1300" w:right="140" w:hanging="320"/>
        <w:spacing w:after="0" w:line="258"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6"/>
          <w:szCs w:val="16"/>
          <w:color w:val="auto"/>
        </w:rPr>
        <w:t>/s/ T. Christopher Uchida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 Christopher Uchida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18"/>
          <w:szCs w:val="18"/>
          <w:color w:val="auto"/>
        </w:rPr>
        <w:t>In connection with the Quarterly Report on Form 10-Q of Palomar Holdings, Inc. (the “Company”) for the quarter ended June 30, 2023,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the Report fully complies with the requirements of Section 13(a) or 15(d), as applicable, of the Securities Exchange Act of 1934,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20" w:hanging="264"/>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9"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Date: August 3, 2023</w:t>
            </w:r>
          </w:p>
        </w:tc>
        <w:tc>
          <w:tcPr>
            <w:tcW w:w="2760" w:type="dxa"/>
            <w:vAlign w:val="bottom"/>
          </w:tcPr>
          <w:p>
            <w:pPr>
              <w:ind w:left="20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 Armstrong</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27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Mac Armstrong</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tcPr>
          <w:p>
            <w:pPr>
              <w:ind w:left="20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tcPr>
          <w:p>
            <w:pPr>
              <w:ind w:left="200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tcPr>
          <w:p>
            <w:pPr>
              <w:ind w:left="200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August 3, 2023</w:t>
            </w:r>
          </w:p>
        </w:tc>
        <w:tc>
          <w:tcPr>
            <w:tcW w:w="2760" w:type="dxa"/>
            <w:vAlign w:val="bottom"/>
          </w:tcPr>
          <w:p>
            <w:pPr>
              <w:ind w:left="20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 Christopher Uchida</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27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 Christopher Uchida</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tcPr>
          <w:p>
            <w:pPr>
              <w:ind w:left="20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35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760" w:type="dxa"/>
            <w:vAlign w:val="bottom"/>
          </w:tcPr>
          <w:p>
            <w:pPr>
              <w:ind w:left="200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52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lvl w:ilvl="1">
      <w:lvlJc w:val="left"/>
      <w:lvlText w:val="(%2)"/>
      <w:numFmt w:val="decimal"/>
      <w:start w:val="1"/>
    </w:lvl>
  </w:abstractNum>
  <w:abstractNum w:abstractNumId="9">
    <w:nsid w:val="22221A70"/>
    <w:multiLevelType w:val="hybridMultilevel"/>
    <w:lvl w:ilvl="0">
      <w:lvlJc w:val="left"/>
      <w:lvlText w:val="(%1)"/>
      <w:numFmt w:val="decimal"/>
      <w:start w:val="2"/>
    </w:lvl>
    <w:lvl w:ilvl="1">
      <w:lvlJc w:val="left"/>
      <w:lvlText w:val="%2"/>
      <w:numFmt w:val="decimal"/>
      <w:start w:val="1"/>
    </w:lvl>
  </w:abstractNum>
  <w:abstractNum w:abstractNumId="10">
    <w:nsid w:val="4516DDE9"/>
    <w:multiLevelType w:val="hybridMultilevel"/>
    <w:lvl w:ilvl="0">
      <w:lvlJc w:val="left"/>
      <w:lvlText w:val="(%1)"/>
      <w:numFmt w:val="lowerRoman"/>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04"/>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decimal"/>
      <w:start w:val="2"/>
    </w:lvl>
  </w:abstractNum>
  <w:abstractNum w:abstractNumId="32">
    <w:nsid w:val="725A06FB"/>
    <w:multiLevelType w:val="hybridMultilevel"/>
    <w:lvl w:ilvl="0">
      <w:lvlJc w:val="left"/>
      <w:lvlText w:val="%1."/>
      <w:numFmt w:val="decimal"/>
      <w:start w:val="3"/>
    </w:lvl>
  </w:abstractNum>
  <w:abstractNum w:abstractNumId="33">
    <w:nsid w:val="2CD89A32"/>
    <w:multiLevelType w:val="hybridMultilevel"/>
    <w:lvl w:ilvl="0">
      <w:lvlJc w:val="left"/>
      <w:lvlText w:val="(%1)"/>
      <w:numFmt w:val="lowerLetter"/>
      <w:start w:val="2"/>
    </w:lvl>
  </w:abstractNum>
  <w:abstractNum w:abstractNumId="34">
    <w:nsid w:val="57E4CCAF"/>
    <w:multiLevelType w:val="hybridMultilevel"/>
    <w:lvl w:ilvl="0">
      <w:lvlJc w:val="left"/>
      <w:lvlText w:val="%1."/>
      <w:numFmt w:val="decimal"/>
      <w:start w:val="5"/>
    </w:lvl>
  </w:abstractNum>
  <w:abstractNum w:abstractNumId="35">
    <w:nsid w:val="7A6D8D3C"/>
    <w:multiLevelType w:val="hybridMultilevel"/>
    <w:lvl w:ilvl="0">
      <w:lvlJc w:val="left"/>
      <w:lvlText w:val="%1."/>
      <w:numFmt w:val="decimal"/>
      <w:start w:val="6"/>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4"/>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decimal"/>
      <w:start w:val="1"/>
    </w:lvl>
    <w:lvl w:ilvl="1">
      <w:lvlJc w:val="left"/>
      <w:lvlText w:val="(%2)"/>
      <w:numFmt w:val="lowerLetter"/>
      <w:start w:val="3"/>
    </w:lvl>
  </w:abstractNum>
  <w:abstractNum w:abstractNumId="43">
    <w:nsid w:val="579478FE"/>
    <w:multiLevelType w:val="hybridMultilevel"/>
    <w:lvl w:ilvl="0">
      <w:lvlJc w:val="left"/>
      <w:lvlText w:val="%1."/>
      <w:numFmt w:val="decimal"/>
      <w:start w:val="7"/>
    </w:lvl>
    <w:lvl w:ilvl="1">
      <w:lvlJc w:val="left"/>
      <w:lvlText w:val="%2"/>
      <w:numFmt w:val="lowerLetter"/>
      <w:start w:val="1"/>
    </w:lvl>
  </w:abstractNum>
  <w:abstractNum w:abstractNumId="44">
    <w:nsid w:val="749ABB43"/>
    <w:multiLevelType w:val="hybridMultilevel"/>
    <w:lvl w:ilvl="0">
      <w:lvlJc w:val="left"/>
      <w:lvlText w:val="%1."/>
      <w:numFmt w:val="decimal"/>
      <w:start w:val="8"/>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2"/>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decimal"/>
      <w:start w:val="5"/>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2023-08-03T16:16:16Z</dcterms:created>
  <dcterms:modified xsi:type="dcterms:W3CDTF">2023-08-03T16:16:16Z</dcterms:modified>
</cp:coreProperties>
</file>