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ind w:left="960" w:right="1160" w:hanging="498"/>
        <w:spacing w:after="0" w:line="251" w:lineRule="auto"/>
        <w:tabs>
          <w:tab w:leader="none" w:pos="91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March 31, 2026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13" w:lineRule="exact"/>
        <w:rPr>
          <w:sz w:val="24"/>
          <w:szCs w:val="24"/>
          <w:color w:val="auto"/>
        </w:rPr>
      </w:pPr>
    </w:p>
    <w:p>
      <w:pPr>
        <w:ind w:left="940" w:right="1160" w:hanging="478"/>
        <w:spacing w:after="0" w:line="271" w:lineRule="auto"/>
        <w:tabs>
          <w:tab w:leader="none" w:pos="90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 to 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001-38873</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Palomar Holdings, Inc.</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80" w:type="dxa"/>
            <w:vAlign w:val="bottom"/>
          </w:tcPr>
          <w:p>
            <w:pPr>
              <w:spacing w:after="0"/>
              <w:rPr>
                <w:sz w:val="19"/>
                <w:szCs w:val="19"/>
                <w:color w:val="auto"/>
              </w:rPr>
            </w:pPr>
          </w:p>
        </w:tc>
        <w:tc>
          <w:tcPr>
            <w:tcW w:w="4580" w:type="dxa"/>
            <w:vAlign w:val="bottom"/>
          </w:tcPr>
          <w:p>
            <w:pPr>
              <w:jc w:val="center"/>
              <w:ind w:left="81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520" w:type="dxa"/>
            <w:vAlign w:val="bottom"/>
            <w:gridSpan w:val="3"/>
          </w:tcPr>
          <w:p>
            <w:pPr>
              <w:jc w:val="right"/>
              <w:ind w:right="2233"/>
              <w:spacing w:after="0"/>
              <w:rPr>
                <w:sz w:val="20"/>
                <w:szCs w:val="20"/>
                <w:color w:val="auto"/>
              </w:rPr>
            </w:pPr>
            <w:r>
              <w:rPr>
                <w:rFonts w:ascii="Times New Roman" w:cs="Times New Roman" w:eastAsia="Times New Roman" w:hAnsi="Times New Roman"/>
                <w:sz w:val="18"/>
                <w:szCs w:val="18"/>
                <w:b w:val="1"/>
                <w:bCs w:val="1"/>
                <w:color w:val="auto"/>
              </w:rPr>
              <w:t>83-3972551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4580" w:type="dxa"/>
            <w:vAlign w:val="bottom"/>
            <w:tcBorders>
              <w:top w:val="single" w:sz="8" w:color="auto"/>
            </w:tcBorders>
          </w:tcPr>
          <w:p>
            <w:pPr>
              <w:jc w:val="center"/>
              <w:ind w:left="811"/>
              <w:spacing w:after="0" w:line="150" w:lineRule="exact"/>
              <w:rPr>
                <w:sz w:val="20"/>
                <w:szCs w:val="20"/>
                <w:color w:val="auto"/>
              </w:rPr>
            </w:pPr>
            <w:r>
              <w:rPr>
                <w:rFonts w:ascii="Times New Roman" w:cs="Times New Roman" w:eastAsia="Times New Roman" w:hAnsi="Times New Roman"/>
                <w:sz w:val="17"/>
                <w:szCs w:val="17"/>
                <w:color w:val="auto"/>
              </w:rPr>
              <w:t>(State or other jurisdiction of</w:t>
            </w: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48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7"/>
                <w:szCs w:val="17"/>
                <w:color w:val="auto"/>
              </w:rPr>
              <w:t>(I.R.S. Employer Identification No.)</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58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4580" w:type="dxa"/>
            <w:vAlign w:val="bottom"/>
          </w:tcPr>
          <w:p>
            <w:pPr>
              <w:jc w:val="center"/>
              <w:ind w:left="811"/>
              <w:spacing w:after="0"/>
              <w:rPr>
                <w:sz w:val="20"/>
                <w:szCs w:val="20"/>
                <w:color w:val="auto"/>
              </w:rPr>
            </w:pPr>
            <w:r>
              <w:rPr>
                <w:rFonts w:ascii="Times New Roman" w:cs="Times New Roman" w:eastAsia="Times New Roman" w:hAnsi="Times New Roman"/>
                <w:sz w:val="18"/>
                <w:szCs w:val="18"/>
                <w:b w:val="1"/>
                <w:bCs w:val="1"/>
                <w:color w:val="auto"/>
                <w:w w:val="99"/>
              </w:rPr>
              <w:t>7979 Ivanhoe Avenue, Suite 500</w:t>
            </w:r>
          </w:p>
        </w:tc>
        <w:tc>
          <w:tcPr>
            <w:tcW w:w="6520" w:type="dxa"/>
            <w:vAlign w:val="bottom"/>
            <w:gridSpan w:val="3"/>
            <w:vMerge w:val="restart"/>
          </w:tcPr>
          <w:p>
            <w:pPr>
              <w:jc w:val="right"/>
              <w:ind w:right="2433"/>
              <w:spacing w:after="0"/>
              <w:rPr>
                <w:sz w:val="20"/>
                <w:szCs w:val="20"/>
                <w:color w:val="auto"/>
              </w:rPr>
            </w:pPr>
            <w:r>
              <w:rPr>
                <w:rFonts w:ascii="Times New Roman" w:cs="Times New Roman" w:eastAsia="Times New Roman" w:hAnsi="Times New Roman"/>
                <w:sz w:val="18"/>
                <w:szCs w:val="18"/>
                <w:b w:val="1"/>
                <w:bCs w:val="1"/>
                <w:color w:val="auto"/>
              </w:rPr>
              <w:t>92037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4580" w:type="dxa"/>
            <w:vAlign w:val="bottom"/>
          </w:tcPr>
          <w:p>
            <w:pPr>
              <w:jc w:val="center"/>
              <w:ind w:left="831"/>
              <w:spacing w:after="0"/>
              <w:rPr>
                <w:sz w:val="20"/>
                <w:szCs w:val="20"/>
                <w:color w:val="auto"/>
              </w:rPr>
            </w:pPr>
            <w:r>
              <w:rPr>
                <w:rFonts w:ascii="Times New Roman" w:cs="Times New Roman" w:eastAsia="Times New Roman" w:hAnsi="Times New Roman"/>
                <w:sz w:val="18"/>
                <w:szCs w:val="18"/>
                <w:b w:val="1"/>
                <w:bCs w:val="1"/>
                <w:color w:val="auto"/>
                <w:w w:val="99"/>
              </w:rPr>
              <w:t>La Jolla, California</w:t>
            </w:r>
          </w:p>
        </w:tc>
        <w:tc>
          <w:tcPr>
            <w:tcW w:w="652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4580" w:type="dxa"/>
            <w:vAlign w:val="bottom"/>
            <w:tcBorders>
              <w:top w:val="single" w:sz="8" w:color="auto"/>
            </w:tcBorders>
          </w:tcPr>
          <w:p>
            <w:pPr>
              <w:jc w:val="center"/>
              <w:ind w:left="831"/>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gridSpan w:val="3"/>
          </w:tcPr>
          <w:p>
            <w:pPr>
              <w:jc w:val="right"/>
              <w:ind w:right="4913"/>
              <w:spacing w:after="0"/>
              <w:rPr>
                <w:sz w:val="20"/>
                <w:szCs w:val="20"/>
                <w:color w:val="auto"/>
              </w:rPr>
            </w:pPr>
            <w:r>
              <w:rPr>
                <w:rFonts w:ascii="Times New Roman" w:cs="Times New Roman" w:eastAsia="Times New Roman" w:hAnsi="Times New Roman"/>
                <w:sz w:val="18"/>
                <w:szCs w:val="18"/>
                <w:b w:val="1"/>
                <w:bCs w:val="1"/>
                <w:color w:val="auto"/>
              </w:rPr>
              <w:t>(619) 567-5290</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8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145"/>
        </w:trPr>
        <w:tc>
          <w:tcPr>
            <w:tcW w:w="60" w:type="dxa"/>
            <w:vAlign w:val="bottom"/>
          </w:tcPr>
          <w:p>
            <w:pPr>
              <w:spacing w:after="0"/>
              <w:rPr>
                <w:sz w:val="12"/>
                <w:szCs w:val="12"/>
                <w:color w:val="auto"/>
              </w:rPr>
            </w:pPr>
          </w:p>
        </w:tc>
        <w:tc>
          <w:tcPr>
            <w:tcW w:w="420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tcPr>
          <w:p>
            <w:pPr>
              <w:spacing w:after="0"/>
              <w:rPr>
                <w:sz w:val="12"/>
                <w:szCs w:val="12"/>
                <w:color w:val="auto"/>
              </w:rPr>
            </w:pPr>
          </w:p>
        </w:tc>
        <w:tc>
          <w:tcPr>
            <w:tcW w:w="4220" w:type="dxa"/>
            <w:vAlign w:val="bottom"/>
            <w:tcBorders>
              <w:bottom w:val="single" w:sz="8" w:color="auto"/>
            </w:tcBorders>
          </w:tcPr>
          <w:p>
            <w:pPr>
              <w:spacing w:after="0"/>
              <w:rPr>
                <w:sz w:val="12"/>
                <w:szCs w:val="12"/>
                <w:color w:val="auto"/>
              </w:rPr>
            </w:pPr>
          </w:p>
        </w:tc>
      </w:tr>
      <w:tr>
        <w:trPr>
          <w:trHeight w:val="190"/>
        </w:trPr>
        <w:tc>
          <w:tcPr>
            <w:tcW w:w="60" w:type="dxa"/>
            <w:vAlign w:val="bottom"/>
            <w:tcBorders>
              <w:right w:val="single" w:sz="8" w:color="auto"/>
            </w:tcBorders>
          </w:tcPr>
          <w:p>
            <w:pPr>
              <w:spacing w:after="0"/>
              <w:rPr>
                <w:sz w:val="16"/>
                <w:szCs w:val="16"/>
                <w:color w:val="auto"/>
              </w:rPr>
            </w:pPr>
          </w:p>
        </w:tc>
        <w:tc>
          <w:tcPr>
            <w:tcW w:w="420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68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Trading Symbol(s)</w:t>
            </w:r>
          </w:p>
        </w:tc>
        <w:tc>
          <w:tcPr>
            <w:tcW w:w="422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3"/>
        </w:trPr>
        <w:tc>
          <w:tcPr>
            <w:tcW w:w="60" w:type="dxa"/>
            <w:vAlign w:val="bottom"/>
            <w:tcBorders>
              <w:right w:val="single" w:sz="8" w:color="auto"/>
            </w:tcBorders>
          </w:tcPr>
          <w:p>
            <w:pPr>
              <w:spacing w:after="0"/>
              <w:rPr>
                <w:sz w:val="16"/>
                <w:szCs w:val="16"/>
                <w:color w:val="auto"/>
              </w:rPr>
            </w:pPr>
          </w:p>
        </w:tc>
        <w:tc>
          <w:tcPr>
            <w:tcW w:w="42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6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PLMR</w:t>
            </w:r>
          </w:p>
        </w:tc>
        <w:tc>
          <w:tcPr>
            <w:tcW w:w="42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17" w:lineRule="exact"/>
        <w:rPr>
          <w:sz w:val="24"/>
          <w:szCs w:val="24"/>
          <w:color w:val="auto"/>
        </w:rPr>
      </w:pPr>
    </w:p>
    <w:p>
      <w:pPr>
        <w:jc w:val="both"/>
        <w:ind w:firstLine="749"/>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2" w:lineRule="exact"/>
        <w:rPr>
          <w:sz w:val="24"/>
          <w:szCs w:val="24"/>
          <w:color w:val="auto"/>
        </w:rPr>
      </w:pPr>
    </w:p>
    <w:p>
      <w:pPr>
        <w:jc w:val="both"/>
        <w:ind w:right="20" w:firstLine="749"/>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2" w:lineRule="exact"/>
        <w:rPr>
          <w:sz w:val="24"/>
          <w:szCs w:val="24"/>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440" w:gutter="0" w:footer="0" w:header="0"/>
        </w:sectPr>
      </w:pPr>
    </w:p>
    <w:p>
      <w:pPr>
        <w:spacing w:after="0" w:line="61"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2">
            <w:col w:w="5500" w:space="720"/>
            <w:col w:w="5020"/>
          </w:cols>
          <w:pgMar w:left="320" w:top="225" w:right="339" w:bottom="1440" w:gutter="0" w:footer="0" w:header="0"/>
          <w:type w:val="continuous"/>
        </w:sect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75" w:lineRule="exact"/>
        <w:rPr>
          <w:sz w:val="24"/>
          <w:szCs w:val="24"/>
          <w:color w:val="auto"/>
        </w:rPr>
      </w:pPr>
    </w:p>
    <w:p>
      <w:pPr>
        <w:sectPr>
          <w:pgSz w:w="11900" w:h="16838" w:orient="portrait"/>
          <w:cols w:equalWidth="0" w:num="2">
            <w:col w:w="5500" w:space="720"/>
            <w:col w:w="5020"/>
          </w:cols>
          <w:pgMar w:left="320" w:top="225" w:right="339" w:bottom="1440" w:gutter="0" w:footer="0" w:header="0"/>
          <w:type w:val="continuous"/>
        </w:sect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225" w:right="339" w:bottom="1440" w:gutter="0" w:footer="0" w:header="0"/>
          <w:type w:val="continuous"/>
        </w:sectPr>
      </w:pPr>
    </w:p>
    <w:p>
      <w:pPr>
        <w:spacing w:after="0" w:line="177" w:lineRule="exact"/>
        <w:rPr>
          <w:sz w:val="24"/>
          <w:szCs w:val="24"/>
          <w:color w:val="auto"/>
        </w:rPr>
      </w:pPr>
    </w:p>
    <w:p>
      <w:pPr>
        <w:ind w:firstLine="74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ind w:left="760" w:right="188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Number of shares of the registrant’s common shares outstanding at May 4, 2026: 26,503,871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6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0"/>
        </w:trPr>
        <w:tc>
          <w:tcPr>
            <w:tcW w:w="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20" w:type="dxa"/>
            <w:vAlign w:val="bottom"/>
            <w:gridSpan w:val="9"/>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PALOMAR HOLDINGS, INC.</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20" w:type="dxa"/>
            <w:vAlign w:val="bottom"/>
            <w:gridSpan w:val="9"/>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10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7340" w:type="dxa"/>
            <w:vAlign w:val="bottom"/>
            <w:gridSpan w:val="10"/>
            <w:vMerge w:val="restart"/>
          </w:tcPr>
          <w:p>
            <w:pPr>
              <w:spacing w:after="0"/>
              <w:rPr>
                <w:sz w:val="24"/>
                <w:szCs w:val="24"/>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100" w:type="dxa"/>
            <w:vAlign w:val="bottom"/>
            <w:tcBorders>
              <w:bottom w:val="single" w:sz="8" w:color="0000EE"/>
            </w:tcBorders>
            <w:gridSpan w:val="14"/>
            <w:vMerge w:val="continue"/>
          </w:tcPr>
          <w:p>
            <w:pPr>
              <w:spacing w:after="0"/>
              <w:rPr>
                <w:sz w:val="13"/>
                <w:szCs w:val="13"/>
                <w:color w:val="auto"/>
              </w:rPr>
            </w:pPr>
          </w:p>
        </w:tc>
        <w:tc>
          <w:tcPr>
            <w:tcW w:w="7340" w:type="dxa"/>
            <w:vAlign w:val="bottom"/>
            <w:gridSpan w:val="10"/>
            <w:vMerge w:val="continue"/>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8140" w:type="dxa"/>
            <w:vAlign w:val="bottom"/>
            <w:gridSpan w:val="14"/>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40" w:type="dxa"/>
            <w:vAlign w:val="bottom"/>
            <w:gridSpan w:val="23"/>
          </w:tcPr>
          <w:p>
            <w:pPr>
              <w:spacing w:after="0" w:line="169" w:lineRule="exact"/>
              <w:rPr>
                <w:sz w:val="20"/>
                <w:szCs w:val="20"/>
                <w:color w:val="auto"/>
              </w:rPr>
            </w:pPr>
            <w:r>
              <w:rPr>
                <w:rFonts w:ascii="Times New Roman" w:cs="Times New Roman" w:eastAsia="Times New Roman" w:hAnsi="Times New Roman"/>
                <w:sz w:val="18"/>
                <w:szCs w:val="18"/>
                <w:color w:val="0000FF"/>
              </w:rPr>
              <w:t>Condensed Consolidated Balance Sheets at March 31, 2026 (Unaudited) and December 31, 2025</w:t>
            </w: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960" w:type="dxa"/>
            <w:vAlign w:val="bottom"/>
            <w:tcBorders>
              <w:top w:val="single" w:sz="8" w:color="0000EE"/>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Condensed Consolidated Statements of Income and Comprehensive Income (Loss) (Unaudited)</w:t>
            </w:r>
          </w:p>
        </w:tc>
        <w:tc>
          <w:tcPr>
            <w:tcW w:w="268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for the Three Months Ended March</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Borders>
              <w:top w:val="single" w:sz="8" w:color="0000EE"/>
              <w:bottom w:val="single" w:sz="8" w:color="0000EE"/>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31, 2026 and 2025</w:t>
            </w:r>
          </w:p>
        </w:tc>
        <w:tc>
          <w:tcPr>
            <w:tcW w:w="8140" w:type="dxa"/>
            <w:vAlign w:val="bottom"/>
            <w:tcBorders>
              <w:top w:val="single" w:sz="8" w:color="0000EE"/>
            </w:tcBorders>
            <w:gridSpan w:val="14"/>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40" w:type="dxa"/>
            <w:vAlign w:val="bottom"/>
            <w:gridSpan w:val="23"/>
          </w:tcPr>
          <w:p>
            <w:pPr>
              <w:spacing w:after="0" w:line="169"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(Unaudited) for the Three Months Ended March 31, 2026</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60" w:type="dxa"/>
            <w:vAlign w:val="bottom"/>
            <w:tcBorders>
              <w:top w:val="single" w:sz="8" w:color="0000EE"/>
            </w:tcBorders>
            <w:gridSpan w:val="21"/>
          </w:tcPr>
          <w:p>
            <w:pPr>
              <w:spacing w:after="0" w:line="169" w:lineRule="exact"/>
              <w:rPr>
                <w:sz w:val="20"/>
                <w:szCs w:val="20"/>
                <w:color w:val="auto"/>
              </w:rPr>
            </w:pPr>
            <w:r>
              <w:rPr>
                <w:rFonts w:ascii="Times New Roman" w:cs="Times New Roman" w:eastAsia="Times New Roman" w:hAnsi="Times New Roman"/>
                <w:sz w:val="18"/>
                <w:szCs w:val="18"/>
                <w:color w:val="0000FF"/>
              </w:rPr>
              <w:t>and 2025</w:t>
            </w:r>
          </w:p>
        </w:tc>
        <w:tc>
          <w:tcPr>
            <w:tcW w:w="180" w:type="dxa"/>
            <w:vAlign w:val="bottom"/>
            <w:gridSpan w:val="2"/>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Borders>
              <w:top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79"/>
              </w:rPr>
              <w:t>Condensed</w:t>
            </w:r>
          </w:p>
        </w:tc>
        <w:tc>
          <w:tcPr>
            <w:tcW w:w="100" w:type="dxa"/>
            <w:vAlign w:val="bottom"/>
          </w:tcPr>
          <w:p>
            <w:pPr>
              <w:spacing w:after="0"/>
              <w:rPr>
                <w:sz w:val="14"/>
                <w:szCs w:val="14"/>
                <w:color w:val="auto"/>
              </w:rPr>
            </w:pPr>
          </w:p>
        </w:tc>
        <w:tc>
          <w:tcPr>
            <w:tcW w:w="8880" w:type="dxa"/>
            <w:vAlign w:val="bottom"/>
            <w:gridSpan w:val="19"/>
          </w:tcPr>
          <w:p>
            <w:pPr>
              <w:ind w:left="80"/>
              <w:spacing w:after="0" w:line="169" w:lineRule="exact"/>
              <w:rPr>
                <w:sz w:val="20"/>
                <w:szCs w:val="20"/>
                <w:color w:val="auto"/>
              </w:rPr>
            </w:pPr>
            <w:r>
              <w:rPr>
                <w:rFonts w:ascii="Times New Roman" w:cs="Times New Roman" w:eastAsia="Times New Roman" w:hAnsi="Times New Roman"/>
                <w:sz w:val="18"/>
                <w:szCs w:val="18"/>
                <w:color w:val="0000FF"/>
              </w:rPr>
              <w:t>Consolidated Statements of Cash Flows (Unaudited) for the Three Months Ended March 31, 2026 and 2025</w:t>
            </w: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0" w:type="dxa"/>
            <w:vAlign w:val="bottom"/>
            <w:tcBorders>
              <w:top w:val="single" w:sz="8" w:color="0000EE"/>
            </w:tcBorders>
            <w:gridSpan w:val="20"/>
          </w:tcPr>
          <w:p>
            <w:pPr>
              <w:spacing w:after="0" w:line="169"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040" w:type="dxa"/>
            <w:vAlign w:val="bottom"/>
            <w:gridSpan w:val="3"/>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Item 2.</w:t>
            </w:r>
          </w:p>
        </w:tc>
        <w:tc>
          <w:tcPr>
            <w:tcW w:w="4900" w:type="dxa"/>
            <w:vAlign w:val="bottom"/>
            <w:tcBorders>
              <w:top w:val="single" w:sz="8" w:color="0000EE"/>
            </w:tcBorders>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w:t>
            </w:r>
          </w:p>
        </w:tc>
        <w:tc>
          <w:tcPr>
            <w:tcW w:w="474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Results of Operations</w:t>
            </w: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23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EE"/>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180" w:type="dxa"/>
            <w:vAlign w:val="bottom"/>
            <w:gridSpan w:val="5"/>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41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tcBorders>
              <w:top w:val="single" w:sz="8" w:color="0000EE"/>
            </w:tcBorders>
            <w:gridSpan w:val="5"/>
          </w:tcPr>
          <w:p>
            <w:pPr>
              <w:spacing w:after="0"/>
              <w:rPr>
                <w:sz w:val="14"/>
                <w:szCs w:val="14"/>
                <w:color w:val="auto"/>
              </w:rPr>
            </w:pPr>
          </w:p>
        </w:tc>
        <w:tc>
          <w:tcPr>
            <w:tcW w:w="5280" w:type="dxa"/>
            <w:vAlign w:val="bottom"/>
            <w:gridSpan w:val="7"/>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41</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28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7640" w:type="dxa"/>
            <w:vAlign w:val="bottom"/>
            <w:gridSpan w:val="11"/>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0000EE"/>
              </w:rPr>
              <w:t>42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EE"/>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Risk Factors</w:t>
            </w:r>
          </w:p>
        </w:tc>
        <w:tc>
          <w:tcPr>
            <w:tcW w:w="440" w:type="dxa"/>
            <w:vAlign w:val="bottom"/>
            <w:gridSpan w:val="3"/>
          </w:tcPr>
          <w:p>
            <w:pPr>
              <w:spacing w:after="0"/>
              <w:rPr>
                <w:sz w:val="14"/>
                <w:szCs w:val="14"/>
                <w:color w:val="auto"/>
              </w:rPr>
            </w:pPr>
          </w:p>
        </w:tc>
        <w:tc>
          <w:tcPr>
            <w:tcW w:w="560" w:type="dxa"/>
            <w:vAlign w:val="bottom"/>
            <w:gridSpan w:val="4"/>
          </w:tcPr>
          <w:p>
            <w:pPr>
              <w:spacing w:after="0"/>
              <w:rPr>
                <w:sz w:val="14"/>
                <w:szCs w:val="14"/>
                <w:color w:val="auto"/>
              </w:rPr>
            </w:pPr>
          </w:p>
        </w:tc>
        <w:tc>
          <w:tcPr>
            <w:tcW w:w="2020" w:type="dxa"/>
            <w:vAlign w:val="bottom"/>
          </w:tcPr>
          <w:p>
            <w:pPr>
              <w:spacing w:after="0"/>
              <w:rPr>
                <w:sz w:val="14"/>
                <w:szCs w:val="14"/>
                <w:color w:val="auto"/>
              </w:rPr>
            </w:pPr>
          </w:p>
        </w:tc>
        <w:tc>
          <w:tcPr>
            <w:tcW w:w="5300" w:type="dxa"/>
            <w:vAlign w:val="bottom"/>
            <w:gridSpan w:val="8"/>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42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Item 2.</w:t>
            </w:r>
          </w:p>
        </w:tc>
        <w:tc>
          <w:tcPr>
            <w:tcW w:w="900" w:type="dxa"/>
            <w:vAlign w:val="bottom"/>
            <w:tcBorders>
              <w:top w:val="single" w:sz="8" w:color="0000EE"/>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4"/>
              </w:rPr>
              <w:t>Unregistered</w:t>
            </w:r>
          </w:p>
        </w:tc>
        <w:tc>
          <w:tcPr>
            <w:tcW w:w="8740" w:type="dxa"/>
            <w:vAlign w:val="bottom"/>
            <w:gridSpan w:val="18"/>
          </w:tcPr>
          <w:p>
            <w:pPr>
              <w:ind w:left="60"/>
              <w:spacing w:after="0" w:line="169"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64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300" w:type="dxa"/>
            <w:vAlign w:val="bottom"/>
            <w:gridSpan w:val="8"/>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64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Mine Safety Disclosures</w:t>
            </w:r>
          </w:p>
        </w:tc>
        <w:tc>
          <w:tcPr>
            <w:tcW w:w="7320" w:type="dxa"/>
            <w:vAlign w:val="bottom"/>
            <w:gridSpan w:val="9"/>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64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Other Information</w:t>
            </w:r>
          </w:p>
        </w:tc>
        <w:tc>
          <w:tcPr>
            <w:tcW w:w="7880" w:type="dxa"/>
            <w:vAlign w:val="bottom"/>
            <w:gridSpan w:val="13"/>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64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Exhibits</w:t>
            </w:r>
          </w:p>
        </w:tc>
        <w:tc>
          <w:tcPr>
            <w:tcW w:w="8340" w:type="dxa"/>
            <w:vAlign w:val="bottom"/>
            <w:gridSpan w:val="17"/>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65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Borders>
              <w:top w:val="single" w:sz="8" w:color="0000EE"/>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76"/>
              </w:rPr>
              <w:t>Signatures</w:t>
            </w:r>
          </w:p>
        </w:tc>
        <w:tc>
          <w:tcPr>
            <w:tcW w:w="160" w:type="dxa"/>
            <w:vAlign w:val="bottom"/>
            <w:tcBorders>
              <w:bottom w:val="single" w:sz="8" w:color="0000EE"/>
            </w:tcBorders>
            <w:gridSpan w:val="2"/>
          </w:tcPr>
          <w:p>
            <w:pPr>
              <w:spacing w:after="0"/>
              <w:rPr>
                <w:sz w:val="14"/>
                <w:szCs w:val="14"/>
                <w:color w:val="auto"/>
              </w:rPr>
            </w:pPr>
          </w:p>
        </w:tc>
        <w:tc>
          <w:tcPr>
            <w:tcW w:w="8880" w:type="dxa"/>
            <w:vAlign w:val="bottom"/>
            <w:gridSpan w:val="19"/>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66</w:t>
            </w: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900" w:type="dxa"/>
            <w:vAlign w:val="bottom"/>
            <w:gridSpan w:val="17"/>
          </w:tcPr>
          <w:p>
            <w:pPr>
              <w:jc w:val="center"/>
              <w:ind w:left="4610"/>
              <w:spacing w:after="0"/>
              <w:rPr>
                <w:sz w:val="20"/>
                <w:szCs w:val="20"/>
                <w:color w:val="auto"/>
              </w:rPr>
            </w:pPr>
            <w:r>
              <w:rPr>
                <w:rFonts w:ascii="Times New Roman" w:cs="Times New Roman" w:eastAsia="Times New Roman" w:hAnsi="Times New Roman"/>
                <w:sz w:val="18"/>
                <w:szCs w:val="18"/>
                <w:color w:val="auto"/>
                <w:w w:val="88"/>
              </w:rPr>
              <w:t>2</w:t>
            </w: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9"/>
              </w:rPr>
              <w:t>Table of Contents</w:t>
            </w:r>
          </w:p>
        </w:tc>
        <w:tc>
          <w:tcPr>
            <w:tcW w:w="6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889"/>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8"/>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92"/>
        </w:trPr>
        <w:tc>
          <w:tcPr>
            <w:tcW w:w="1380" w:type="dxa"/>
            <w:vAlign w:val="bottom"/>
          </w:tcPr>
          <w:p>
            <w:pPr>
              <w:spacing w:after="0"/>
              <w:rPr>
                <w:sz w:val="24"/>
                <w:szCs w:val="24"/>
                <w:color w:val="auto"/>
              </w:rPr>
            </w:pPr>
          </w:p>
        </w:tc>
        <w:tc>
          <w:tcPr>
            <w:tcW w:w="636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10"/>
        </w:trPr>
        <w:tc>
          <w:tcPr>
            <w:tcW w:w="1380" w:type="dxa"/>
            <w:vAlign w:val="bottom"/>
          </w:tcPr>
          <w:p>
            <w:pPr>
              <w:spacing w:after="0"/>
              <w:rPr>
                <w:sz w:val="24"/>
                <w:szCs w:val="24"/>
                <w:color w:val="auto"/>
              </w:rPr>
            </w:pPr>
          </w:p>
        </w:tc>
        <w:tc>
          <w:tcPr>
            <w:tcW w:w="636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24"/>
        </w:trPr>
        <w:tc>
          <w:tcPr>
            <w:tcW w:w="1380" w:type="dxa"/>
            <w:vAlign w:val="bottom"/>
          </w:tcPr>
          <w:p>
            <w:pPr>
              <w:spacing w:after="0"/>
              <w:rPr>
                <w:sz w:val="24"/>
                <w:szCs w:val="24"/>
                <w:color w:val="auto"/>
              </w:rPr>
            </w:pPr>
          </w:p>
        </w:tc>
        <w:tc>
          <w:tcPr>
            <w:tcW w:w="636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shares and par value data)</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42"/>
        </w:trPr>
        <w:tc>
          <w:tcPr>
            <w:tcW w:w="138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5"/>
        </w:trPr>
        <w:tc>
          <w:tcPr>
            <w:tcW w:w="138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83"/>
        </w:trPr>
        <w:tc>
          <w:tcPr>
            <w:tcW w:w="138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center"/>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9"/>
        </w:trPr>
        <w:tc>
          <w:tcPr>
            <w:tcW w:w="77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r>
      <w:tr>
        <w:trPr>
          <w:trHeight w:val="189"/>
        </w:trPr>
        <w:tc>
          <w:tcPr>
            <w:tcW w:w="77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57"/>
        </w:trPr>
        <w:tc>
          <w:tcPr>
            <w:tcW w:w="7740" w:type="dxa"/>
            <w:vAlign w:val="bottom"/>
            <w:gridSpan w:val="2"/>
            <w:shd w:val="clear" w:color="auto" w:fill="CFF0FC"/>
          </w:tcPr>
          <w:p>
            <w:pPr>
              <w:ind w:left="140"/>
              <w:spacing w:after="0" w:line="157" w:lineRule="exact"/>
              <w:rPr>
                <w:sz w:val="20"/>
                <w:szCs w:val="20"/>
                <w:color w:val="auto"/>
              </w:rPr>
            </w:pPr>
            <w:r>
              <w:rPr>
                <w:rFonts w:ascii="Times New Roman" w:cs="Times New Roman" w:eastAsia="Times New Roman" w:hAnsi="Times New Roman"/>
                <w:sz w:val="18"/>
                <w:szCs w:val="18"/>
                <w:color w:val="auto"/>
              </w:rPr>
              <w:t>Fixed maturity securities available for sale, at fair value (amortized cost: $1,431,434 in 2026;</w:t>
            </w:r>
          </w:p>
        </w:tc>
        <w:tc>
          <w:tcPr>
            <w:tcW w:w="20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r>
      <w:tr>
        <w:trPr>
          <w:trHeight w:val="221"/>
        </w:trPr>
        <w:tc>
          <w:tcPr>
            <w:tcW w:w="7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$1,227,605 in 2025)</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1,409,717</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1,224,187</w:t>
            </w:r>
          </w:p>
        </w:tc>
      </w:tr>
      <w:tr>
        <w:trPr>
          <w:trHeight w:val="189"/>
        </w:trPr>
        <w:tc>
          <w:tcPr>
            <w:tcW w:w="77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Equity securities, at fair value (cost: $98,838 in 2026; $81,772 in 2025)</w:t>
            </w:r>
          </w:p>
        </w:tc>
        <w:tc>
          <w:tcPr>
            <w:tcW w:w="200" w:type="dxa"/>
            <w:vAlign w:val="bottom"/>
          </w:tcPr>
          <w:p>
            <w:pPr>
              <w:spacing w:after="0"/>
              <w:rPr>
                <w:sz w:val="16"/>
                <w:szCs w:val="16"/>
                <w:color w:val="auto"/>
              </w:rPr>
            </w:pPr>
          </w:p>
        </w:tc>
        <w:tc>
          <w:tcPr>
            <w:tcW w:w="14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112,339</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99,333</w:t>
            </w:r>
          </w:p>
        </w:tc>
      </w:tr>
      <w:tr>
        <w:trPr>
          <w:trHeight w:val="189"/>
        </w:trPr>
        <w:tc>
          <w:tcPr>
            <w:tcW w:w="7740" w:type="dxa"/>
            <w:vAlign w:val="bottom"/>
            <w:tcBorders>
              <w:bottom w:val="single" w:sz="8" w:color="CFF0FC"/>
            </w:tcBorders>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Other investments</w:t>
            </w:r>
          </w:p>
        </w:tc>
        <w:tc>
          <w:tcPr>
            <w:tcW w:w="2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40,410</w:t>
            </w:r>
          </w:p>
        </w:tc>
        <w:tc>
          <w:tcPr>
            <w:tcW w:w="1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28,503</w:t>
            </w:r>
          </w:p>
        </w:tc>
      </w:tr>
      <w:tr>
        <w:trPr>
          <w:trHeight w:val="183"/>
        </w:trPr>
        <w:tc>
          <w:tcPr>
            <w:tcW w:w="77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Pr>
          <w:p>
            <w:pPr>
              <w:spacing w:after="0"/>
              <w:rPr>
                <w:sz w:val="15"/>
                <w:szCs w:val="15"/>
                <w:color w:val="auto"/>
              </w:rPr>
            </w:pPr>
          </w:p>
        </w:tc>
        <w:tc>
          <w:tcPr>
            <w:tcW w:w="14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1,562,466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1,352,023</w:t>
            </w:r>
          </w:p>
        </w:tc>
      </w:tr>
      <w:tr>
        <w:trPr>
          <w:trHeight w:val="189"/>
        </w:trPr>
        <w:tc>
          <w:tcPr>
            <w:tcW w:w="774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56,538</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106,875</w:t>
            </w:r>
          </w:p>
        </w:tc>
      </w:tr>
      <w:tr>
        <w:trPr>
          <w:trHeight w:val="189"/>
        </w:trPr>
        <w:tc>
          <w:tcPr>
            <w:tcW w:w="77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6"/>
                <w:szCs w:val="16"/>
                <w:color w:val="auto"/>
              </w:rPr>
            </w:pPr>
          </w:p>
        </w:tc>
        <w:tc>
          <w:tcPr>
            <w:tcW w:w="14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w:t>
            </w:r>
          </w:p>
        </w:tc>
      </w:tr>
      <w:tr>
        <w:trPr>
          <w:trHeight w:val="189"/>
        </w:trPr>
        <w:tc>
          <w:tcPr>
            <w:tcW w:w="774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Accrued investment income</w:t>
            </w: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12,828</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11,545</w:t>
            </w:r>
          </w:p>
        </w:tc>
      </w:tr>
      <w:tr>
        <w:trPr>
          <w:trHeight w:val="189"/>
        </w:trPr>
        <w:tc>
          <w:tcPr>
            <w:tcW w:w="77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Premiums receivable</w:t>
            </w:r>
          </w:p>
        </w:tc>
        <w:tc>
          <w:tcPr>
            <w:tcW w:w="200" w:type="dxa"/>
            <w:vAlign w:val="bottom"/>
          </w:tcPr>
          <w:p>
            <w:pPr>
              <w:spacing w:after="0"/>
              <w:rPr>
                <w:sz w:val="16"/>
                <w:szCs w:val="16"/>
                <w:color w:val="auto"/>
              </w:rPr>
            </w:pPr>
          </w:p>
        </w:tc>
        <w:tc>
          <w:tcPr>
            <w:tcW w:w="14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577,742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452,908</w:t>
            </w:r>
          </w:p>
        </w:tc>
      </w:tr>
      <w:tr>
        <w:trPr>
          <w:trHeight w:val="189"/>
        </w:trPr>
        <w:tc>
          <w:tcPr>
            <w:tcW w:w="774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Deferred policy acquisition costs, net of ceding commissions and fronting fees</w:t>
            </w: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141,602</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127,718</w:t>
            </w:r>
          </w:p>
        </w:tc>
      </w:tr>
      <w:tr>
        <w:trPr>
          <w:trHeight w:val="189"/>
        </w:trPr>
        <w:tc>
          <w:tcPr>
            <w:tcW w:w="77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Reinsurance recoverable on paid losses and loss adjustment expenses</w:t>
            </w:r>
          </w:p>
        </w:tc>
        <w:tc>
          <w:tcPr>
            <w:tcW w:w="200" w:type="dxa"/>
            <w:vAlign w:val="bottom"/>
          </w:tcPr>
          <w:p>
            <w:pPr>
              <w:spacing w:after="0"/>
              <w:rPr>
                <w:sz w:val="16"/>
                <w:szCs w:val="16"/>
                <w:color w:val="auto"/>
              </w:rPr>
            </w:pPr>
          </w:p>
        </w:tc>
        <w:tc>
          <w:tcPr>
            <w:tcW w:w="14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57,443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56,428</w:t>
            </w:r>
          </w:p>
        </w:tc>
      </w:tr>
      <w:tr>
        <w:trPr>
          <w:trHeight w:val="189"/>
        </w:trPr>
        <w:tc>
          <w:tcPr>
            <w:tcW w:w="774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Reinsurance recoverable on unpaid losses and loss adjustment expenses</w:t>
            </w: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430,782</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412,273</w:t>
            </w:r>
          </w:p>
        </w:tc>
      </w:tr>
      <w:tr>
        <w:trPr>
          <w:trHeight w:val="189"/>
        </w:trPr>
        <w:tc>
          <w:tcPr>
            <w:tcW w:w="77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Ceded unearned premiums</w:t>
            </w:r>
          </w:p>
        </w:tc>
        <w:tc>
          <w:tcPr>
            <w:tcW w:w="200" w:type="dxa"/>
            <w:vAlign w:val="bottom"/>
          </w:tcPr>
          <w:p>
            <w:pPr>
              <w:spacing w:after="0"/>
              <w:rPr>
                <w:sz w:val="16"/>
                <w:szCs w:val="16"/>
                <w:color w:val="auto"/>
              </w:rPr>
            </w:pPr>
          </w:p>
        </w:tc>
        <w:tc>
          <w:tcPr>
            <w:tcW w:w="14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406,077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355,918</w:t>
            </w:r>
          </w:p>
        </w:tc>
      </w:tr>
      <w:tr>
        <w:trPr>
          <w:trHeight w:val="189"/>
        </w:trPr>
        <w:tc>
          <w:tcPr>
            <w:tcW w:w="774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118,368</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110,896</w:t>
            </w:r>
          </w:p>
        </w:tc>
      </w:tr>
      <w:tr>
        <w:trPr>
          <w:trHeight w:val="189"/>
        </w:trPr>
        <w:tc>
          <w:tcPr>
            <w:tcW w:w="77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Deferred tax assets, net</w:t>
            </w:r>
          </w:p>
        </w:tc>
        <w:tc>
          <w:tcPr>
            <w:tcW w:w="200" w:type="dxa"/>
            <w:vAlign w:val="bottom"/>
          </w:tcPr>
          <w:p>
            <w:pPr>
              <w:spacing w:after="0"/>
              <w:rPr>
                <w:sz w:val="16"/>
                <w:szCs w:val="16"/>
                <w:color w:val="auto"/>
              </w:rPr>
            </w:pPr>
          </w:p>
        </w:tc>
        <w:tc>
          <w:tcPr>
            <w:tcW w:w="14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761</w:t>
            </w:r>
          </w:p>
        </w:tc>
      </w:tr>
      <w:tr>
        <w:trPr>
          <w:trHeight w:val="189"/>
        </w:trPr>
        <w:tc>
          <w:tcPr>
            <w:tcW w:w="774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2,297</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2,551</w:t>
            </w:r>
          </w:p>
        </w:tc>
      </w:tr>
      <w:tr>
        <w:trPr>
          <w:trHeight w:val="189"/>
        </w:trPr>
        <w:tc>
          <w:tcPr>
            <w:tcW w:w="77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Goodwill and intangible assets, net</w:t>
            </w: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246,172</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61,054</w:t>
            </w:r>
          </w:p>
        </w:tc>
      </w:tr>
      <w:tr>
        <w:trPr>
          <w:trHeight w:val="223"/>
        </w:trPr>
        <w:tc>
          <w:tcPr>
            <w:tcW w:w="774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3,612,331</w:t>
            </w:r>
          </w:p>
        </w:tc>
        <w:tc>
          <w:tcPr>
            <w:tcW w:w="340" w:type="dxa"/>
            <w:vAlign w:val="bottom"/>
            <w:gridSpan w:val="2"/>
            <w:shd w:val="clear" w:color="auto" w:fill="CFF0FC"/>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3,050,967</w:t>
            </w:r>
          </w:p>
        </w:tc>
      </w:tr>
      <w:tr>
        <w:trPr>
          <w:trHeight w:val="170"/>
        </w:trPr>
        <w:tc>
          <w:tcPr>
            <w:tcW w:w="7740" w:type="dxa"/>
            <w:vAlign w:val="bottom"/>
            <w:tcBorders>
              <w:top w:val="single" w:sz="8" w:color="CFF0FC"/>
            </w:tcBorders>
            <w:gridSpan w:val="2"/>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r>
      <w:tr>
        <w:trPr>
          <w:trHeight w:val="189"/>
        </w:trPr>
        <w:tc>
          <w:tcPr>
            <w:tcW w:w="77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r>
      <w:tr>
        <w:trPr>
          <w:trHeight w:val="189"/>
        </w:trPr>
        <w:tc>
          <w:tcPr>
            <w:tcW w:w="77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0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114,458</w:t>
            </w:r>
          </w:p>
        </w:tc>
        <w:tc>
          <w:tcPr>
            <w:tcW w:w="3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115,663</w:t>
            </w:r>
          </w:p>
        </w:tc>
      </w:tr>
      <w:tr>
        <w:trPr>
          <w:trHeight w:val="189"/>
        </w:trPr>
        <w:tc>
          <w:tcPr>
            <w:tcW w:w="774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771,798</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688,231</w:t>
            </w:r>
          </w:p>
        </w:tc>
      </w:tr>
      <w:tr>
        <w:trPr>
          <w:trHeight w:val="189"/>
        </w:trPr>
        <w:tc>
          <w:tcPr>
            <w:tcW w:w="77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Unearned premiums</w:t>
            </w:r>
          </w:p>
        </w:tc>
        <w:tc>
          <w:tcPr>
            <w:tcW w:w="200" w:type="dxa"/>
            <w:vAlign w:val="bottom"/>
          </w:tcPr>
          <w:p>
            <w:pPr>
              <w:spacing w:after="0"/>
              <w:rPr>
                <w:sz w:val="16"/>
                <w:szCs w:val="16"/>
                <w:color w:val="auto"/>
              </w:rPr>
            </w:pPr>
          </w:p>
        </w:tc>
        <w:tc>
          <w:tcPr>
            <w:tcW w:w="14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1,148,508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988,143</w:t>
            </w:r>
          </w:p>
        </w:tc>
      </w:tr>
      <w:tr>
        <w:trPr>
          <w:trHeight w:val="189"/>
        </w:trPr>
        <w:tc>
          <w:tcPr>
            <w:tcW w:w="774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Ceded premium payable</w:t>
            </w: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264,217</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271,413</w:t>
            </w:r>
          </w:p>
        </w:tc>
      </w:tr>
      <w:tr>
        <w:trPr>
          <w:trHeight w:val="189"/>
        </w:trPr>
        <w:tc>
          <w:tcPr>
            <w:tcW w:w="77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Funds held under reinsurance treaty</w:t>
            </w:r>
          </w:p>
        </w:tc>
        <w:tc>
          <w:tcPr>
            <w:tcW w:w="200" w:type="dxa"/>
            <w:vAlign w:val="bottom"/>
          </w:tcPr>
          <w:p>
            <w:pPr>
              <w:spacing w:after="0"/>
              <w:rPr>
                <w:sz w:val="16"/>
                <w:szCs w:val="16"/>
                <w:color w:val="auto"/>
              </w:rPr>
            </w:pPr>
          </w:p>
        </w:tc>
        <w:tc>
          <w:tcPr>
            <w:tcW w:w="14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40,189</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44,850</w:t>
            </w:r>
          </w:p>
        </w:tc>
      </w:tr>
      <w:tr>
        <w:trPr>
          <w:trHeight w:val="189"/>
        </w:trPr>
        <w:tc>
          <w:tcPr>
            <w:tcW w:w="774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5,852</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77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Term loan</w:t>
            </w:r>
          </w:p>
        </w:tc>
        <w:tc>
          <w:tcPr>
            <w:tcW w:w="200" w:type="dxa"/>
            <w:vAlign w:val="bottom"/>
          </w:tcPr>
          <w:p>
            <w:pPr>
              <w:spacing w:after="0"/>
              <w:rPr>
                <w:sz w:val="16"/>
                <w:szCs w:val="16"/>
                <w:color w:val="auto"/>
              </w:rPr>
            </w:pPr>
          </w:p>
        </w:tc>
        <w:tc>
          <w:tcPr>
            <w:tcW w:w="14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297,434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7740" w:type="dxa"/>
            <w:vAlign w:val="bottom"/>
            <w:tcBorders>
              <w:bottom w:val="single" w:sz="8" w:color="CFF0FC"/>
            </w:tcBorders>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Deferred tax liabilities, net</w:t>
            </w:r>
          </w:p>
        </w:tc>
        <w:tc>
          <w:tcPr>
            <w:tcW w:w="2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10,836</w:t>
            </w:r>
          </w:p>
        </w:tc>
        <w:tc>
          <w:tcPr>
            <w:tcW w:w="1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77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5"/>
                <w:szCs w:val="15"/>
                <w:color w:val="auto"/>
              </w:rPr>
            </w:pPr>
          </w:p>
        </w:tc>
        <w:tc>
          <w:tcPr>
            <w:tcW w:w="14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2,653,292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2,108,300</w:t>
            </w:r>
          </w:p>
        </w:tc>
      </w:tr>
      <w:tr>
        <w:trPr>
          <w:trHeight w:val="189"/>
        </w:trPr>
        <w:tc>
          <w:tcPr>
            <w:tcW w:w="77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r>
      <w:tr>
        <w:trPr>
          <w:trHeight w:val="157"/>
        </w:trPr>
        <w:tc>
          <w:tcPr>
            <w:tcW w:w="7740" w:type="dxa"/>
            <w:vAlign w:val="bottom"/>
            <w:gridSpan w:val="2"/>
          </w:tcPr>
          <w:p>
            <w:pPr>
              <w:ind w:left="140"/>
              <w:spacing w:after="0" w:line="157" w:lineRule="exact"/>
              <w:rPr>
                <w:sz w:val="20"/>
                <w:szCs w:val="20"/>
                <w:color w:val="auto"/>
              </w:rPr>
            </w:pPr>
            <w:r>
              <w:rPr>
                <w:rFonts w:ascii="Times New Roman" w:cs="Times New Roman" w:eastAsia="Times New Roman" w:hAnsi="Times New Roman"/>
                <w:sz w:val="18"/>
                <w:szCs w:val="18"/>
                <w:color w:val="auto"/>
              </w:rPr>
              <w:t>Preferred stock, $0.0001 par value, 5,000,000 shares authorized, 0 shares issued and outstanding as of</w:t>
            </w: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221"/>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March 31, 2026 and December 31, 2025</w:t>
            </w:r>
          </w:p>
        </w:tc>
        <w:tc>
          <w:tcPr>
            <w:tcW w:w="20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7740" w:type="dxa"/>
            <w:vAlign w:val="bottom"/>
            <w:gridSpan w:val="2"/>
            <w:shd w:val="clear" w:color="auto" w:fill="CFF0FC"/>
          </w:tcPr>
          <w:p>
            <w:pPr>
              <w:ind w:left="140"/>
              <w:spacing w:after="0" w:line="157" w:lineRule="exact"/>
              <w:rPr>
                <w:sz w:val="20"/>
                <w:szCs w:val="20"/>
                <w:color w:val="auto"/>
              </w:rPr>
            </w:pPr>
            <w:r>
              <w:rPr>
                <w:rFonts w:ascii="Times New Roman" w:cs="Times New Roman" w:eastAsia="Times New Roman" w:hAnsi="Times New Roman"/>
                <w:sz w:val="18"/>
                <w:szCs w:val="18"/>
                <w:color w:val="auto"/>
              </w:rPr>
              <w:t>Common stock, $0.0001 par value, 500,000,000 shares authorized, 26,514,295 and 26,520,417 shares</w:t>
            </w:r>
          </w:p>
        </w:tc>
        <w:tc>
          <w:tcPr>
            <w:tcW w:w="20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r>
      <w:tr>
        <w:trPr>
          <w:trHeight w:val="221"/>
        </w:trPr>
        <w:tc>
          <w:tcPr>
            <w:tcW w:w="7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issued and outstanding as of March 31, 2026 and December 31, 2025, respectively</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189"/>
        </w:trPr>
        <w:tc>
          <w:tcPr>
            <w:tcW w:w="77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6"/>
                <w:szCs w:val="16"/>
                <w:color w:val="auto"/>
              </w:rPr>
            </w:pPr>
          </w:p>
        </w:tc>
        <w:tc>
          <w:tcPr>
            <w:tcW w:w="14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533,628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523,168</w:t>
            </w:r>
          </w:p>
        </w:tc>
      </w:tr>
      <w:tr>
        <w:trPr>
          <w:trHeight w:val="189"/>
        </w:trPr>
        <w:tc>
          <w:tcPr>
            <w:tcW w:w="774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(16,453)</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(2,506)</w:t>
            </w:r>
          </w:p>
        </w:tc>
      </w:tr>
      <w:tr>
        <w:trPr>
          <w:trHeight w:val="189"/>
        </w:trPr>
        <w:tc>
          <w:tcPr>
            <w:tcW w:w="77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441,861</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422,002</w:t>
            </w:r>
          </w:p>
        </w:tc>
      </w:tr>
      <w:tr>
        <w:trPr>
          <w:trHeight w:val="183"/>
        </w:trPr>
        <w:tc>
          <w:tcPr>
            <w:tcW w:w="7740" w:type="dxa"/>
            <w:vAlign w:val="bottom"/>
            <w:tcBorders>
              <w:bottom w:val="single" w:sz="8" w:color="CFF0FC"/>
            </w:tcBorders>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959,039</w:t>
            </w:r>
          </w:p>
        </w:tc>
        <w:tc>
          <w:tcPr>
            <w:tcW w:w="1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942,667</w:t>
            </w:r>
          </w:p>
        </w:tc>
      </w:tr>
      <w:tr>
        <w:trPr>
          <w:trHeight w:val="183"/>
        </w:trPr>
        <w:tc>
          <w:tcPr>
            <w:tcW w:w="77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3,612,331</w:t>
            </w:r>
          </w:p>
        </w:tc>
        <w:tc>
          <w:tcPr>
            <w:tcW w:w="34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3,050,967</w:t>
            </w:r>
          </w:p>
        </w:tc>
      </w:tr>
      <w:tr>
        <w:trPr>
          <w:trHeight w:val="20"/>
        </w:trPr>
        <w:tc>
          <w:tcPr>
            <w:tcW w:w="13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-4293870</wp:posOffset>
            </wp:positionV>
            <wp:extent cx="111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-2596515</wp:posOffset>
            </wp:positionV>
            <wp:extent cx="111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-2579370</wp:posOffset>
            </wp:positionV>
            <wp:extent cx="111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-1370965</wp:posOffset>
            </wp:positionV>
            <wp:extent cx="111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-153670</wp:posOffset>
            </wp:positionV>
            <wp:extent cx="111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750"/>
        </w:trPr>
        <w:tc>
          <w:tcPr>
            <w:tcW w:w="1380" w:type="dxa"/>
            <w:vAlign w:val="bottom"/>
            <w:tcBorders>
              <w:top w:val="single" w:sz="8" w:color="0000FF"/>
            </w:tcBorders>
          </w:tcPr>
          <w:p>
            <w:pPr>
              <w:spacing w:after="0"/>
              <w:rPr>
                <w:sz w:val="24"/>
                <w:szCs w:val="24"/>
                <w:color w:val="auto"/>
              </w:rPr>
            </w:pPr>
          </w:p>
        </w:tc>
        <w:tc>
          <w:tcPr>
            <w:tcW w:w="612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10"/>
        </w:trPr>
        <w:tc>
          <w:tcPr>
            <w:tcW w:w="1380" w:type="dxa"/>
            <w:vAlign w:val="bottom"/>
          </w:tcPr>
          <w:p>
            <w:pPr>
              <w:spacing w:after="0"/>
              <w:rPr>
                <w:sz w:val="24"/>
                <w:szCs w:val="24"/>
                <w:color w:val="auto"/>
              </w:rPr>
            </w:pPr>
          </w:p>
        </w:tc>
        <w:tc>
          <w:tcPr>
            <w:tcW w:w="792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 and Comprehensive Income (Unaudited)</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11"/>
        </w:trPr>
        <w:tc>
          <w:tcPr>
            <w:tcW w:w="1380" w:type="dxa"/>
            <w:vAlign w:val="bottom"/>
          </w:tcPr>
          <w:p>
            <w:pPr>
              <w:spacing w:after="0"/>
              <w:rPr>
                <w:sz w:val="24"/>
                <w:szCs w:val="24"/>
                <w:color w:val="auto"/>
              </w:rPr>
            </w:pPr>
          </w:p>
        </w:tc>
        <w:tc>
          <w:tcPr>
            <w:tcW w:w="612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shares and per share data)</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4"/>
        </w:trPr>
        <w:tc>
          <w:tcPr>
            <w:tcW w:w="13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40" w:type="dxa"/>
            <w:vAlign w:val="bottom"/>
            <w:gridSpan w:val="4"/>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5"/>
        </w:trPr>
        <w:tc>
          <w:tcPr>
            <w:tcW w:w="138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tcBorders>
              <w:bottom w:val="single" w:sz="8" w:color="auto"/>
            </w:tcBorders>
          </w:tcPr>
          <w:p>
            <w:pPr>
              <w:spacing w:after="0"/>
              <w:rPr>
                <w:sz w:val="19"/>
                <w:szCs w:val="19"/>
                <w:color w:val="auto"/>
              </w:rPr>
            </w:pPr>
          </w:p>
        </w:tc>
      </w:tr>
      <w:tr>
        <w:trPr>
          <w:trHeight w:val="183"/>
        </w:trPr>
        <w:tc>
          <w:tcPr>
            <w:tcW w:w="138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183"/>
        </w:trPr>
        <w:tc>
          <w:tcPr>
            <w:tcW w:w="750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7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Gross written premiums</w:t>
            </w:r>
          </w:p>
        </w:tc>
        <w:tc>
          <w:tcPr>
            <w:tcW w:w="400" w:type="dxa"/>
            <w:vAlign w:val="bottom"/>
            <w:gridSpan w:val="2"/>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629,828</w:t>
            </w:r>
          </w:p>
        </w:tc>
        <w:tc>
          <w:tcPr>
            <w:tcW w:w="620" w:type="dxa"/>
            <w:vAlign w:val="bottom"/>
            <w:gridSpan w:val="2"/>
          </w:tcPr>
          <w:p>
            <w:pPr>
              <w:jc w:val="right"/>
              <w:ind w:right="3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442,163</w:t>
            </w:r>
          </w:p>
        </w:tc>
      </w:tr>
      <w:tr>
        <w:trPr>
          <w:trHeight w:val="189"/>
        </w:trPr>
        <w:tc>
          <w:tcPr>
            <w:tcW w:w="750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Ceded written premiums</w:t>
            </w:r>
          </w:p>
        </w:tc>
        <w:tc>
          <w:tcPr>
            <w:tcW w:w="2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(291,913)</w:t>
            </w:r>
          </w:p>
        </w:tc>
        <w:tc>
          <w:tcPr>
            <w:tcW w:w="20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(230,745)</w:t>
            </w:r>
          </w:p>
        </w:tc>
      </w:tr>
      <w:tr>
        <w:trPr>
          <w:trHeight w:val="183"/>
        </w:trPr>
        <w:tc>
          <w:tcPr>
            <w:tcW w:w="7500" w:type="dxa"/>
            <w:vAlign w:val="bottom"/>
            <w:gridSpan w:val="2"/>
          </w:tcPr>
          <w:p>
            <w:pPr>
              <w:ind w:left="140"/>
              <w:spacing w:after="0" w:line="182" w:lineRule="exact"/>
              <w:rPr>
                <w:sz w:val="20"/>
                <w:szCs w:val="20"/>
                <w:color w:val="auto"/>
              </w:rPr>
            </w:pPr>
            <w:r>
              <w:rPr>
                <w:rFonts w:ascii="Times New Roman" w:cs="Times New Roman" w:eastAsia="Times New Roman" w:hAnsi="Times New Roman"/>
                <w:sz w:val="18"/>
                <w:szCs w:val="18"/>
                <w:color w:val="auto"/>
              </w:rPr>
              <w:t>Net written premiums</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337,915</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211,418</w:t>
            </w:r>
          </w:p>
        </w:tc>
      </w:tr>
      <w:tr>
        <w:trPr>
          <w:trHeight w:val="189"/>
        </w:trPr>
        <w:tc>
          <w:tcPr>
            <w:tcW w:w="750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Change in unearned premiums</w:t>
            </w:r>
          </w:p>
        </w:tc>
        <w:tc>
          <w:tcPr>
            <w:tcW w:w="2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(76,477)</w:t>
            </w:r>
          </w:p>
        </w:tc>
        <w:tc>
          <w:tcPr>
            <w:tcW w:w="20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(47,348)</w:t>
            </w:r>
          </w:p>
        </w:tc>
      </w:tr>
      <w:tr>
        <w:trPr>
          <w:trHeight w:val="183"/>
        </w:trPr>
        <w:tc>
          <w:tcPr>
            <w:tcW w:w="7500" w:type="dxa"/>
            <w:vAlign w:val="bottom"/>
            <w:gridSpan w:val="2"/>
          </w:tcPr>
          <w:p>
            <w:pPr>
              <w:ind w:left="140"/>
              <w:spacing w:after="0" w:line="182" w:lineRule="exact"/>
              <w:rPr>
                <w:sz w:val="20"/>
                <w:szCs w:val="20"/>
                <w:color w:val="auto"/>
              </w:rPr>
            </w:pPr>
            <w:r>
              <w:rPr>
                <w:rFonts w:ascii="Times New Roman" w:cs="Times New Roman" w:eastAsia="Times New Roman" w:hAnsi="Times New Roman"/>
                <w:sz w:val="18"/>
                <w:szCs w:val="18"/>
                <w:color w:val="auto"/>
              </w:rPr>
              <w:t>Net earned premiums</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261,438</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164,070</w:t>
            </w:r>
          </w:p>
        </w:tc>
      </w:tr>
      <w:tr>
        <w:trPr>
          <w:trHeight w:val="189"/>
        </w:trPr>
        <w:tc>
          <w:tcPr>
            <w:tcW w:w="75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investment income</w:t>
            </w:r>
          </w:p>
        </w:tc>
        <w:tc>
          <w:tcPr>
            <w:tcW w:w="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17,984</w:t>
            </w:r>
          </w:p>
        </w:tc>
        <w:tc>
          <w:tcPr>
            <w:tcW w:w="2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12,071</w:t>
            </w:r>
          </w:p>
        </w:tc>
      </w:tr>
      <w:tr>
        <w:trPr>
          <w:trHeight w:val="189"/>
        </w:trPr>
        <w:tc>
          <w:tcPr>
            <w:tcW w:w="7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Net realized and unrealized losses on investments</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(1,894)</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(2,338)</w:t>
            </w:r>
          </w:p>
        </w:tc>
      </w:tr>
      <w:tr>
        <w:trPr>
          <w:trHeight w:val="189"/>
        </w:trPr>
        <w:tc>
          <w:tcPr>
            <w:tcW w:w="750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Commission and other income</w:t>
            </w:r>
          </w:p>
        </w:tc>
        <w:tc>
          <w:tcPr>
            <w:tcW w:w="2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1,410</w:t>
            </w:r>
          </w:p>
        </w:tc>
        <w:tc>
          <w:tcPr>
            <w:tcW w:w="20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830</w:t>
            </w:r>
          </w:p>
        </w:tc>
      </w:tr>
      <w:tr>
        <w:trPr>
          <w:trHeight w:val="183"/>
        </w:trPr>
        <w:tc>
          <w:tcPr>
            <w:tcW w:w="7500" w:type="dxa"/>
            <w:vAlign w:val="bottom"/>
            <w:gridSpan w:val="2"/>
          </w:tcPr>
          <w:p>
            <w:pPr>
              <w:ind w:left="140"/>
              <w:spacing w:after="0" w:line="182" w:lineRule="exact"/>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278,938</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174,633</w:t>
            </w:r>
          </w:p>
        </w:tc>
      </w:tr>
      <w:tr>
        <w:trPr>
          <w:trHeight w:val="189"/>
        </w:trPr>
        <w:tc>
          <w:tcPr>
            <w:tcW w:w="75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Expenses:</w:t>
            </w:r>
          </w:p>
        </w:tc>
        <w:tc>
          <w:tcPr>
            <w:tcW w:w="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189"/>
        </w:trPr>
        <w:tc>
          <w:tcPr>
            <w:tcW w:w="7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Losses and loss adjustment expenses</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87,097</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38,743</w:t>
            </w:r>
          </w:p>
        </w:tc>
      </w:tr>
      <w:tr>
        <w:trPr>
          <w:trHeight w:val="189"/>
        </w:trPr>
        <w:tc>
          <w:tcPr>
            <w:tcW w:w="75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Acquisition expenses, net of ceding commissions and fronting fees</w:t>
            </w:r>
          </w:p>
        </w:tc>
        <w:tc>
          <w:tcPr>
            <w:tcW w:w="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70,315</w:t>
            </w:r>
          </w:p>
        </w:tc>
        <w:tc>
          <w:tcPr>
            <w:tcW w:w="2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46,359</w:t>
            </w:r>
          </w:p>
        </w:tc>
      </w:tr>
      <w:tr>
        <w:trPr>
          <w:trHeight w:val="189"/>
        </w:trPr>
        <w:tc>
          <w:tcPr>
            <w:tcW w:w="7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Other underwriting expenses</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64,907</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35,733</w:t>
            </w:r>
          </w:p>
        </w:tc>
      </w:tr>
      <w:tr>
        <w:trPr>
          <w:trHeight w:val="189"/>
        </w:trPr>
        <w:tc>
          <w:tcPr>
            <w:tcW w:w="750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3,158</w:t>
            </w:r>
          </w:p>
        </w:tc>
        <w:tc>
          <w:tcPr>
            <w:tcW w:w="20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85</w:t>
            </w:r>
          </w:p>
        </w:tc>
      </w:tr>
      <w:tr>
        <w:trPr>
          <w:trHeight w:val="183"/>
        </w:trPr>
        <w:tc>
          <w:tcPr>
            <w:tcW w:w="7500" w:type="dxa"/>
            <w:vAlign w:val="bottom"/>
            <w:gridSpan w:val="2"/>
          </w:tcPr>
          <w:p>
            <w:pPr>
              <w:ind w:left="140"/>
              <w:spacing w:after="0" w:line="182" w:lineRule="exact"/>
              <w:rPr>
                <w:sz w:val="20"/>
                <w:szCs w:val="20"/>
                <w:color w:val="auto"/>
              </w:rPr>
            </w:pPr>
            <w:r>
              <w:rPr>
                <w:rFonts w:ascii="Times New Roman" w:cs="Times New Roman" w:eastAsia="Times New Roman" w:hAnsi="Times New Roman"/>
                <w:sz w:val="18"/>
                <w:szCs w:val="18"/>
                <w:color w:val="auto"/>
              </w:rPr>
              <w:t>Total expenses</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225,477</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120,920</w:t>
            </w:r>
          </w:p>
        </w:tc>
      </w:tr>
      <w:tr>
        <w:trPr>
          <w:trHeight w:val="189"/>
        </w:trPr>
        <w:tc>
          <w:tcPr>
            <w:tcW w:w="750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53,461</w:t>
            </w:r>
          </w:p>
        </w:tc>
        <w:tc>
          <w:tcPr>
            <w:tcW w:w="2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53,713</w:t>
            </w:r>
          </w:p>
        </w:tc>
      </w:tr>
      <w:tr>
        <w:trPr>
          <w:trHeight w:val="189"/>
        </w:trPr>
        <w:tc>
          <w:tcPr>
            <w:tcW w:w="7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10,514</w:t>
            </w:r>
          </w:p>
        </w:tc>
        <w:tc>
          <w:tcPr>
            <w:tcW w:w="2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10,791</w:t>
            </w:r>
          </w:p>
        </w:tc>
      </w:tr>
      <w:tr>
        <w:trPr>
          <w:trHeight w:val="223"/>
        </w:trPr>
        <w:tc>
          <w:tcPr>
            <w:tcW w:w="7500" w:type="dxa"/>
            <w:vAlign w:val="bottom"/>
            <w:gridSpan w:val="2"/>
            <w:shd w:val="clear" w:color="auto" w:fill="CFF0FC"/>
          </w:tcPr>
          <w:p>
            <w:pPr>
              <w:ind w:left="140"/>
              <w:spacing w:after="0" w:line="182" w:lineRule="exact"/>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gridSpan w:val="2"/>
            <w:shd w:val="clear" w:color="auto" w:fill="CFF0FC"/>
          </w:tcPr>
          <w:p>
            <w:pPr>
              <w:jc w:val="right"/>
              <w:ind w:right="2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42,947</w:t>
            </w:r>
          </w:p>
        </w:tc>
        <w:tc>
          <w:tcPr>
            <w:tcW w:w="620" w:type="dxa"/>
            <w:vAlign w:val="bottom"/>
            <w:gridSpan w:val="2"/>
            <w:shd w:val="clear" w:color="auto" w:fill="CFF0FC"/>
          </w:tcPr>
          <w:p>
            <w:pPr>
              <w:jc w:val="right"/>
              <w:ind w:right="3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42,922</w:t>
            </w:r>
          </w:p>
        </w:tc>
      </w:tr>
      <w:tr>
        <w:trPr>
          <w:trHeight w:val="169"/>
        </w:trPr>
        <w:tc>
          <w:tcPr>
            <w:tcW w:w="7500" w:type="dxa"/>
            <w:vAlign w:val="bottom"/>
            <w:tcBorders>
              <w:top w:val="single" w:sz="8" w:color="CFF0FC"/>
            </w:tcBorders>
            <w:gridSpan w:val="2"/>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Other comprehensive income, net:</w:t>
            </w:r>
          </w:p>
        </w:tc>
        <w:tc>
          <w:tcPr>
            <w:tcW w:w="20" w:type="dxa"/>
            <w:vAlign w:val="bottom"/>
            <w:tcBorders>
              <w:top w:val="single" w:sz="8" w:color="CFF0FC"/>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r>
      <w:tr>
        <w:trPr>
          <w:trHeight w:val="189"/>
        </w:trPr>
        <w:tc>
          <w:tcPr>
            <w:tcW w:w="750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unrealized (losses) gains on securities available for sale</w:t>
            </w:r>
          </w:p>
        </w:tc>
        <w:tc>
          <w:tcPr>
            <w:tcW w:w="2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(13,947)</w:t>
            </w:r>
          </w:p>
        </w:tc>
        <w:tc>
          <w:tcPr>
            <w:tcW w:w="20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10,203</w:t>
            </w:r>
          </w:p>
        </w:tc>
      </w:tr>
      <w:tr>
        <w:trPr>
          <w:trHeight w:val="183"/>
        </w:trPr>
        <w:tc>
          <w:tcPr>
            <w:tcW w:w="7500" w:type="dxa"/>
            <w:vAlign w:val="bottom"/>
            <w:gridSpan w:val="2"/>
          </w:tcPr>
          <w:p>
            <w:pPr>
              <w:ind w:left="140"/>
              <w:spacing w:after="0" w:line="182" w:lineRule="exact"/>
              <w:rPr>
                <w:sz w:val="20"/>
                <w:szCs w:val="20"/>
                <w:color w:val="auto"/>
              </w:rPr>
            </w:pPr>
            <w:r>
              <w:rPr>
                <w:rFonts w:ascii="Times New Roman" w:cs="Times New Roman" w:eastAsia="Times New Roman" w:hAnsi="Times New Roman"/>
                <w:sz w:val="18"/>
                <w:szCs w:val="18"/>
                <w:color w:val="auto"/>
              </w:rPr>
              <w:t>Net comprehensive income</w:t>
            </w:r>
          </w:p>
        </w:tc>
        <w:tc>
          <w:tcPr>
            <w:tcW w:w="400" w:type="dxa"/>
            <w:vAlign w:val="bottom"/>
            <w:gridSpan w:val="2"/>
          </w:tcPr>
          <w:p>
            <w:pPr>
              <w:jc w:val="right"/>
              <w:ind w:right="2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29,000</w:t>
            </w:r>
          </w:p>
        </w:tc>
        <w:tc>
          <w:tcPr>
            <w:tcW w:w="620" w:type="dxa"/>
            <w:vAlign w:val="bottom"/>
            <w:gridSpan w:val="2"/>
          </w:tcPr>
          <w:p>
            <w:pPr>
              <w:jc w:val="right"/>
              <w:ind w:right="3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53,125</w:t>
            </w:r>
          </w:p>
        </w:tc>
      </w:tr>
      <w:tr>
        <w:trPr>
          <w:trHeight w:val="20"/>
        </w:trPr>
        <w:tc>
          <w:tcPr>
            <w:tcW w:w="13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7500" w:type="dxa"/>
            <w:vAlign w:val="bottom"/>
            <w:gridSpan w:val="2"/>
            <w:shd w:val="clear" w:color="auto" w:fill="CFF0FC"/>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Per Share Data:</w:t>
            </w:r>
          </w:p>
        </w:tc>
        <w:tc>
          <w:tcPr>
            <w:tcW w:w="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r>
      <w:tr>
        <w:trPr>
          <w:trHeight w:val="189"/>
        </w:trPr>
        <w:tc>
          <w:tcPr>
            <w:tcW w:w="7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Basic earnings per share</w:t>
            </w:r>
          </w:p>
        </w:tc>
        <w:tc>
          <w:tcPr>
            <w:tcW w:w="400" w:type="dxa"/>
            <w:vAlign w:val="bottom"/>
            <w:gridSpan w:val="2"/>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1.62</w:t>
            </w:r>
          </w:p>
        </w:tc>
        <w:tc>
          <w:tcPr>
            <w:tcW w:w="620" w:type="dxa"/>
            <w:vAlign w:val="bottom"/>
            <w:gridSpan w:val="2"/>
          </w:tcPr>
          <w:p>
            <w:pPr>
              <w:jc w:val="right"/>
              <w:ind w:right="3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1.61</w:t>
            </w:r>
          </w:p>
        </w:tc>
      </w:tr>
      <w:tr>
        <w:trPr>
          <w:trHeight w:val="189"/>
        </w:trPr>
        <w:tc>
          <w:tcPr>
            <w:tcW w:w="75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Diluted earnings per share</w:t>
            </w:r>
          </w:p>
        </w:tc>
        <w:tc>
          <w:tcPr>
            <w:tcW w:w="400" w:type="dxa"/>
            <w:vAlign w:val="bottom"/>
            <w:gridSpan w:val="2"/>
            <w:shd w:val="clear" w:color="auto" w:fill="CFF0FC"/>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1.57</w:t>
            </w:r>
          </w:p>
        </w:tc>
        <w:tc>
          <w:tcPr>
            <w:tcW w:w="620" w:type="dxa"/>
            <w:vAlign w:val="bottom"/>
            <w:gridSpan w:val="2"/>
            <w:shd w:val="clear" w:color="auto" w:fill="CFF0FC"/>
          </w:tcPr>
          <w:p>
            <w:pPr>
              <w:jc w:val="right"/>
              <w:ind w:right="3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1.57</w:t>
            </w:r>
          </w:p>
        </w:tc>
      </w:tr>
      <w:tr>
        <w:trPr>
          <w:trHeight w:val="189"/>
        </w:trPr>
        <w:tc>
          <w:tcPr>
            <w:tcW w:w="75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75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189"/>
        </w:trPr>
        <w:tc>
          <w:tcPr>
            <w:tcW w:w="7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Basic</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26,572,165</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26,658,106</w:t>
            </w:r>
          </w:p>
        </w:tc>
      </w:tr>
      <w:tr>
        <w:trPr>
          <w:trHeight w:val="189"/>
        </w:trPr>
        <w:tc>
          <w:tcPr>
            <w:tcW w:w="75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Diluted</w:t>
            </w:r>
          </w:p>
        </w:tc>
        <w:tc>
          <w:tcPr>
            <w:tcW w:w="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27,340,840</w:t>
            </w:r>
          </w:p>
        </w:tc>
        <w:tc>
          <w:tcPr>
            <w:tcW w:w="2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27,399,997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-3222625</wp:posOffset>
            </wp:positionV>
            <wp:extent cx="120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-2973705</wp:posOffset>
            </wp:positionV>
            <wp:extent cx="120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-2485390</wp:posOffset>
            </wp:positionV>
            <wp:extent cx="120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-1757045</wp:posOffset>
            </wp:positionV>
            <wp:extent cx="120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-1259205</wp:posOffset>
            </wp:positionV>
            <wp:extent cx="120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-1242695</wp:posOffset>
            </wp:positionV>
            <wp:extent cx="120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-993775</wp:posOffset>
            </wp:positionV>
            <wp:extent cx="120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Palomar Holdings, Inc.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1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1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1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1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5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2025</w:t>
            </w:r>
          </w:p>
        </w:tc>
        <w:tc>
          <w:tcPr>
            <w:tcW w:w="11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26,520,417</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523,168</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(2,506)</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422,002</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942,667</w:t>
            </w:r>
          </w:p>
        </w:tc>
        <w:tc>
          <w:tcPr>
            <w:tcW w:w="0" w:type="dxa"/>
            <w:vAlign w:val="bottom"/>
          </w:tcPr>
          <w:p>
            <w:pPr>
              <w:spacing w:after="0"/>
              <w:rPr>
                <w:sz w:val="1"/>
                <w:szCs w:val="1"/>
                <w:color w:val="auto"/>
              </w:rPr>
            </w:pPr>
          </w:p>
        </w:tc>
      </w:tr>
      <w:tr>
        <w:trPr>
          <w:trHeight w:val="142"/>
        </w:trPr>
        <w:tc>
          <w:tcPr>
            <w:tcW w:w="3520" w:type="dxa"/>
            <w:vAlign w:val="bottom"/>
            <w:tcBorders>
              <w:top w:val="single" w:sz="8" w:color="CFF0FC"/>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Other comprehensive loss, net of tax</w:t>
            </w:r>
          </w:p>
        </w:tc>
        <w:tc>
          <w:tcPr>
            <w:tcW w:w="114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(13,947)</w:t>
            </w:r>
          </w:p>
        </w:tc>
        <w:tc>
          <w:tcPr>
            <w:tcW w:w="10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(13,947)</w:t>
            </w:r>
          </w:p>
        </w:tc>
        <w:tc>
          <w:tcPr>
            <w:tcW w:w="0" w:type="dxa"/>
            <w:vAlign w:val="bottom"/>
          </w:tcPr>
          <w:p>
            <w:pPr>
              <w:spacing w:after="0"/>
              <w:rPr>
                <w:sz w:val="1"/>
                <w:szCs w:val="1"/>
                <w:color w:val="auto"/>
              </w:rPr>
            </w:pPr>
          </w:p>
        </w:tc>
      </w:tr>
      <w:tr>
        <w:trPr>
          <w:trHeight w:val="148"/>
        </w:trPr>
        <w:tc>
          <w:tcPr>
            <w:tcW w:w="35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8,786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8,786</w:t>
            </w:r>
          </w:p>
        </w:tc>
        <w:tc>
          <w:tcPr>
            <w:tcW w:w="0" w:type="dxa"/>
            <w:vAlign w:val="bottom"/>
          </w:tcPr>
          <w:p>
            <w:pPr>
              <w:spacing w:after="0"/>
              <w:rPr>
                <w:sz w:val="1"/>
                <w:szCs w:val="1"/>
                <w:color w:val="auto"/>
              </w:rPr>
            </w:pPr>
          </w:p>
        </w:tc>
      </w:tr>
      <w:tr>
        <w:trPr>
          <w:trHeight w:val="126"/>
        </w:trPr>
        <w:tc>
          <w:tcPr>
            <w:tcW w:w="352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rPr>
              <w:t>Issuance of common stock via employee stock purchase</w:t>
            </w: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7,148</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743</w:t>
            </w:r>
          </w:p>
        </w:tc>
        <w:tc>
          <w:tcPr>
            <w:tcW w:w="0" w:type="dxa"/>
            <w:vAlign w:val="bottom"/>
          </w:tcPr>
          <w:p>
            <w:pPr>
              <w:spacing w:after="0"/>
              <w:rPr>
                <w:sz w:val="1"/>
                <w:szCs w:val="1"/>
                <w:color w:val="auto"/>
              </w:rPr>
            </w:pPr>
          </w:p>
        </w:tc>
      </w:tr>
      <w:tr>
        <w:trPr>
          <w:trHeight w:val="171"/>
        </w:trPr>
        <w:tc>
          <w:tcPr>
            <w:tcW w:w="3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plan</w:t>
            </w: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Issuance of common stock via equity incentive plan</w:t>
            </w: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176,985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8"/>
        </w:trPr>
        <w:tc>
          <w:tcPr>
            <w:tcW w:w="35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Policyholder contribution to surplus</w:t>
            </w:r>
          </w:p>
        </w:tc>
        <w:tc>
          <w:tcPr>
            <w:tcW w:w="11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906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906</w:t>
            </w:r>
          </w:p>
        </w:tc>
        <w:tc>
          <w:tcPr>
            <w:tcW w:w="0" w:type="dxa"/>
            <w:vAlign w:val="bottom"/>
          </w:tcPr>
          <w:p>
            <w:pPr>
              <w:spacing w:after="0"/>
              <w:rPr>
                <w:sz w:val="1"/>
                <w:szCs w:val="1"/>
                <w:color w:val="auto"/>
              </w:rPr>
            </w:pPr>
          </w:p>
        </w:tc>
      </w:tr>
      <w:tr>
        <w:trPr>
          <w:trHeight w:val="149"/>
        </w:trPr>
        <w:tc>
          <w:tcPr>
            <w:tcW w:w="35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(190,255)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(23,088)</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(23,088)</w:t>
            </w:r>
          </w:p>
        </w:tc>
        <w:tc>
          <w:tcPr>
            <w:tcW w:w="0" w:type="dxa"/>
            <w:vAlign w:val="bottom"/>
          </w:tcPr>
          <w:p>
            <w:pPr>
              <w:spacing w:after="0"/>
              <w:rPr>
                <w:sz w:val="1"/>
                <w:szCs w:val="1"/>
                <w:color w:val="auto"/>
              </w:rPr>
            </w:pPr>
          </w:p>
        </w:tc>
      </w:tr>
      <w:tr>
        <w:trPr>
          <w:trHeight w:val="148"/>
        </w:trPr>
        <w:tc>
          <w:tcPr>
            <w:tcW w:w="35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42,947</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42,947</w:t>
            </w:r>
          </w:p>
        </w:tc>
        <w:tc>
          <w:tcPr>
            <w:tcW w:w="0" w:type="dxa"/>
            <w:vAlign w:val="bottom"/>
          </w:tcPr>
          <w:p>
            <w:pPr>
              <w:spacing w:after="0"/>
              <w:rPr>
                <w:sz w:val="1"/>
                <w:szCs w:val="1"/>
                <w:color w:val="auto"/>
              </w:rPr>
            </w:pPr>
          </w:p>
        </w:tc>
      </w:tr>
      <w:tr>
        <w:trPr>
          <w:trHeight w:val="142"/>
        </w:trPr>
        <w:tc>
          <w:tcPr>
            <w:tcW w:w="35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2026</w:t>
            </w:r>
          </w:p>
        </w:tc>
        <w:tc>
          <w:tcPr>
            <w:tcW w:w="11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26,514,295</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533,628</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(16,453)</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441,861</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959,039</w:t>
            </w:r>
          </w:p>
        </w:tc>
        <w:tc>
          <w:tcPr>
            <w:tcW w:w="0" w:type="dxa"/>
            <w:vAlign w:val="bottom"/>
          </w:tcPr>
          <w:p>
            <w:pPr>
              <w:spacing w:after="0"/>
              <w:rPr>
                <w:sz w:val="1"/>
                <w:szCs w:val="1"/>
                <w:color w:val="auto"/>
              </w:rPr>
            </w:pPr>
          </w:p>
        </w:tc>
      </w:tr>
      <w:tr>
        <w:trPr>
          <w:trHeight w:val="20"/>
        </w:trPr>
        <w:tc>
          <w:tcPr>
            <w:tcW w:w="35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-873760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-873760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-873760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-873760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-873760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Palomar Holdings, Inc.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(Unaudited)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tbl>
      <w:tblPr>
        <w:tblLayout w:type="fixed"/>
        <w:tblInd w:w="0" w:type="dxa"/>
        <w:tblCellMar>
          <w:top w:w="0" w:type="dxa"/>
          <w:left w:w="0" w:type="dxa"/>
          <w:bottom w:w="0" w:type="dxa"/>
          <w:right w:w="0" w:type="dxa"/>
        </w:tblCellMar>
      </w:tblPr>
      <w:tr>
        <w:trPr>
          <w:trHeight w:val="155"/>
        </w:trPr>
        <w:tc>
          <w:tcPr>
            <w:tcW w:w="3520" w:type="dxa"/>
            <w:vAlign w:val="bottom"/>
          </w:tcPr>
          <w:p>
            <w:pPr>
              <w:spacing w:after="0"/>
              <w:rPr>
                <w:sz w:val="13"/>
                <w:szCs w:val="13"/>
                <w:color w:val="auto"/>
              </w:rPr>
            </w:pPr>
          </w:p>
        </w:tc>
        <w:tc>
          <w:tcPr>
            <w:tcW w:w="1140" w:type="dxa"/>
            <w:vAlign w:val="bottom"/>
          </w:tcPr>
          <w:p>
            <w:pPr>
              <w:jc w:val="center"/>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1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1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1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5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2024</w:t>
            </w:r>
          </w:p>
        </w:tc>
        <w:tc>
          <w:tcPr>
            <w:tcW w:w="11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26,529,402</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493,656</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(26,845)</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262,216</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729,030</w:t>
            </w:r>
          </w:p>
        </w:tc>
        <w:tc>
          <w:tcPr>
            <w:tcW w:w="0" w:type="dxa"/>
            <w:vAlign w:val="bottom"/>
          </w:tcPr>
          <w:p>
            <w:pPr>
              <w:spacing w:after="0"/>
              <w:rPr>
                <w:sz w:val="1"/>
                <w:szCs w:val="1"/>
                <w:color w:val="auto"/>
              </w:rPr>
            </w:pPr>
          </w:p>
        </w:tc>
      </w:tr>
      <w:tr>
        <w:trPr>
          <w:trHeight w:val="142"/>
        </w:trPr>
        <w:tc>
          <w:tcPr>
            <w:tcW w:w="3520" w:type="dxa"/>
            <w:vAlign w:val="bottom"/>
            <w:tcBorders>
              <w:top w:val="single" w:sz="8" w:color="CFF0FC"/>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Other comprehensive income, net of tax</w:t>
            </w:r>
          </w:p>
        </w:tc>
        <w:tc>
          <w:tcPr>
            <w:tcW w:w="114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10,203</w:t>
            </w:r>
          </w:p>
        </w:tc>
        <w:tc>
          <w:tcPr>
            <w:tcW w:w="10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10,203</w:t>
            </w:r>
          </w:p>
        </w:tc>
        <w:tc>
          <w:tcPr>
            <w:tcW w:w="0" w:type="dxa"/>
            <w:vAlign w:val="bottom"/>
          </w:tcPr>
          <w:p>
            <w:pPr>
              <w:spacing w:after="0"/>
              <w:rPr>
                <w:sz w:val="1"/>
                <w:szCs w:val="1"/>
                <w:color w:val="auto"/>
              </w:rPr>
            </w:pPr>
          </w:p>
        </w:tc>
      </w:tr>
      <w:tr>
        <w:trPr>
          <w:trHeight w:val="148"/>
        </w:trPr>
        <w:tc>
          <w:tcPr>
            <w:tcW w:w="35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4,745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4,745</w:t>
            </w:r>
          </w:p>
        </w:tc>
        <w:tc>
          <w:tcPr>
            <w:tcW w:w="0" w:type="dxa"/>
            <w:vAlign w:val="bottom"/>
          </w:tcPr>
          <w:p>
            <w:pPr>
              <w:spacing w:after="0"/>
              <w:rPr>
                <w:sz w:val="1"/>
                <w:szCs w:val="1"/>
                <w:color w:val="auto"/>
              </w:rPr>
            </w:pPr>
          </w:p>
        </w:tc>
      </w:tr>
      <w:tr>
        <w:trPr>
          <w:trHeight w:val="126"/>
        </w:trPr>
        <w:tc>
          <w:tcPr>
            <w:tcW w:w="352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rPr>
              <w:t>Issuance of common stock via employee stock purchase</w:t>
            </w: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6,310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526</w:t>
            </w:r>
          </w:p>
        </w:tc>
        <w:tc>
          <w:tcPr>
            <w:tcW w:w="0" w:type="dxa"/>
            <w:vAlign w:val="bottom"/>
          </w:tcPr>
          <w:p>
            <w:pPr>
              <w:spacing w:after="0"/>
              <w:rPr>
                <w:sz w:val="1"/>
                <w:szCs w:val="1"/>
                <w:color w:val="auto"/>
              </w:rPr>
            </w:pPr>
          </w:p>
        </w:tc>
      </w:tr>
      <w:tr>
        <w:trPr>
          <w:trHeight w:val="171"/>
        </w:trPr>
        <w:tc>
          <w:tcPr>
            <w:tcW w:w="3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plan</w:t>
            </w: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Issuance of common stock via equity incentive plan</w:t>
            </w: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199,420</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2,377</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2,377</w:t>
            </w:r>
          </w:p>
        </w:tc>
        <w:tc>
          <w:tcPr>
            <w:tcW w:w="0" w:type="dxa"/>
            <w:vAlign w:val="bottom"/>
          </w:tcPr>
          <w:p>
            <w:pPr>
              <w:spacing w:after="0"/>
              <w:rPr>
                <w:sz w:val="1"/>
                <w:szCs w:val="1"/>
                <w:color w:val="auto"/>
              </w:rPr>
            </w:pPr>
          </w:p>
        </w:tc>
      </w:tr>
      <w:tr>
        <w:trPr>
          <w:trHeight w:val="148"/>
        </w:trPr>
        <w:tc>
          <w:tcPr>
            <w:tcW w:w="35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Policyholder contribution to surplus</w:t>
            </w:r>
          </w:p>
        </w:tc>
        <w:tc>
          <w:tcPr>
            <w:tcW w:w="11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777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777</w:t>
            </w:r>
          </w:p>
        </w:tc>
        <w:tc>
          <w:tcPr>
            <w:tcW w:w="0" w:type="dxa"/>
            <w:vAlign w:val="bottom"/>
          </w:tcPr>
          <w:p>
            <w:pPr>
              <w:spacing w:after="0"/>
              <w:rPr>
                <w:sz w:val="1"/>
                <w:szCs w:val="1"/>
                <w:color w:val="auto"/>
              </w:rPr>
            </w:pPr>
          </w:p>
        </w:tc>
      </w:tr>
      <w:tr>
        <w:trPr>
          <w:trHeight w:val="148"/>
        </w:trPr>
        <w:tc>
          <w:tcPr>
            <w:tcW w:w="35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Offering costs (related to prior year offering)</w:t>
            </w: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48"/>
        </w:trPr>
        <w:tc>
          <w:tcPr>
            <w:tcW w:w="35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42,922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42,922</w:t>
            </w:r>
          </w:p>
        </w:tc>
        <w:tc>
          <w:tcPr>
            <w:tcW w:w="0" w:type="dxa"/>
            <w:vAlign w:val="bottom"/>
          </w:tcPr>
          <w:p>
            <w:pPr>
              <w:spacing w:after="0"/>
              <w:rPr>
                <w:sz w:val="1"/>
                <w:szCs w:val="1"/>
                <w:color w:val="auto"/>
              </w:rPr>
            </w:pPr>
          </w:p>
        </w:tc>
      </w:tr>
      <w:tr>
        <w:trPr>
          <w:trHeight w:val="142"/>
        </w:trPr>
        <w:tc>
          <w:tcPr>
            <w:tcW w:w="35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2025</w:t>
            </w:r>
          </w:p>
        </w:tc>
        <w:tc>
          <w:tcPr>
            <w:tcW w:w="11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26,735,132</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501,950</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(16,642)</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305,138</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790,449</w:t>
            </w:r>
          </w:p>
        </w:tc>
        <w:tc>
          <w:tcPr>
            <w:tcW w:w="0" w:type="dxa"/>
            <w:vAlign w:val="bottom"/>
          </w:tcPr>
          <w:p>
            <w:pPr>
              <w:spacing w:after="0"/>
              <w:rPr>
                <w:sz w:val="1"/>
                <w:szCs w:val="1"/>
                <w:color w:val="auto"/>
              </w:rPr>
            </w:pPr>
          </w:p>
        </w:tc>
      </w:tr>
      <w:tr>
        <w:trPr>
          <w:trHeight w:val="20"/>
        </w:trPr>
        <w:tc>
          <w:tcPr>
            <w:tcW w:w="35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-873760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-873760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-873760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-873760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-873760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925"/>
        </w:trPr>
        <w:tc>
          <w:tcPr>
            <w:tcW w:w="1380" w:type="dxa"/>
            <w:vAlign w:val="bottom"/>
            <w:tcBorders>
              <w:top w:val="single" w:sz="8" w:color="0000FF"/>
            </w:tcBorders>
          </w:tcPr>
          <w:p>
            <w:pPr>
              <w:spacing w:after="0"/>
              <w:rPr>
                <w:sz w:val="24"/>
                <w:szCs w:val="24"/>
                <w:color w:val="auto"/>
              </w:rPr>
            </w:pPr>
          </w:p>
        </w:tc>
        <w:tc>
          <w:tcPr>
            <w:tcW w:w="608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1"/>
        </w:trPr>
        <w:tc>
          <w:tcPr>
            <w:tcW w:w="1380" w:type="dxa"/>
            <w:vAlign w:val="bottom"/>
          </w:tcPr>
          <w:p>
            <w:pPr>
              <w:spacing w:after="0"/>
              <w:rPr>
                <w:sz w:val="24"/>
                <w:szCs w:val="24"/>
                <w:color w:val="auto"/>
              </w:rPr>
            </w:pPr>
          </w:p>
        </w:tc>
        <w:tc>
          <w:tcPr>
            <w:tcW w:w="682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24"/>
        </w:trPr>
        <w:tc>
          <w:tcPr>
            <w:tcW w:w="1380" w:type="dxa"/>
            <w:vAlign w:val="bottom"/>
          </w:tcPr>
          <w:p>
            <w:pPr>
              <w:spacing w:after="0"/>
              <w:rPr>
                <w:sz w:val="24"/>
                <w:szCs w:val="24"/>
                <w:color w:val="auto"/>
              </w:rPr>
            </w:pPr>
          </w:p>
        </w:tc>
        <w:tc>
          <w:tcPr>
            <w:tcW w:w="608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2"/>
        </w:trPr>
        <w:tc>
          <w:tcPr>
            <w:tcW w:w="13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4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5"/>
        </w:trPr>
        <w:tc>
          <w:tcPr>
            <w:tcW w:w="138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40" w:type="dxa"/>
            <w:vAlign w:val="bottom"/>
            <w:tcBorders>
              <w:bottom w:val="single" w:sz="8" w:color="auto"/>
            </w:tcBorders>
          </w:tcPr>
          <w:p>
            <w:pPr>
              <w:spacing w:after="0"/>
              <w:rPr>
                <w:sz w:val="19"/>
                <w:szCs w:val="19"/>
                <w:color w:val="auto"/>
              </w:rPr>
            </w:pPr>
          </w:p>
        </w:tc>
      </w:tr>
      <w:tr>
        <w:trPr>
          <w:trHeight w:val="183"/>
        </w:trPr>
        <w:tc>
          <w:tcPr>
            <w:tcW w:w="138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1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183"/>
        </w:trPr>
        <w:tc>
          <w:tcPr>
            <w:tcW w:w="746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r>
      <w:tr>
        <w:trPr>
          <w:trHeight w:val="189"/>
        </w:trPr>
        <w:tc>
          <w:tcPr>
            <w:tcW w:w="746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740" w:type="dxa"/>
            <w:vAlign w:val="bottom"/>
            <w:gridSpan w:val="2"/>
          </w:tcPr>
          <w:p>
            <w:pPr>
              <w:jc w:val="right"/>
              <w:ind w:right="3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47,025</w:t>
            </w:r>
          </w:p>
        </w:tc>
        <w:tc>
          <w:tcPr>
            <w:tcW w:w="600" w:type="dxa"/>
            <w:vAlign w:val="bottom"/>
            <w:gridSpan w:val="2"/>
          </w:tcPr>
          <w:p>
            <w:pPr>
              <w:jc w:val="right"/>
              <w:ind w:right="3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87,183</w:t>
            </w:r>
          </w:p>
        </w:tc>
      </w:tr>
      <w:tr>
        <w:trPr>
          <w:trHeight w:val="189"/>
        </w:trPr>
        <w:tc>
          <w:tcPr>
            <w:tcW w:w="74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(35)</w:t>
            </w:r>
          </w:p>
        </w:tc>
      </w:tr>
      <w:tr>
        <w:trPr>
          <w:trHeight w:val="189"/>
        </w:trPr>
        <w:tc>
          <w:tcPr>
            <w:tcW w:w="74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240</w:t>
            </w: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Capitalized software costs</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(1,994)</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(1,387)</w:t>
            </w:r>
          </w:p>
        </w:tc>
      </w:tr>
      <w:tr>
        <w:trPr>
          <w:trHeight w:val="189"/>
        </w:trPr>
        <w:tc>
          <w:tcPr>
            <w:tcW w:w="74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Purchases of fixed maturity securities</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(253,641)</w:t>
            </w: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(315,026)</w:t>
            </w: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Purchases of equity securities</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(11,009)</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(6,645)</w:t>
            </w:r>
          </w:p>
        </w:tc>
      </w:tr>
      <w:tr>
        <w:trPr>
          <w:trHeight w:val="189"/>
        </w:trPr>
        <w:tc>
          <w:tcPr>
            <w:tcW w:w="74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Sales and maturities of fixed maturity securities</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145,058</w:t>
            </w: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291,896</w:t>
            </w: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Sales of equity securities</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8,447</w:t>
            </w:r>
          </w:p>
        </w:tc>
      </w:tr>
      <w:tr>
        <w:trPr>
          <w:trHeight w:val="189"/>
        </w:trPr>
        <w:tc>
          <w:tcPr>
            <w:tcW w:w="74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Change in securities receivable or payable, net</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(2,503)</w:t>
            </w: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(195)</w:t>
            </w: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Investments in limited partnerships and other assets</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(3,213)</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(4,972)</w:t>
            </w:r>
          </w:p>
        </w:tc>
      </w:tr>
      <w:tr>
        <w:trPr>
          <w:trHeight w:val="189"/>
        </w:trPr>
        <w:tc>
          <w:tcPr>
            <w:tcW w:w="746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Acquisitions, net of cash acquired</w:t>
            </w:r>
          </w:p>
        </w:tc>
        <w:tc>
          <w:tcPr>
            <w:tcW w:w="28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(246,321)</w:t>
            </w:r>
          </w:p>
        </w:tc>
        <w:tc>
          <w:tcPr>
            <w:tcW w:w="18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(24,027)</w:t>
            </w:r>
          </w:p>
        </w:tc>
      </w:tr>
      <w:tr>
        <w:trPr>
          <w:trHeight w:val="183"/>
        </w:trPr>
        <w:tc>
          <w:tcPr>
            <w:tcW w:w="7460" w:type="dxa"/>
            <w:vAlign w:val="bottom"/>
            <w:gridSpan w:val="2"/>
          </w:tcPr>
          <w:p>
            <w:pPr>
              <w:ind w:left="140"/>
              <w:spacing w:after="0" w:line="182"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(373,383)</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(51,944)</w:t>
            </w:r>
          </w:p>
        </w:tc>
      </w:tr>
      <w:tr>
        <w:trPr>
          <w:trHeight w:val="189"/>
        </w:trPr>
        <w:tc>
          <w:tcPr>
            <w:tcW w:w="74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Proceeds from term loan</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297,434</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74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Proceeds from stock offering, net of offering costs</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(131)</w:t>
            </w: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Proceeds from common stock issued via employee stock purchase plan</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743</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526</w:t>
            </w:r>
          </w:p>
        </w:tc>
      </w:tr>
      <w:tr>
        <w:trPr>
          <w:trHeight w:val="189"/>
        </w:trPr>
        <w:tc>
          <w:tcPr>
            <w:tcW w:w="74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Proceeds from common stock issued via stock option exercises</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2,377</w:t>
            </w: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Policy holder contribution to surplus</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906</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777</w:t>
            </w:r>
          </w:p>
        </w:tc>
      </w:tr>
      <w:tr>
        <w:trPr>
          <w:trHeight w:val="189"/>
        </w:trPr>
        <w:tc>
          <w:tcPr>
            <w:tcW w:w="746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Repurchases of common stock</w:t>
            </w:r>
          </w:p>
        </w:tc>
        <w:tc>
          <w:tcPr>
            <w:tcW w:w="28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(23,088)</w:t>
            </w:r>
          </w:p>
        </w:tc>
        <w:tc>
          <w:tcPr>
            <w:tcW w:w="18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7460" w:type="dxa"/>
            <w:vAlign w:val="bottom"/>
            <w:gridSpan w:val="2"/>
          </w:tcPr>
          <w:p>
            <w:pPr>
              <w:ind w:left="140"/>
              <w:spacing w:after="0" w:line="182"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276,020</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3,549</w:t>
            </w:r>
          </w:p>
        </w:tc>
      </w:tr>
      <w:tr>
        <w:trPr>
          <w:trHeight w:val="183"/>
        </w:trPr>
        <w:tc>
          <w:tcPr>
            <w:tcW w:w="7460" w:type="dxa"/>
            <w:vAlign w:val="bottom"/>
            <w:gridSpan w:val="2"/>
            <w:shd w:val="clear" w:color="auto" w:fill="CFF0FC"/>
          </w:tcPr>
          <w:p>
            <w:pPr>
              <w:ind w:left="140"/>
              <w:spacing w:after="0" w:line="182" w:lineRule="exact"/>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(50,338)</w:t>
            </w: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38,788</w:t>
            </w: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106,892</w:t>
            </w:r>
          </w:p>
        </w:tc>
        <w:tc>
          <w:tcPr>
            <w:tcW w:w="1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80,539</w:t>
            </w:r>
          </w:p>
        </w:tc>
      </w:tr>
      <w:tr>
        <w:trPr>
          <w:trHeight w:val="223"/>
        </w:trPr>
        <w:tc>
          <w:tcPr>
            <w:tcW w:w="746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740" w:type="dxa"/>
            <w:vAlign w:val="bottom"/>
            <w:gridSpan w:val="2"/>
            <w:shd w:val="clear" w:color="auto" w:fill="CFF0FC"/>
          </w:tcPr>
          <w:p>
            <w:pPr>
              <w:jc w:val="right"/>
              <w:ind w:right="3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56,554</w:t>
            </w:r>
          </w:p>
        </w:tc>
        <w:tc>
          <w:tcPr>
            <w:tcW w:w="600" w:type="dxa"/>
            <w:vAlign w:val="bottom"/>
            <w:gridSpan w:val="2"/>
            <w:shd w:val="clear" w:color="auto" w:fill="CFF0FC"/>
          </w:tcPr>
          <w:p>
            <w:pPr>
              <w:jc w:val="right"/>
              <w:ind w:right="3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119,327</w:t>
            </w:r>
          </w:p>
        </w:tc>
      </w:tr>
      <w:tr>
        <w:trPr>
          <w:trHeight w:val="170"/>
        </w:trPr>
        <w:tc>
          <w:tcPr>
            <w:tcW w:w="7460" w:type="dxa"/>
            <w:vAlign w:val="bottom"/>
            <w:tcBorders>
              <w:top w:val="single" w:sz="8" w:color="CFF0FC"/>
            </w:tcBorders>
            <w:gridSpan w:val="2"/>
          </w:tcPr>
          <w:p>
            <w:pPr>
              <w:spacing w:after="0" w:line="170" w:lineRule="exact"/>
              <w:rPr>
                <w:sz w:val="20"/>
                <w:szCs w:val="20"/>
                <w:color w:val="auto"/>
              </w:rPr>
            </w:pPr>
            <w:r>
              <w:rPr>
                <w:rFonts w:ascii="Times New Roman" w:cs="Times New Roman" w:eastAsia="Times New Roman" w:hAnsi="Times New Roman"/>
                <w:sz w:val="18"/>
                <w:szCs w:val="18"/>
                <w:color w:val="auto"/>
              </w:rPr>
              <w:t>Supplementary cash flow information:</w:t>
            </w:r>
          </w:p>
        </w:tc>
        <w:tc>
          <w:tcPr>
            <w:tcW w:w="280" w:type="dxa"/>
            <w:vAlign w:val="bottom"/>
            <w:tcBorders>
              <w:top w:val="single" w:sz="8" w:color="CFF0FC"/>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r>
      <w:tr>
        <w:trPr>
          <w:trHeight w:val="189"/>
        </w:trPr>
        <w:tc>
          <w:tcPr>
            <w:tcW w:w="74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Cash paid for state income taxes</w:t>
            </w:r>
          </w:p>
        </w:tc>
        <w:tc>
          <w:tcPr>
            <w:tcW w:w="740" w:type="dxa"/>
            <w:vAlign w:val="bottom"/>
            <w:gridSpan w:val="2"/>
            <w:shd w:val="clear" w:color="auto" w:fill="CFF0FC"/>
          </w:tcPr>
          <w:p>
            <w:pPr>
              <w:jc w:val="right"/>
              <w:ind w:right="3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175</w:t>
            </w:r>
          </w:p>
        </w:tc>
        <w:tc>
          <w:tcPr>
            <w:tcW w:w="600" w:type="dxa"/>
            <w:vAlign w:val="bottom"/>
            <w:gridSpan w:val="2"/>
            <w:shd w:val="clear" w:color="auto" w:fill="CFF0FC"/>
          </w:tcPr>
          <w:p>
            <w:pPr>
              <w:jc w:val="right"/>
              <w:ind w:right="3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w:t>
            </w:r>
          </w:p>
        </w:tc>
      </w:tr>
      <w:tr>
        <w:trPr>
          <w:trHeight w:val="234"/>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-1888490</wp:posOffset>
            </wp:positionV>
            <wp:extent cx="1111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-919480</wp:posOffset>
            </wp:positionV>
            <wp:extent cx="1111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-414020</wp:posOffset>
            </wp:positionV>
            <wp:extent cx="1111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-396875</wp:posOffset>
            </wp:positionV>
            <wp:extent cx="1111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3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cash and cash equivalents and restricted cash and cash equivalents within the condensed consolidated balance sheets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5"/>
        </w:trPr>
        <w:tc>
          <w:tcPr>
            <w:tcW w:w="55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83"/>
        </w:trPr>
        <w:tc>
          <w:tcPr>
            <w:tcW w:w="55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center"/>
              <w:ind w:right="230"/>
              <w:spacing w:after="0" w:line="182" w:lineRule="exact"/>
              <w:rPr>
                <w:sz w:val="20"/>
                <w:szCs w:val="20"/>
                <w:color w:val="auto"/>
              </w:rPr>
            </w:pPr>
            <w:r>
              <w:rPr>
                <w:rFonts w:ascii="Times New Roman" w:cs="Times New Roman" w:eastAsia="Times New Roman" w:hAnsi="Times New Roman"/>
                <w:sz w:val="18"/>
                <w:szCs w:val="18"/>
                <w:b w:val="1"/>
                <w:bCs w:val="1"/>
                <w:color w:val="auto"/>
                <w:w w:val="99"/>
              </w:rPr>
              <w:t>(unaudited)</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9"/>
        </w:trPr>
        <w:tc>
          <w:tcPr>
            <w:tcW w:w="5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2420" w:type="dxa"/>
            <w:vAlign w:val="bottom"/>
            <w:gridSpan w:val="2"/>
            <w:shd w:val="clear" w:color="auto" w:fill="CFF0FC"/>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56,538</w:t>
            </w:r>
          </w:p>
        </w:tc>
        <w:tc>
          <w:tcPr>
            <w:tcW w:w="34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106,875</w:t>
            </w:r>
          </w:p>
        </w:tc>
      </w:tr>
      <w:tr>
        <w:trPr>
          <w:trHeight w:val="189"/>
        </w:trPr>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Restricted cash</w:t>
            </w:r>
          </w:p>
        </w:tc>
        <w:tc>
          <w:tcPr>
            <w:tcW w:w="2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w:t>
            </w:r>
          </w:p>
        </w:tc>
      </w:tr>
      <w:tr>
        <w:trPr>
          <w:trHeight w:val="203"/>
        </w:trPr>
        <w:tc>
          <w:tcPr>
            <w:tcW w:w="55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2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56,554</w:t>
            </w:r>
          </w:p>
        </w:tc>
        <w:tc>
          <w:tcPr>
            <w:tcW w:w="340" w:type="dxa"/>
            <w:vAlign w:val="bottom"/>
            <w:gridSpan w:val="2"/>
            <w:shd w:val="clear" w:color="auto" w:fill="CFF0FC"/>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106,892</w:t>
            </w: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Palomar Holdings, Inc. and Subsidiaries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1" w:lineRule="exact"/>
        <w:rPr>
          <w:sz w:val="20"/>
          <w:szCs w:val="20"/>
          <w:color w:val="auto"/>
        </w:rPr>
      </w:pPr>
    </w:p>
    <w:p>
      <w:pPr>
        <w:ind w:right="7180" w:firstLine="8"/>
        <w:spacing w:after="0" w:line="456"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Operations and Basis of Presentation Summary of Operations</w:t>
      </w:r>
    </w:p>
    <w:p>
      <w:pPr>
        <w:ind w:right="80" w:firstLine="749"/>
        <w:spacing w:after="0" w:line="242" w:lineRule="auto"/>
        <w:rPr>
          <w:sz w:val="20"/>
          <w:szCs w:val="20"/>
          <w:color w:val="auto"/>
        </w:rPr>
      </w:pPr>
      <w:r>
        <w:rPr>
          <w:rFonts w:ascii="Times New Roman" w:cs="Times New Roman" w:eastAsia="Times New Roman" w:hAnsi="Times New Roman"/>
          <w:sz w:val="18"/>
          <w:szCs w:val="18"/>
          <w:color w:val="auto"/>
        </w:rPr>
        <w:t>Palomar Holdings, Inc. (the “Company”) is a Delaware-incorporated insurance holding company that was founded in 2014. The Company has several wholly owned subsidiaries including an Oregon-domiciled insurance company, Palomar Specialty Insurance Company (“PSIC”), a Bermuda-domiciled reinsurance company, Palomar Specialty Reinsurance Company Bermuda Ltd. (“PSRE”), an Arizona-domiciled surplus lines insurance company, Palomar Excess and Surplus Insurance Company (“PESIC”), a California-domiciled property and casualty insurance agency, Palomar Insurance Agency, Inc., DBA Palomar General Insurance Agency (“PGIA”), a Delaware-incorporated management company, Palomar Underwriters Exchange Organization, Inc. (“PUEO”), that provides services to a Hawaii-domiciled reciprocal exchange, Laulima Exchange (“Laulima”), as its attorney-in-fact, a New Jersey-domiciled insurance carrier specializing in surety bonds, First Indemnity of America Insurance Co. (“FIA”), a Delaware-incorporated insurance management company, Palomar Crop Insurance Services, Inc. (“PCIS”), and a Louisiana-domiciled and Treasury-listed surety carrier specializing in contract bonds, Palomar Casualty &amp; Surety Company (“PCSC”).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75"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18"/>
          <w:szCs w:val="18"/>
          <w:color w:val="auto"/>
        </w:rPr>
        <w:t>The Company has a single operating segment, the property and casualty insurance business. The Company’s chief operating decision maker (“CODM”) is the Chief Executive Officer. The CODM reviews the Company’s consolidated net income as reported under GAAP, which is the primary measure of segment profit or loss. The CODM also reviews the individual measures and significant segment expenses that contribute to net income including gross written premiums, net earned premiums, losses and loss adjustment expenses, acquisition and underwriting expenses, and net investment income. The CODM reviews these measures, comparing them to prior periods and forecasted expectations, and makes resource allocation decisions based on the analysis. The significant segment expenses provided to the CODM are consistent with the categories shown in the Company’s Consolidated Statements of Income and Comprehensive Income and there are no other segment items used by the CODM. While the Company’s CODM also reviews the revenue streams attributable to individual products, operations are managed, resources are allocated, and financial performance is evaluated on a consolidated basis.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ind w:right="80" w:firstLine="749"/>
        <w:spacing w:after="0" w:line="232" w:lineRule="exact"/>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GAAP for interim financial information and include the accounts of the Company and its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subsidiaries.</w:t>
      </w:r>
    </w:p>
    <w:p>
      <w:pPr>
        <w:spacing w:after="0" w:line="130"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The condensed consolidated financial statements also include the accounts of Laulima, a variable interest entity (“VIE”) for which the Company is the primary beneficiary. The Company determined it is the primary beneficiary because it has the power to direct the activities that most significantly impact Laulima’s economic performance and the obligation to absorb losses that could be significant to Laulima, primarily through capital previously provided. The assets of Laulima may only be used to settle its obligations, and its creditors do not have recourse to the general credit of the Company.</w:t>
      </w:r>
    </w:p>
    <w:p>
      <w:pPr>
        <w:spacing w:after="0" w:line="150" w:lineRule="exact"/>
        <w:rPr>
          <w:sz w:val="20"/>
          <w:szCs w:val="20"/>
          <w:color w:val="auto"/>
        </w:rPr>
      </w:pPr>
    </w:p>
    <w:p>
      <w:pPr>
        <w:ind w:right="20" w:firstLine="749"/>
        <w:spacing w:after="0" w:line="245" w:lineRule="auto"/>
        <w:rPr>
          <w:sz w:val="20"/>
          <w:szCs w:val="20"/>
          <w:color w:val="auto"/>
        </w:rPr>
      </w:pPr>
      <w:r>
        <w:rPr>
          <w:rFonts w:ascii="Times New Roman" w:cs="Times New Roman" w:eastAsia="Times New Roman" w:hAnsi="Times New Roman"/>
          <w:sz w:val="18"/>
          <w:szCs w:val="18"/>
          <w:color w:val="auto"/>
        </w:rPr>
        <w:t>These condensed consolidated financial statements do not contain all information and footnotes required by GAAP for complete consolidated financial statements. For a more complete description of the Company’s business and accounting policies, these condensed consolidated financial statements should be read in conjunction with the audited consolidated financial statements included in the Company’s Annual Report on Form 10-K for the year ended December 31, 2025, filed with the SEC on February 24, 2026 (the “2025 Annual Report on Form 10-K”). In the opinion of management, all adjustments necessary for a fair presentation of the condensed consolidated financial statements have been included. Such adjustments consist only of normal recurring items. All intercompany balances and transactions have been eliminated in consolidation. Interim results are not necessarily indicative of results of operations for the full year.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amounts reported in the condensed consolidated financial statements and accompanying notes. Such estimates and assumptions could change in the future as more information becomes known, which could impact the amounts reported and disclosed herein. All revisions to accounting estimates are recognized in the period in which the estimates are revised. Significant estimates reflected in the Company’s condensed consolidated financial statements include, but are not limited to, reserves for losses and loss adjustment expenses, reinsurance recoverables on unpaid losses, and the fair values of investments.</w:t>
      </w: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not adopted any new accounting guidance during the three months ended March 31,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Expenses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In November 2024, the FASB issued ASU No. </w:t>
      </w:r>
      <w:r>
        <w:rPr>
          <w:rFonts w:ascii="Times New Roman" w:cs="Times New Roman" w:eastAsia="Times New Roman" w:hAnsi="Times New Roman"/>
          <w:sz w:val="18"/>
          <w:szCs w:val="18"/>
          <w:i w:val="1"/>
          <w:iCs w:val="1"/>
          <w:color w:val="auto"/>
        </w:rPr>
        <w:t>2024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03, Disaggregation of Income Statement Expenses (“ASU 2024-03”)</w:t>
      </w:r>
      <w:r>
        <w:rPr>
          <w:rFonts w:ascii="Times New Roman" w:cs="Times New Roman" w:eastAsia="Times New Roman" w:hAnsi="Times New Roman"/>
          <w:sz w:val="18"/>
          <w:szCs w:val="18"/>
          <w:color w:val="auto"/>
        </w:rPr>
        <w:t>, which will require</w:t>
      </w:r>
    </w:p>
    <w:p>
      <w:pPr>
        <w:spacing w:after="0" w:line="29"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disclosure of additional information about specific expense categories in the notes to financial statements for all public business entities. ASU 2024-03 is effective for annual reporting beginning with the fiscal year ending December 31, 2027, and for interim periods thereafter. Early adoption is permitted. The Company is currently evaluating the impact the adoption of this standard will have on its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 — Goodwill and Other — Internal-Use Software (Subtopic 350-40) (“ASU</w:t>
      </w:r>
    </w:p>
    <w:p>
      <w:pPr>
        <w:spacing w:after="0" w:line="29"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i w:val="1"/>
          <w:iCs w:val="1"/>
          <w:color w:val="auto"/>
        </w:rPr>
        <w:t>2025-06”)</w:t>
      </w:r>
      <w:r>
        <w:rPr>
          <w:rFonts w:ascii="Times New Roman" w:cs="Times New Roman" w:eastAsia="Times New Roman" w:hAnsi="Times New Roman"/>
          <w:sz w:val="18"/>
          <w:szCs w:val="18"/>
          <w:color w:val="auto"/>
        </w:rPr>
        <w:t>, which clarifies and modernizes the accounting for costs related to internal-use software by removing references to project stages and clarifying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probable-to-complete threshold for capitalization of internal-use software costs when significant development uncertainty exists. ASU 2025-06 is effective for annual reporting periods beginning after December 15, 2027, and interim periods within those annual reporting periods. Early adoption is permitted. The Company is currently evaluating the impact the adoption of this standard will have on its consolidated financial statements.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Investments</w:t>
      </w:r>
    </w:p>
    <w:p>
      <w:pPr>
        <w:spacing w:after="0" w:line="148"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The Company’s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investments are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89"/>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190"/>
              <w:spacing w:after="0" w:line="189" w:lineRule="exact"/>
              <w:rPr>
                <w:sz w:val="20"/>
                <w:szCs w:val="20"/>
                <w:color w:val="auto"/>
              </w:rPr>
            </w:pPr>
            <w:r>
              <w:rPr>
                <w:rFonts w:ascii="Times New Roman" w:cs="Times New Roman" w:eastAsia="Times New Roman" w:hAnsi="Times New Roman"/>
                <w:sz w:val="18"/>
                <w:szCs w:val="18"/>
                <w:b w:val="1"/>
                <w:bCs w:val="1"/>
                <w:color w:val="auto"/>
                <w:w w:val="98"/>
              </w:rPr>
              <w:t>for Credit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5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83"/>
        </w:trPr>
        <w:tc>
          <w:tcPr>
            <w:tcW w:w="4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Fixed maturities:</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U.S. Governments</w:t>
            </w:r>
          </w:p>
        </w:tc>
        <w:tc>
          <w:tcPr>
            <w:tcW w:w="24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29,474</w:t>
            </w:r>
          </w:p>
        </w:tc>
        <w:tc>
          <w:tcPr>
            <w:tcW w:w="28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w:t>
            </w:r>
          </w:p>
        </w:tc>
        <w:tc>
          <w:tcPr>
            <w:tcW w:w="2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(272)</w:t>
            </w:r>
          </w:p>
        </w:tc>
        <w:tc>
          <w:tcPr>
            <w:tcW w:w="2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29,242</w:t>
            </w:r>
          </w:p>
        </w:tc>
        <w:tc>
          <w:tcPr>
            <w:tcW w:w="0" w:type="dxa"/>
            <w:vAlign w:val="bottom"/>
          </w:tcPr>
          <w:p>
            <w:pPr>
              <w:spacing w:after="0"/>
              <w:rPr>
                <w:sz w:val="1"/>
                <w:szCs w:val="1"/>
                <w:color w:val="auto"/>
              </w:rPr>
            </w:pPr>
          </w:p>
        </w:tc>
      </w:tr>
      <w:tr>
        <w:trPr>
          <w:trHeight w:val="189"/>
        </w:trPr>
        <w:tc>
          <w:tcPr>
            <w:tcW w:w="450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19,702</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60</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(1,086)</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ind w:left="8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18,676</w:t>
            </w:r>
          </w:p>
        </w:tc>
        <w:tc>
          <w:tcPr>
            <w:tcW w:w="0" w:type="dxa"/>
            <w:vAlign w:val="bottom"/>
          </w:tcPr>
          <w:p>
            <w:pPr>
              <w:spacing w:after="0"/>
              <w:rPr>
                <w:sz w:val="1"/>
                <w:szCs w:val="1"/>
                <w:color w:val="auto"/>
              </w:rPr>
            </w:pPr>
          </w:p>
        </w:tc>
      </w:tr>
      <w:tr>
        <w:trPr>
          <w:trHeight w:val="189"/>
        </w:trPr>
        <w:tc>
          <w:tcPr>
            <w:tcW w:w="45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20,172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(1,968)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ind w:left="8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18,232</w:t>
            </w:r>
          </w:p>
        </w:tc>
        <w:tc>
          <w:tcPr>
            <w:tcW w:w="0" w:type="dxa"/>
            <w:vAlign w:val="bottom"/>
          </w:tcPr>
          <w:p>
            <w:pPr>
              <w:spacing w:after="0"/>
              <w:rPr>
                <w:sz w:val="1"/>
                <w:szCs w:val="1"/>
                <w:color w:val="auto"/>
              </w:rPr>
            </w:pPr>
          </w:p>
        </w:tc>
      </w:tr>
      <w:tr>
        <w:trPr>
          <w:trHeight w:val="189"/>
        </w:trPr>
        <w:tc>
          <w:tcPr>
            <w:tcW w:w="450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718,143</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4,253</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(15,701)</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ind w:left="8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706,695</w:t>
            </w:r>
          </w:p>
        </w:tc>
        <w:tc>
          <w:tcPr>
            <w:tcW w:w="0" w:type="dxa"/>
            <w:vAlign w:val="bottom"/>
          </w:tcPr>
          <w:p>
            <w:pPr>
              <w:spacing w:after="0"/>
              <w:rPr>
                <w:sz w:val="1"/>
                <w:szCs w:val="1"/>
                <w:color w:val="auto"/>
              </w:rPr>
            </w:pPr>
          </w:p>
        </w:tc>
      </w:tr>
      <w:tr>
        <w:trPr>
          <w:trHeight w:val="189"/>
        </w:trPr>
        <w:tc>
          <w:tcPr>
            <w:tcW w:w="45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Mortgage/asset-backed securities</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643,943</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3,536</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(10,607)</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8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636,872</w:t>
            </w: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available-for-sale investments</w:t>
            </w:r>
          </w:p>
        </w:tc>
        <w:tc>
          <w:tcPr>
            <w:tcW w:w="24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1,431,434</w:t>
            </w:r>
          </w:p>
        </w:tc>
        <w:tc>
          <w:tcPr>
            <w:tcW w:w="28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7,917</w:t>
            </w:r>
          </w:p>
        </w:tc>
        <w:tc>
          <w:tcPr>
            <w:tcW w:w="280" w:type="dxa"/>
            <w:vAlign w:val="bottom"/>
            <w:gridSpan w:val="3"/>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(29,634)</w:t>
            </w:r>
          </w:p>
        </w:tc>
        <w:tc>
          <w:tcPr>
            <w:tcW w:w="26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8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1,409,717</w:t>
            </w:r>
          </w:p>
        </w:tc>
        <w:tc>
          <w:tcPr>
            <w:tcW w:w="0" w:type="dxa"/>
            <w:vAlign w:val="bottom"/>
          </w:tcPr>
          <w:p>
            <w:pPr>
              <w:spacing w:after="0"/>
              <w:rPr>
                <w:sz w:val="1"/>
                <w:szCs w:val="1"/>
                <w:color w:val="auto"/>
              </w:rPr>
            </w:pPr>
          </w:p>
        </w:tc>
      </w:tr>
      <w:tr>
        <w:trPr>
          <w:trHeight w:val="350"/>
        </w:trPr>
        <w:tc>
          <w:tcPr>
            <w:tcW w:w="45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89"/>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190"/>
              <w:spacing w:after="0" w:line="189" w:lineRule="exact"/>
              <w:rPr>
                <w:sz w:val="20"/>
                <w:szCs w:val="20"/>
                <w:color w:val="auto"/>
              </w:rPr>
            </w:pPr>
            <w:r>
              <w:rPr>
                <w:rFonts w:ascii="Times New Roman" w:cs="Times New Roman" w:eastAsia="Times New Roman" w:hAnsi="Times New Roman"/>
                <w:sz w:val="18"/>
                <w:szCs w:val="18"/>
                <w:b w:val="1"/>
                <w:bCs w:val="1"/>
                <w:color w:val="auto"/>
                <w:w w:val="98"/>
              </w:rPr>
              <w:t>for Credit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5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83"/>
        </w:trPr>
        <w:tc>
          <w:tcPr>
            <w:tcW w:w="4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Fixed maturities:</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U.S. Governments</w:t>
            </w:r>
          </w:p>
        </w:tc>
        <w:tc>
          <w:tcPr>
            <w:tcW w:w="24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23,716</w:t>
            </w:r>
          </w:p>
        </w:tc>
        <w:tc>
          <w:tcPr>
            <w:tcW w:w="28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97</w:t>
            </w:r>
          </w:p>
        </w:tc>
        <w:tc>
          <w:tcPr>
            <w:tcW w:w="2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(226)</w:t>
            </w:r>
          </w:p>
        </w:tc>
        <w:tc>
          <w:tcPr>
            <w:tcW w:w="2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23,587</w:t>
            </w:r>
          </w:p>
        </w:tc>
        <w:tc>
          <w:tcPr>
            <w:tcW w:w="0" w:type="dxa"/>
            <w:vAlign w:val="bottom"/>
          </w:tcPr>
          <w:p>
            <w:pPr>
              <w:spacing w:after="0"/>
              <w:rPr>
                <w:sz w:val="1"/>
                <w:szCs w:val="1"/>
                <w:color w:val="auto"/>
              </w:rPr>
            </w:pPr>
          </w:p>
        </w:tc>
      </w:tr>
      <w:tr>
        <w:trPr>
          <w:trHeight w:val="189"/>
        </w:trPr>
        <w:tc>
          <w:tcPr>
            <w:tcW w:w="450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19,745</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111</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(994)</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ind w:left="8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18,862</w:t>
            </w:r>
          </w:p>
        </w:tc>
        <w:tc>
          <w:tcPr>
            <w:tcW w:w="0" w:type="dxa"/>
            <w:vAlign w:val="bottom"/>
          </w:tcPr>
          <w:p>
            <w:pPr>
              <w:spacing w:after="0"/>
              <w:rPr>
                <w:sz w:val="1"/>
                <w:szCs w:val="1"/>
                <w:color w:val="auto"/>
              </w:rPr>
            </w:pPr>
          </w:p>
        </w:tc>
      </w:tr>
      <w:tr>
        <w:trPr>
          <w:trHeight w:val="189"/>
        </w:trPr>
        <w:tc>
          <w:tcPr>
            <w:tcW w:w="45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19,280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(1,887)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ind w:left="8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17,465</w:t>
            </w:r>
          </w:p>
        </w:tc>
        <w:tc>
          <w:tcPr>
            <w:tcW w:w="0" w:type="dxa"/>
            <w:vAlign w:val="bottom"/>
          </w:tcPr>
          <w:p>
            <w:pPr>
              <w:spacing w:after="0"/>
              <w:rPr>
                <w:sz w:val="1"/>
                <w:szCs w:val="1"/>
                <w:color w:val="auto"/>
              </w:rPr>
            </w:pPr>
          </w:p>
        </w:tc>
      </w:tr>
      <w:tr>
        <w:trPr>
          <w:trHeight w:val="189"/>
        </w:trPr>
        <w:tc>
          <w:tcPr>
            <w:tcW w:w="450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606,748</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9,891</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(8,404)</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ind w:left="8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608,235</w:t>
            </w:r>
          </w:p>
        </w:tc>
        <w:tc>
          <w:tcPr>
            <w:tcW w:w="0" w:type="dxa"/>
            <w:vAlign w:val="bottom"/>
          </w:tcPr>
          <w:p>
            <w:pPr>
              <w:spacing w:after="0"/>
              <w:rPr>
                <w:sz w:val="1"/>
                <w:szCs w:val="1"/>
                <w:color w:val="auto"/>
              </w:rPr>
            </w:pPr>
          </w:p>
        </w:tc>
      </w:tr>
      <w:tr>
        <w:trPr>
          <w:trHeight w:val="189"/>
        </w:trPr>
        <w:tc>
          <w:tcPr>
            <w:tcW w:w="45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Mortgage/asset-backed securities</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558,116</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5,922</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(8,000)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8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556,038</w:t>
            </w: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available-for-sale investments</w:t>
            </w:r>
          </w:p>
        </w:tc>
        <w:tc>
          <w:tcPr>
            <w:tcW w:w="24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1,227,605</w:t>
            </w:r>
          </w:p>
        </w:tc>
        <w:tc>
          <w:tcPr>
            <w:tcW w:w="28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16,093</w:t>
            </w:r>
          </w:p>
        </w:tc>
        <w:tc>
          <w:tcPr>
            <w:tcW w:w="280" w:type="dxa"/>
            <w:vAlign w:val="bottom"/>
            <w:gridSpan w:val="3"/>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(19,511)</w:t>
            </w:r>
          </w:p>
        </w:tc>
        <w:tc>
          <w:tcPr>
            <w:tcW w:w="26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8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1,224,187</w:t>
            </w:r>
          </w:p>
        </w:tc>
        <w:tc>
          <w:tcPr>
            <w:tcW w:w="0" w:type="dxa"/>
            <w:vAlign w:val="bottom"/>
          </w:tcPr>
          <w:p>
            <w:pPr>
              <w:spacing w:after="0"/>
              <w:rPr>
                <w:sz w:val="1"/>
                <w:szCs w:val="1"/>
                <w:color w:val="auto"/>
              </w:rPr>
            </w:pPr>
          </w:p>
        </w:tc>
      </w:tr>
      <w:tr>
        <w:trPr>
          <w:trHeight w:val="642"/>
        </w:trPr>
        <w:tc>
          <w:tcPr>
            <w:tcW w:w="45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-2442210</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-2425065</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-2442210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-2425065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-2442210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-2425065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-2442210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-2425065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-942340</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-925195</wp:posOffset>
            </wp:positionV>
            <wp:extent cx="85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-942340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-925195</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-942340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-925195</wp:posOffset>
            </wp:positionV>
            <wp:extent cx="76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-942340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-925195</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holdings in an unrealized loss position</w:t>
      </w:r>
    </w:p>
    <w:p>
      <w:pPr>
        <w:spacing w:after="0" w:line="173" w:lineRule="exact"/>
        <w:rPr>
          <w:sz w:val="20"/>
          <w:szCs w:val="20"/>
          <w:color w:val="auto"/>
        </w:rPr>
      </w:pPr>
    </w:p>
    <w:p>
      <w:pPr>
        <w:jc w:val="both"/>
        <w:ind w:right="160" w:firstLine="749"/>
        <w:spacing w:after="0" w:line="258" w:lineRule="auto"/>
        <w:rPr>
          <w:sz w:val="20"/>
          <w:szCs w:val="20"/>
          <w:color w:val="auto"/>
        </w:rPr>
      </w:pPr>
      <w:r>
        <w:rPr>
          <w:rFonts w:ascii="Times New Roman" w:cs="Times New Roman" w:eastAsia="Times New Roman" w:hAnsi="Times New Roman"/>
          <w:sz w:val="18"/>
          <w:szCs w:val="18"/>
          <w:color w:val="auto"/>
        </w:rPr>
        <w:t>As of March 31, 2026, the Company held 754 fixed maturity securities in an unrealized loss position with a total estimated fair value of $857.6 million and total gross unrealized losses of $29.6 million. As of December 31, 2025, the Company held 391 fixed maturity securities in an unrealized loss position with a total estimated fair value of $375.4 million and total gross unrealized losses of $19.5 million.</w:t>
      </w:r>
    </w:p>
    <w:p>
      <w:pPr>
        <w:spacing w:after="0" w:line="142"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The aggregate fair value and gross unrealized losses of the Company’s investments aggregated by investment category and the length of time these individual securities have been in a continuous unrealized loss position as of March 31, 2026 and December 31, 2025,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jc w:val="right"/>
              <w:ind w:right="93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47"/>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211"/>
              <w:spacing w:after="0" w:line="147" w:lineRule="exact"/>
              <w:rPr>
                <w:sz w:val="20"/>
                <w:szCs w:val="20"/>
                <w:color w:val="auto"/>
              </w:rPr>
            </w:pPr>
            <w:r>
              <w:rPr>
                <w:rFonts w:ascii="Times New Roman" w:cs="Times New Roman" w:eastAsia="Times New Roman" w:hAnsi="Times New Roman"/>
                <w:sz w:val="17"/>
                <w:szCs w:val="17"/>
                <w:b w:val="1"/>
                <w:bCs w:val="1"/>
                <w:color w:val="auto"/>
              </w:rPr>
              <w:t>Fair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11"/>
              <w:spacing w:after="0" w:line="147"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311"/>
              <w:spacing w:after="0" w:line="147" w:lineRule="exact"/>
              <w:rPr>
                <w:sz w:val="20"/>
                <w:szCs w:val="20"/>
                <w:color w:val="auto"/>
              </w:rPr>
            </w:pPr>
            <w:r>
              <w:rPr>
                <w:rFonts w:ascii="Times New Roman" w:cs="Times New Roman" w:eastAsia="Times New Roman" w:hAnsi="Times New Roman"/>
                <w:sz w:val="17"/>
                <w:szCs w:val="17"/>
                <w:b w:val="1"/>
                <w:bCs w:val="1"/>
                <w:color w:val="auto"/>
              </w:rPr>
              <w:t>Fair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31"/>
              <w:spacing w:after="0" w:line="147"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91"/>
              <w:spacing w:after="0" w:line="147" w:lineRule="exact"/>
              <w:rPr>
                <w:sz w:val="20"/>
                <w:szCs w:val="20"/>
                <w:color w:val="auto"/>
              </w:rPr>
            </w:pPr>
            <w:r>
              <w:rPr>
                <w:rFonts w:ascii="Times New Roman" w:cs="Times New Roman" w:eastAsia="Times New Roman" w:hAnsi="Times New Roman"/>
                <w:sz w:val="17"/>
                <w:szCs w:val="17"/>
                <w:b w:val="1"/>
                <w:bCs w:val="1"/>
                <w:color w:val="auto"/>
              </w:rPr>
              <w:t>Fair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51"/>
              <w:spacing w:after="0" w:line="147"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0" w:type="dxa"/>
            <w:vAlign w:val="bottom"/>
          </w:tcPr>
          <w:p>
            <w:pPr>
              <w:spacing w:after="0"/>
              <w:rPr>
                <w:sz w:val="1"/>
                <w:szCs w:val="1"/>
                <w:color w:val="auto"/>
              </w:rPr>
            </w:pPr>
          </w:p>
        </w:tc>
      </w:tr>
      <w:tr>
        <w:trPr>
          <w:trHeight w:val="182"/>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91"/>
              <w:spacing w:after="0" w:line="182" w:lineRule="exact"/>
              <w:rPr>
                <w:sz w:val="20"/>
                <w:szCs w:val="20"/>
                <w:color w:val="auto"/>
              </w:rPr>
            </w:pPr>
            <w:r>
              <w:rPr>
                <w:rFonts w:ascii="Times New Roman" w:cs="Times New Roman" w:eastAsia="Times New Roman" w:hAnsi="Times New Roman"/>
                <w:sz w:val="18"/>
                <w:szCs w:val="18"/>
                <w:b w:val="1"/>
                <w:bCs w:val="1"/>
                <w:color w:val="auto"/>
              </w:rPr>
              <w:t>($ in</w:t>
            </w:r>
          </w:p>
        </w:tc>
        <w:tc>
          <w:tcPr>
            <w:tcW w:w="1260" w:type="dxa"/>
            <w:vAlign w:val="bottom"/>
            <w:gridSpan w:val="3"/>
          </w:tcPr>
          <w:p>
            <w:pPr>
              <w:jc w:val="right"/>
              <w:ind w:right="471"/>
              <w:spacing w:after="0" w:line="182" w:lineRule="exact"/>
              <w:rPr>
                <w:sz w:val="20"/>
                <w:szCs w:val="20"/>
                <w:color w:val="auto"/>
              </w:rPr>
            </w:pPr>
            <w:r>
              <w:rPr>
                <w:rFonts w:ascii="Times New Roman" w:cs="Times New Roman" w:eastAsia="Times New Roman" w:hAnsi="Times New Roman"/>
                <w:sz w:val="18"/>
                <w:szCs w:val="18"/>
                <w:b w:val="1"/>
                <w:bCs w:val="1"/>
                <w:color w:val="auto"/>
                <w:w w:val="80"/>
              </w:rPr>
              <w:t>thousands)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Fixed maturity securities:</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U.S. Governments</w:t>
            </w: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10,567</w:t>
            </w: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(81)</w:t>
            </w:r>
          </w:p>
        </w:tc>
        <w:tc>
          <w:tcPr>
            <w:tcW w:w="2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5,697</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(191)</w:t>
            </w:r>
          </w:p>
        </w:tc>
        <w:tc>
          <w:tcPr>
            <w:tcW w:w="28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16,264</w:t>
            </w:r>
          </w:p>
        </w:tc>
        <w:tc>
          <w:tcPr>
            <w:tcW w:w="2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189"/>
        </w:trPr>
        <w:tc>
          <w:tcPr>
            <w:tcW w:w="4140" w:type="dxa"/>
            <w:vAlign w:val="bottom"/>
            <w:gridSpan w:val="2"/>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2,465</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13,923</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(1,072)</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16,388</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157"/>
        </w:trPr>
        <w:tc>
          <w:tcPr>
            <w:tcW w:w="4140" w:type="dxa"/>
            <w:vAlign w:val="bottom"/>
            <w:gridSpan w:val="2"/>
          </w:tcPr>
          <w:p>
            <w:pPr>
              <w:ind w:left="80"/>
              <w:spacing w:after="0" w:line="157" w:lineRule="exact"/>
              <w:rPr>
                <w:sz w:val="20"/>
                <w:szCs w:val="20"/>
                <w:color w:val="auto"/>
              </w:rPr>
            </w:pPr>
            <w:r>
              <w:rPr>
                <w:rFonts w:ascii="Times New Roman" w:cs="Times New Roman" w:eastAsia="Times New Roman" w:hAnsi="Times New Roman"/>
                <w:sz w:val="18"/>
                <w:szCs w:val="18"/>
                <w:color w:val="auto"/>
              </w:rPr>
              <w:t>Special revenue excluding mortgage/asset-backed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0" w:type="dxa"/>
            <w:vAlign w:val="bottom"/>
          </w:tcPr>
          <w:p>
            <w:pPr>
              <w:spacing w:after="0"/>
              <w:rPr>
                <w:sz w:val="1"/>
                <w:szCs w:val="1"/>
                <w:color w:val="auto"/>
              </w:rPr>
            </w:pPr>
          </w:p>
        </w:tc>
      </w:tr>
      <w:tr>
        <w:trPr>
          <w:trHeight w:val="189"/>
        </w:trPr>
        <w:tc>
          <w:tcPr>
            <w:tcW w:w="4140" w:type="dxa"/>
            <w:vAlign w:val="bottom"/>
            <w:gridSpan w:val="2"/>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298,342</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(6,136)</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151,937</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(9,565)</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450,279</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(15,701)</w:t>
            </w:r>
          </w:p>
        </w:tc>
        <w:tc>
          <w:tcPr>
            <w:tcW w:w="0" w:type="dxa"/>
            <w:vAlign w:val="bottom"/>
          </w:tcPr>
          <w:p>
            <w:pPr>
              <w:spacing w:after="0"/>
              <w:rPr>
                <w:sz w:val="1"/>
                <w:szCs w:val="1"/>
                <w:color w:val="auto"/>
              </w:rPr>
            </w:pPr>
          </w:p>
        </w:tc>
      </w:tr>
      <w:tr>
        <w:trPr>
          <w:trHeight w:val="189"/>
        </w:trPr>
        <w:tc>
          <w:tcPr>
            <w:tcW w:w="414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Mortgage/asset-backed securities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286,236</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(2,646)</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72,262</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(7,961)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358,498</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(10,607)</w:t>
            </w:r>
          </w:p>
        </w:tc>
        <w:tc>
          <w:tcPr>
            <w:tcW w:w="0" w:type="dxa"/>
            <w:vAlign w:val="bottom"/>
          </w:tcPr>
          <w:p>
            <w:pPr>
              <w:spacing w:after="0"/>
              <w:rPr>
                <w:sz w:val="1"/>
                <w:szCs w:val="1"/>
                <w:color w:val="auto"/>
              </w:rPr>
            </w:pPr>
          </w:p>
        </w:tc>
      </w:tr>
      <w:tr>
        <w:trPr>
          <w:trHeight w:val="203"/>
        </w:trPr>
        <w:tc>
          <w:tcPr>
            <w:tcW w:w="414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available-for-sale investments</w:t>
            </w:r>
          </w:p>
        </w:tc>
        <w:tc>
          <w:tcPr>
            <w:tcW w:w="16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598,670</w:t>
            </w:r>
          </w:p>
        </w:tc>
        <w:tc>
          <w:tcPr>
            <w:tcW w:w="20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(8,885)</w:t>
            </w:r>
          </w:p>
        </w:tc>
        <w:tc>
          <w:tcPr>
            <w:tcW w:w="26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258,919</w:t>
            </w:r>
          </w:p>
        </w:tc>
        <w:tc>
          <w:tcPr>
            <w:tcW w:w="20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(20,749)</w:t>
            </w:r>
          </w:p>
        </w:tc>
        <w:tc>
          <w:tcPr>
            <w:tcW w:w="280" w:type="dxa"/>
            <w:vAlign w:val="bottom"/>
            <w:gridSpan w:val="2"/>
            <w:shd w:val="clear" w:color="auto" w:fill="CFF0FC"/>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857,589</w:t>
            </w:r>
          </w:p>
        </w:tc>
        <w:tc>
          <w:tcPr>
            <w:tcW w:w="22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(29,634)</w:t>
            </w: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93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47"/>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211"/>
              <w:spacing w:after="0" w:line="147" w:lineRule="exact"/>
              <w:rPr>
                <w:sz w:val="20"/>
                <w:szCs w:val="20"/>
                <w:color w:val="auto"/>
              </w:rPr>
            </w:pPr>
            <w:r>
              <w:rPr>
                <w:rFonts w:ascii="Times New Roman" w:cs="Times New Roman" w:eastAsia="Times New Roman" w:hAnsi="Times New Roman"/>
                <w:sz w:val="17"/>
                <w:szCs w:val="17"/>
                <w:b w:val="1"/>
                <w:bCs w:val="1"/>
                <w:color w:val="auto"/>
              </w:rPr>
              <w:t>Fair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11"/>
              <w:spacing w:after="0" w:line="147"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311"/>
              <w:spacing w:after="0" w:line="147" w:lineRule="exact"/>
              <w:rPr>
                <w:sz w:val="20"/>
                <w:szCs w:val="20"/>
                <w:color w:val="auto"/>
              </w:rPr>
            </w:pPr>
            <w:r>
              <w:rPr>
                <w:rFonts w:ascii="Times New Roman" w:cs="Times New Roman" w:eastAsia="Times New Roman" w:hAnsi="Times New Roman"/>
                <w:sz w:val="17"/>
                <w:szCs w:val="17"/>
                <w:b w:val="1"/>
                <w:bCs w:val="1"/>
                <w:color w:val="auto"/>
              </w:rPr>
              <w:t>Fair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31"/>
              <w:spacing w:after="0" w:line="147"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91"/>
              <w:spacing w:after="0" w:line="147" w:lineRule="exact"/>
              <w:rPr>
                <w:sz w:val="20"/>
                <w:szCs w:val="20"/>
                <w:color w:val="auto"/>
              </w:rPr>
            </w:pPr>
            <w:r>
              <w:rPr>
                <w:rFonts w:ascii="Times New Roman" w:cs="Times New Roman" w:eastAsia="Times New Roman" w:hAnsi="Times New Roman"/>
                <w:sz w:val="17"/>
                <w:szCs w:val="17"/>
                <w:b w:val="1"/>
                <w:bCs w:val="1"/>
                <w:color w:val="auto"/>
              </w:rPr>
              <w:t>Fair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51"/>
              <w:spacing w:after="0" w:line="147"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91"/>
              <w:spacing w:after="0" w:line="182" w:lineRule="exact"/>
              <w:rPr>
                <w:sz w:val="20"/>
                <w:szCs w:val="20"/>
                <w:color w:val="auto"/>
              </w:rPr>
            </w:pPr>
            <w:r>
              <w:rPr>
                <w:rFonts w:ascii="Times New Roman" w:cs="Times New Roman" w:eastAsia="Times New Roman" w:hAnsi="Times New Roman"/>
                <w:sz w:val="18"/>
                <w:szCs w:val="18"/>
                <w:b w:val="1"/>
                <w:bCs w:val="1"/>
                <w:color w:val="auto"/>
              </w:rPr>
              <w:t>($ in</w:t>
            </w:r>
          </w:p>
        </w:tc>
        <w:tc>
          <w:tcPr>
            <w:tcW w:w="1260" w:type="dxa"/>
            <w:vAlign w:val="bottom"/>
            <w:gridSpan w:val="3"/>
          </w:tcPr>
          <w:p>
            <w:pPr>
              <w:jc w:val="right"/>
              <w:ind w:right="471"/>
              <w:spacing w:after="0" w:line="182" w:lineRule="exact"/>
              <w:rPr>
                <w:sz w:val="20"/>
                <w:szCs w:val="20"/>
                <w:color w:val="auto"/>
              </w:rPr>
            </w:pPr>
            <w:r>
              <w:rPr>
                <w:rFonts w:ascii="Times New Roman" w:cs="Times New Roman" w:eastAsia="Times New Roman" w:hAnsi="Times New Roman"/>
                <w:sz w:val="18"/>
                <w:szCs w:val="18"/>
                <w:b w:val="1"/>
                <w:bCs w:val="1"/>
                <w:color w:val="auto"/>
                <w:w w:val="80"/>
              </w:rPr>
              <w:t>thousands)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Fixed maturity securities:</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U.S. Governments</w:t>
            </w: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2,006</w:t>
            </w: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(38)</w:t>
            </w:r>
          </w:p>
        </w:tc>
        <w:tc>
          <w:tcPr>
            <w:tcW w:w="2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5,704</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(188)</w:t>
            </w:r>
          </w:p>
        </w:tc>
        <w:tc>
          <w:tcPr>
            <w:tcW w:w="28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7,710</w:t>
            </w:r>
          </w:p>
        </w:tc>
        <w:tc>
          <w:tcPr>
            <w:tcW w:w="2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189"/>
        </w:trPr>
        <w:tc>
          <w:tcPr>
            <w:tcW w:w="4140" w:type="dxa"/>
            <w:vAlign w:val="bottom"/>
            <w:gridSpan w:val="2"/>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5,157</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(441)</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9,509</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(553)</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14,666</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157"/>
        </w:trPr>
        <w:tc>
          <w:tcPr>
            <w:tcW w:w="4140" w:type="dxa"/>
            <w:vAlign w:val="bottom"/>
            <w:gridSpan w:val="2"/>
          </w:tcPr>
          <w:p>
            <w:pPr>
              <w:ind w:left="80"/>
              <w:spacing w:after="0" w:line="157" w:lineRule="exact"/>
              <w:rPr>
                <w:sz w:val="20"/>
                <w:szCs w:val="20"/>
                <w:color w:val="auto"/>
              </w:rPr>
            </w:pPr>
            <w:r>
              <w:rPr>
                <w:rFonts w:ascii="Times New Roman" w:cs="Times New Roman" w:eastAsia="Times New Roman" w:hAnsi="Times New Roman"/>
                <w:sz w:val="18"/>
                <w:szCs w:val="18"/>
                <w:color w:val="auto"/>
              </w:rPr>
              <w:t>Special revenue excluding mortgage/asset-backed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189"/>
        </w:trPr>
        <w:tc>
          <w:tcPr>
            <w:tcW w:w="4140" w:type="dxa"/>
            <w:vAlign w:val="bottom"/>
            <w:gridSpan w:val="2"/>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49,963</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(948)</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160,780</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(7,456)</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210,743</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(8,404)</w:t>
            </w:r>
          </w:p>
        </w:tc>
        <w:tc>
          <w:tcPr>
            <w:tcW w:w="0" w:type="dxa"/>
            <w:vAlign w:val="bottom"/>
          </w:tcPr>
          <w:p>
            <w:pPr>
              <w:spacing w:after="0"/>
              <w:rPr>
                <w:sz w:val="1"/>
                <w:szCs w:val="1"/>
                <w:color w:val="auto"/>
              </w:rPr>
            </w:pPr>
          </w:p>
        </w:tc>
      </w:tr>
      <w:tr>
        <w:trPr>
          <w:trHeight w:val="189"/>
        </w:trPr>
        <w:tc>
          <w:tcPr>
            <w:tcW w:w="414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Mortgage/asset-backed securities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47,313</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79,733</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(7,594)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127,046</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03"/>
        </w:trPr>
        <w:tc>
          <w:tcPr>
            <w:tcW w:w="414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available-for-sale investments</w:t>
            </w:r>
          </w:p>
        </w:tc>
        <w:tc>
          <w:tcPr>
            <w:tcW w:w="16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104,439</w:t>
            </w:r>
          </w:p>
        </w:tc>
        <w:tc>
          <w:tcPr>
            <w:tcW w:w="20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(1,833)</w:t>
            </w:r>
          </w:p>
        </w:tc>
        <w:tc>
          <w:tcPr>
            <w:tcW w:w="26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270,911</w:t>
            </w:r>
          </w:p>
        </w:tc>
        <w:tc>
          <w:tcPr>
            <w:tcW w:w="20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(17,678)</w:t>
            </w:r>
          </w:p>
        </w:tc>
        <w:tc>
          <w:tcPr>
            <w:tcW w:w="280" w:type="dxa"/>
            <w:vAlign w:val="bottom"/>
            <w:gridSpan w:val="2"/>
            <w:shd w:val="clear" w:color="auto" w:fill="CFF0FC"/>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375,350</w:t>
            </w:r>
          </w:p>
        </w:tc>
        <w:tc>
          <w:tcPr>
            <w:tcW w:w="22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(19,511)</w:t>
            </w: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-1645285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-1628140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-1645285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-1628140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-1645285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-1628140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-1645285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-1628140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-1645285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-1628140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Company reviews all securities with unrealized losses on a quarterly basis to assess whether the decline in the securities fair value</w:t>
      </w:r>
    </w:p>
    <w:p>
      <w:pPr>
        <w:spacing w:after="0" w:line="16"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necessitates the recognition of an allowance for credit losses. The Company considers numerous factors in its review as described in Note 2 of the Notes to the Consolidated Financial Statements in the 2025 Annual Report on Form 10-K.</w:t>
      </w:r>
    </w:p>
    <w:p>
      <w:pPr>
        <w:spacing w:after="0" w:line="129"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Based on the Company’s review as of March 31, 2026, the Company determined that the fixed maturity securities’ unrealized losses were primarily the result of the interest rate environment and not the credit quality of the issuers. The Company does not intend to sell the investments and it is not more likely than not that the Company will be required to sell the investments before the recovery of their amortized cost basis.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9"/>
              </w:rPr>
              <w:t>Table of Contents</w:t>
            </w:r>
          </w:p>
        </w:tc>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953"/>
        </w:trPr>
        <w:tc>
          <w:tcPr>
            <w:tcW w:w="736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i w:val="1"/>
                <w:iCs w:val="1"/>
                <w:color w:val="auto"/>
              </w:rPr>
              <w:t>Contractual maturities of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sale fixed maturity securities</w:t>
            </w: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4"/>
        </w:trPr>
        <w:tc>
          <w:tcPr>
            <w:tcW w:w="9940" w:type="dxa"/>
            <w:vAlign w:val="bottom"/>
            <w:gridSpan w:val="6"/>
          </w:tcPr>
          <w:p>
            <w:pPr>
              <w:ind w:left="760"/>
              <w:spacing w:after="0"/>
              <w:rPr>
                <w:sz w:val="20"/>
                <w:szCs w:val="20"/>
                <w:color w:val="auto"/>
              </w:rPr>
            </w:pPr>
            <w:r>
              <w:rPr>
                <w:rFonts w:ascii="Times New Roman" w:cs="Times New Roman" w:eastAsia="Times New Roman" w:hAnsi="Times New Roman"/>
                <w:sz w:val="18"/>
                <w:szCs w:val="18"/>
                <w:color w:val="auto"/>
              </w:rPr>
              <w:t>The amortized cost and fair value of fixed maturity securities at March 31, 2026, by contractual maturity, are shown below.</w:t>
            </w:r>
          </w:p>
        </w:tc>
        <w:tc>
          <w:tcPr>
            <w:tcW w:w="1300" w:type="dxa"/>
            <w:vAlign w:val="bottom"/>
          </w:tcPr>
          <w:p>
            <w:pPr>
              <w:spacing w:after="0"/>
              <w:rPr>
                <w:sz w:val="24"/>
                <w:szCs w:val="24"/>
                <w:color w:val="auto"/>
              </w:rPr>
            </w:pPr>
          </w:p>
        </w:tc>
      </w:tr>
      <w:tr>
        <w:trPr>
          <w:trHeight w:val="342"/>
        </w:trPr>
        <w:tc>
          <w:tcPr>
            <w:tcW w:w="13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25"/>
        </w:trPr>
        <w:tc>
          <w:tcPr>
            <w:tcW w:w="138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183"/>
        </w:trPr>
        <w:tc>
          <w:tcPr>
            <w:tcW w:w="138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jc w:val="right"/>
              <w:ind w:right="170"/>
              <w:spacing w:after="0" w:line="182" w:lineRule="exact"/>
              <w:rPr>
                <w:sz w:val="20"/>
                <w:szCs w:val="20"/>
                <w:color w:val="auto"/>
              </w:rPr>
            </w:pPr>
            <w:r>
              <w:rPr>
                <w:rFonts w:ascii="Times New Roman" w:cs="Times New Roman" w:eastAsia="Times New Roman" w:hAnsi="Times New Roman"/>
                <w:sz w:val="18"/>
                <w:szCs w:val="18"/>
                <w:b w:val="1"/>
                <w:bCs w:val="1"/>
                <w:color w:val="auto"/>
              </w:rPr>
              <w:t>($ in</w:t>
            </w:r>
          </w:p>
        </w:tc>
        <w:tc>
          <w:tcPr>
            <w:tcW w:w="72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8"/>
                <w:szCs w:val="18"/>
                <w:b w:val="1"/>
                <w:bCs w:val="1"/>
                <w:color w:val="auto"/>
                <w:w w:val="73"/>
              </w:rPr>
              <w:t>thousands)</w:t>
            </w:r>
          </w:p>
        </w:tc>
        <w:tc>
          <w:tcPr>
            <w:tcW w:w="1300" w:type="dxa"/>
            <w:vAlign w:val="bottom"/>
          </w:tcPr>
          <w:p>
            <w:pPr>
              <w:spacing w:after="0"/>
              <w:rPr>
                <w:sz w:val="15"/>
                <w:szCs w:val="15"/>
                <w:color w:val="auto"/>
              </w:rPr>
            </w:pPr>
          </w:p>
        </w:tc>
      </w:tr>
      <w:tr>
        <w:trPr>
          <w:trHeight w:val="189"/>
        </w:trPr>
        <w:tc>
          <w:tcPr>
            <w:tcW w:w="73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Due within one year</w:t>
            </w:r>
          </w:p>
        </w:tc>
        <w:tc>
          <w:tcPr>
            <w:tcW w:w="260" w:type="dxa"/>
            <w:vAlign w:val="bottom"/>
            <w:shd w:val="clear" w:color="auto" w:fill="CFF0FC"/>
          </w:tcPr>
          <w:p>
            <w:pPr>
              <w:jc w:val="right"/>
              <w:ind w:right="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61,100</w:t>
            </w:r>
          </w:p>
        </w:tc>
        <w:tc>
          <w:tcPr>
            <w:tcW w:w="720" w:type="dxa"/>
            <w:vAlign w:val="bottom"/>
            <w:gridSpan w:val="2"/>
            <w:shd w:val="clear" w:color="auto" w:fill="CFF0FC"/>
          </w:tcPr>
          <w:p>
            <w:pPr>
              <w:jc w:val="right"/>
              <w:ind w:right="4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61,029</w:t>
            </w:r>
          </w:p>
        </w:tc>
      </w:tr>
      <w:tr>
        <w:trPr>
          <w:trHeight w:val="189"/>
        </w:trPr>
        <w:tc>
          <w:tcPr>
            <w:tcW w:w="7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Due after one year through five years</w:t>
            </w:r>
          </w:p>
        </w:tc>
        <w:tc>
          <w:tcPr>
            <w:tcW w:w="260" w:type="dxa"/>
            <w:vAlign w:val="bottom"/>
          </w:tcPr>
          <w:p>
            <w:pPr>
              <w:spacing w:after="0"/>
              <w:rPr>
                <w:sz w:val="16"/>
                <w:szCs w:val="16"/>
                <w:color w:val="auto"/>
              </w:rPr>
            </w:pPr>
          </w:p>
        </w:tc>
        <w:tc>
          <w:tcPr>
            <w:tcW w:w="16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286,548</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282,929</w:t>
            </w:r>
          </w:p>
        </w:tc>
      </w:tr>
      <w:tr>
        <w:trPr>
          <w:trHeight w:val="189"/>
        </w:trPr>
        <w:tc>
          <w:tcPr>
            <w:tcW w:w="73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Due after five years through ten years</w:t>
            </w:r>
          </w:p>
        </w:tc>
        <w:tc>
          <w:tcPr>
            <w:tcW w:w="260" w:type="dxa"/>
            <w:vAlign w:val="bottom"/>
            <w:shd w:val="clear" w:color="auto" w:fill="CFF0FC"/>
          </w:tcPr>
          <w:p>
            <w:pPr>
              <w:spacing w:after="0"/>
              <w:rPr>
                <w:sz w:val="16"/>
                <w:szCs w:val="16"/>
                <w:color w:val="auto"/>
              </w:rPr>
            </w:pPr>
          </w:p>
        </w:tc>
        <w:tc>
          <w:tcPr>
            <w:tcW w:w="16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261,369</w:t>
            </w:r>
          </w:p>
        </w:tc>
        <w:tc>
          <w:tcPr>
            <w:tcW w:w="1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258,947</w:t>
            </w:r>
          </w:p>
        </w:tc>
      </w:tr>
      <w:tr>
        <w:trPr>
          <w:trHeight w:val="189"/>
        </w:trPr>
        <w:tc>
          <w:tcPr>
            <w:tcW w:w="7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Due after ten years</w:t>
            </w:r>
          </w:p>
        </w:tc>
        <w:tc>
          <w:tcPr>
            <w:tcW w:w="260" w:type="dxa"/>
            <w:vAlign w:val="bottom"/>
          </w:tcPr>
          <w:p>
            <w:pPr>
              <w:spacing w:after="0"/>
              <w:rPr>
                <w:sz w:val="16"/>
                <w:szCs w:val="16"/>
                <w:color w:val="auto"/>
              </w:rPr>
            </w:pPr>
          </w:p>
        </w:tc>
        <w:tc>
          <w:tcPr>
            <w:tcW w:w="16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178,474</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169,940</w:t>
            </w:r>
          </w:p>
        </w:tc>
      </w:tr>
      <w:tr>
        <w:trPr>
          <w:trHeight w:val="189"/>
        </w:trPr>
        <w:tc>
          <w:tcPr>
            <w:tcW w:w="736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Mortgage and asset-backed securities</w:t>
            </w:r>
          </w:p>
        </w:tc>
        <w:tc>
          <w:tcPr>
            <w:tcW w:w="260" w:type="dxa"/>
            <w:vAlign w:val="bottom"/>
            <w:tcBorders>
              <w:bottom w:val="single" w:sz="8" w:color="auto"/>
            </w:tcBorders>
            <w:shd w:val="clear" w:color="auto" w:fill="CFF0FC"/>
          </w:tcPr>
          <w:p>
            <w:pPr>
              <w:spacing w:after="0"/>
              <w:rPr>
                <w:sz w:val="16"/>
                <w:szCs w:val="16"/>
                <w:color w:val="auto"/>
              </w:rPr>
            </w:pPr>
          </w:p>
        </w:tc>
        <w:tc>
          <w:tcPr>
            <w:tcW w:w="16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643,943</w:t>
            </w:r>
          </w:p>
        </w:tc>
        <w:tc>
          <w:tcPr>
            <w:tcW w:w="18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636,872</w:t>
            </w:r>
          </w:p>
        </w:tc>
      </w:tr>
      <w:tr>
        <w:trPr>
          <w:trHeight w:val="183"/>
        </w:trPr>
        <w:tc>
          <w:tcPr>
            <w:tcW w:w="138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60" w:type="dxa"/>
            <w:vAlign w:val="bottom"/>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1,431,434</w:t>
            </w:r>
          </w:p>
        </w:tc>
        <w:tc>
          <w:tcPr>
            <w:tcW w:w="720" w:type="dxa"/>
            <w:vAlign w:val="bottom"/>
            <w:gridSpan w:val="2"/>
          </w:tcPr>
          <w:p>
            <w:pPr>
              <w:jc w:val="right"/>
              <w:ind w:right="4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1,409,717</w:t>
            </w:r>
          </w:p>
        </w:tc>
      </w:tr>
      <w:tr>
        <w:trPr>
          <w:trHeight w:val="20"/>
        </w:trPr>
        <w:tc>
          <w:tcPr>
            <w:tcW w:w="13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-153670</wp:posOffset>
            </wp:positionV>
            <wp:extent cx="120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Expected maturities may differ from contractual maturities because borrowers may have the right to call or prepay obligations.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investment income summary</w:t>
            </w:r>
          </w:p>
        </w:tc>
        <w:tc>
          <w:tcPr>
            <w:tcW w:w="1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3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Net investment income is summarized as follows:</w:t>
            </w: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3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360" w:type="dxa"/>
            <w:vAlign w:val="bottom"/>
          </w:tcPr>
          <w:p>
            <w:pPr>
              <w:spacing w:after="0"/>
              <w:rPr>
                <w:sz w:val="15"/>
                <w:szCs w:val="15"/>
                <w:color w:val="auto"/>
              </w:rPr>
            </w:pPr>
          </w:p>
        </w:tc>
        <w:tc>
          <w:tcPr>
            <w:tcW w:w="10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10"/>
              <w:spacing w:after="0" w:line="182"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183"/>
        </w:trPr>
        <w:tc>
          <w:tcPr>
            <w:tcW w:w="7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jc w:val="right"/>
              <w:ind w:right="170"/>
              <w:spacing w:after="0" w:line="182" w:lineRule="exact"/>
              <w:rPr>
                <w:sz w:val="20"/>
                <w:szCs w:val="20"/>
                <w:color w:val="auto"/>
              </w:rPr>
            </w:pPr>
            <w:r>
              <w:rPr>
                <w:rFonts w:ascii="Times New Roman" w:cs="Times New Roman" w:eastAsia="Times New Roman" w:hAnsi="Times New Roman"/>
                <w:sz w:val="18"/>
                <w:szCs w:val="18"/>
                <w:b w:val="1"/>
                <w:bCs w:val="1"/>
                <w:color w:val="auto"/>
              </w:rPr>
              <w:t>($ in</w:t>
            </w:r>
          </w:p>
        </w:tc>
        <w:tc>
          <w:tcPr>
            <w:tcW w:w="84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8"/>
                <w:szCs w:val="18"/>
                <w:b w:val="1"/>
                <w:bCs w:val="1"/>
                <w:color w:val="auto"/>
                <w:w w:val="73"/>
              </w:rPr>
              <w:t>thousands)</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shd w:val="clear" w:color="auto" w:fill="CFF0FC"/>
          </w:tcPr>
          <w:p>
            <w:pPr>
              <w:jc w:val="right"/>
              <w:ind w:right="874"/>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17,308</w:t>
            </w:r>
          </w:p>
        </w:tc>
        <w:tc>
          <w:tcPr>
            <w:tcW w:w="840" w:type="dxa"/>
            <w:vAlign w:val="bottom"/>
            <w:gridSpan w:val="2"/>
            <w:shd w:val="clear" w:color="auto" w:fill="CFF0FC"/>
          </w:tcPr>
          <w:p>
            <w:pPr>
              <w:jc w:val="right"/>
              <w:ind w:right="5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11,965</w:t>
            </w:r>
          </w:p>
        </w:tc>
        <w:tc>
          <w:tcPr>
            <w:tcW w:w="0" w:type="dxa"/>
            <w:vAlign w:val="bottom"/>
          </w:tcPr>
          <w:p>
            <w:pPr>
              <w:spacing w:after="0"/>
              <w:rPr>
                <w:sz w:val="1"/>
                <w:szCs w:val="1"/>
                <w:color w:val="auto"/>
              </w:rPr>
            </w:pPr>
          </w:p>
        </w:tc>
      </w:tr>
      <w:tr>
        <w:trPr>
          <w:trHeight w:val="189"/>
        </w:trPr>
        <w:tc>
          <w:tcPr>
            <w:tcW w:w="7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Dividend income</w:t>
            </w:r>
          </w:p>
        </w:tc>
        <w:tc>
          <w:tcPr>
            <w:tcW w:w="1040" w:type="dxa"/>
            <w:vAlign w:val="bottom"/>
          </w:tcPr>
          <w:p>
            <w:pPr>
              <w:spacing w:after="0"/>
              <w:rPr>
                <w:sz w:val="16"/>
                <w:szCs w:val="16"/>
                <w:color w:val="auto"/>
              </w:rPr>
            </w:pPr>
          </w:p>
        </w:tc>
        <w:tc>
          <w:tcPr>
            <w:tcW w:w="8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970</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189"/>
        </w:trPr>
        <w:tc>
          <w:tcPr>
            <w:tcW w:w="736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Investment expense</w:t>
            </w:r>
          </w:p>
        </w:tc>
        <w:tc>
          <w:tcPr>
            <w:tcW w:w="10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(294)</w:t>
            </w:r>
          </w:p>
        </w:tc>
        <w:tc>
          <w:tcPr>
            <w:tcW w:w="18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183"/>
        </w:trPr>
        <w:tc>
          <w:tcPr>
            <w:tcW w:w="73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investment income</w:t>
            </w:r>
          </w:p>
        </w:tc>
        <w:tc>
          <w:tcPr>
            <w:tcW w:w="1040" w:type="dxa"/>
            <w:vAlign w:val="bottom"/>
          </w:tcPr>
          <w:p>
            <w:pPr>
              <w:jc w:val="right"/>
              <w:ind w:right="874"/>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17,984</w:t>
            </w:r>
          </w:p>
        </w:tc>
        <w:tc>
          <w:tcPr>
            <w:tcW w:w="840" w:type="dxa"/>
            <w:vAlign w:val="bottom"/>
            <w:gridSpan w:val="2"/>
          </w:tcPr>
          <w:p>
            <w:pPr>
              <w:jc w:val="right"/>
              <w:ind w:right="5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12,071</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Net realized and unrealized investment gains and losses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3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3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following table presents net realized and unrealized investment gains and losses:</w:t>
            </w: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3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360" w:type="dxa"/>
            <w:vAlign w:val="bottom"/>
          </w:tcPr>
          <w:p>
            <w:pPr>
              <w:spacing w:after="0"/>
              <w:rPr>
                <w:sz w:val="15"/>
                <w:szCs w:val="15"/>
                <w:color w:val="auto"/>
              </w:rPr>
            </w:pPr>
          </w:p>
        </w:tc>
        <w:tc>
          <w:tcPr>
            <w:tcW w:w="10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10"/>
              <w:spacing w:after="0" w:line="182"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183"/>
        </w:trPr>
        <w:tc>
          <w:tcPr>
            <w:tcW w:w="7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jc w:val="right"/>
              <w:ind w:right="170"/>
              <w:spacing w:after="0" w:line="182" w:lineRule="exact"/>
              <w:rPr>
                <w:sz w:val="20"/>
                <w:szCs w:val="20"/>
                <w:color w:val="auto"/>
              </w:rPr>
            </w:pPr>
            <w:r>
              <w:rPr>
                <w:rFonts w:ascii="Times New Roman" w:cs="Times New Roman" w:eastAsia="Times New Roman" w:hAnsi="Times New Roman"/>
                <w:sz w:val="18"/>
                <w:szCs w:val="18"/>
                <w:b w:val="1"/>
                <w:bCs w:val="1"/>
                <w:color w:val="auto"/>
              </w:rPr>
              <w:t>($ in</w:t>
            </w:r>
          </w:p>
        </w:tc>
        <w:tc>
          <w:tcPr>
            <w:tcW w:w="84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8"/>
                <w:szCs w:val="18"/>
                <w:b w:val="1"/>
                <w:bCs w:val="1"/>
                <w:color w:val="auto"/>
                <w:w w:val="73"/>
              </w:rPr>
              <w:t>thousands)</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Realized gains:</w:t>
            </w:r>
          </w:p>
        </w:tc>
        <w:tc>
          <w:tcPr>
            <w:tcW w:w="10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Gains on sales of fixed maturity securities</w:t>
            </w:r>
          </w:p>
        </w:tc>
        <w:tc>
          <w:tcPr>
            <w:tcW w:w="1040" w:type="dxa"/>
            <w:vAlign w:val="bottom"/>
          </w:tcPr>
          <w:p>
            <w:pPr>
              <w:jc w:val="right"/>
              <w:ind w:right="874"/>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840" w:type="dxa"/>
            <w:vAlign w:val="bottom"/>
            <w:gridSpan w:val="2"/>
          </w:tcPr>
          <w:p>
            <w:pPr>
              <w:jc w:val="right"/>
              <w:ind w:right="5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89"/>
        </w:trPr>
        <w:tc>
          <w:tcPr>
            <w:tcW w:w="736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Gains on sales of equity securities</w:t>
            </w:r>
          </w:p>
        </w:tc>
        <w:tc>
          <w:tcPr>
            <w:tcW w:w="10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83"/>
        </w:trPr>
        <w:tc>
          <w:tcPr>
            <w:tcW w:w="73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realized gains</w:t>
            </w:r>
          </w:p>
        </w:tc>
        <w:tc>
          <w:tcPr>
            <w:tcW w:w="10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83"/>
        </w:trPr>
        <w:tc>
          <w:tcPr>
            <w:tcW w:w="73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Realized losses:</w:t>
            </w:r>
          </w:p>
        </w:tc>
        <w:tc>
          <w:tcPr>
            <w:tcW w:w="10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Losses on sales of fixed maturity securities</w:t>
            </w:r>
          </w:p>
        </w:tc>
        <w:tc>
          <w:tcPr>
            <w:tcW w:w="1040" w:type="dxa"/>
            <w:vAlign w:val="bottom"/>
          </w:tcPr>
          <w:p>
            <w:pPr>
              <w:spacing w:after="0"/>
              <w:rPr>
                <w:sz w:val="16"/>
                <w:szCs w:val="16"/>
                <w:color w:val="auto"/>
              </w:rPr>
            </w:pPr>
          </w:p>
        </w:tc>
        <w:tc>
          <w:tcPr>
            <w:tcW w:w="8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189"/>
        </w:trPr>
        <w:tc>
          <w:tcPr>
            <w:tcW w:w="736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Losses on sales of equity securities</w:t>
            </w:r>
          </w:p>
        </w:tc>
        <w:tc>
          <w:tcPr>
            <w:tcW w:w="10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83"/>
        </w:trPr>
        <w:tc>
          <w:tcPr>
            <w:tcW w:w="73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realized losses</w:t>
            </w:r>
          </w:p>
        </w:tc>
        <w:tc>
          <w:tcPr>
            <w:tcW w:w="10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183"/>
        </w:trPr>
        <w:tc>
          <w:tcPr>
            <w:tcW w:w="73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Net realized investment gains (losses)</w:t>
            </w:r>
          </w:p>
        </w:tc>
        <w:tc>
          <w:tcPr>
            <w:tcW w:w="10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189"/>
        </w:trPr>
        <w:tc>
          <w:tcPr>
            <w:tcW w:w="7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Change in allowance for credit losses</w:t>
            </w:r>
          </w:p>
        </w:tc>
        <w:tc>
          <w:tcPr>
            <w:tcW w:w="1040" w:type="dxa"/>
            <w:vAlign w:val="bottom"/>
          </w:tcPr>
          <w:p>
            <w:pPr>
              <w:spacing w:after="0"/>
              <w:rPr>
                <w:sz w:val="16"/>
                <w:szCs w:val="16"/>
                <w:color w:val="auto"/>
              </w:rPr>
            </w:pPr>
          </w:p>
        </w:tc>
        <w:tc>
          <w:tcPr>
            <w:tcW w:w="8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189"/>
        </w:trPr>
        <w:tc>
          <w:tcPr>
            <w:tcW w:w="73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unrealized losses on equity securities</w:t>
            </w:r>
          </w:p>
        </w:tc>
        <w:tc>
          <w:tcPr>
            <w:tcW w:w="10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(2,094)</w:t>
            </w: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(2,332)</w:t>
            </w:r>
          </w:p>
        </w:tc>
        <w:tc>
          <w:tcPr>
            <w:tcW w:w="0" w:type="dxa"/>
            <w:vAlign w:val="bottom"/>
          </w:tcPr>
          <w:p>
            <w:pPr>
              <w:spacing w:after="0"/>
              <w:rPr>
                <w:sz w:val="1"/>
                <w:szCs w:val="1"/>
                <w:color w:val="auto"/>
              </w:rPr>
            </w:pPr>
          </w:p>
        </w:tc>
      </w:tr>
      <w:tr>
        <w:trPr>
          <w:trHeight w:val="189"/>
        </w:trPr>
        <w:tc>
          <w:tcPr>
            <w:tcW w:w="7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unrealized losses on equity method investment</w:t>
            </w:r>
          </w:p>
        </w:tc>
        <w:tc>
          <w:tcPr>
            <w:tcW w:w="1040" w:type="dxa"/>
            <w:vAlign w:val="bottom"/>
          </w:tcPr>
          <w:p>
            <w:pPr>
              <w:spacing w:after="0"/>
              <w:rPr>
                <w:sz w:val="16"/>
                <w:szCs w:val="16"/>
                <w:color w:val="auto"/>
              </w:rPr>
            </w:pPr>
          </w:p>
        </w:tc>
        <w:tc>
          <w:tcPr>
            <w:tcW w:w="8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89"/>
        </w:trPr>
        <w:tc>
          <w:tcPr>
            <w:tcW w:w="736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unrealized gains on other investments</w:t>
            </w:r>
          </w:p>
        </w:tc>
        <w:tc>
          <w:tcPr>
            <w:tcW w:w="10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193</w:t>
            </w:r>
          </w:p>
        </w:tc>
        <w:tc>
          <w:tcPr>
            <w:tcW w:w="18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182"/>
        </w:trPr>
        <w:tc>
          <w:tcPr>
            <w:tcW w:w="73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realized and unrealized losses on investments</w:t>
            </w:r>
          </w:p>
        </w:tc>
        <w:tc>
          <w:tcPr>
            <w:tcW w:w="1040" w:type="dxa"/>
            <w:vAlign w:val="bottom"/>
          </w:tcPr>
          <w:p>
            <w:pPr>
              <w:jc w:val="right"/>
              <w:ind w:right="874"/>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(1,894)</w:t>
            </w:r>
          </w:p>
        </w:tc>
        <w:tc>
          <w:tcPr>
            <w:tcW w:w="840" w:type="dxa"/>
            <w:vAlign w:val="bottom"/>
            <w:gridSpan w:val="2"/>
          </w:tcPr>
          <w:p>
            <w:pPr>
              <w:jc w:val="right"/>
              <w:ind w:right="5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(2,338)</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-3034030</wp:posOffset>
            </wp:positionV>
            <wp:extent cx="1200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-1388110</wp:posOffset>
            </wp:positionV>
            <wp:extent cx="1200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-890905</wp:posOffset>
            </wp:positionV>
            <wp:extent cx="1200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-153670</wp:posOffset>
            </wp:positionV>
            <wp:extent cx="1200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6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Realized gains and losses on disposition of investments are based on specific identification of the investments sold on the settlement date.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280" w:firstLine="749"/>
        <w:spacing w:after="0" w:line="258" w:lineRule="auto"/>
        <w:rPr>
          <w:sz w:val="20"/>
          <w:szCs w:val="20"/>
          <w:color w:val="auto"/>
        </w:rPr>
      </w:pPr>
      <w:r>
        <w:rPr>
          <w:rFonts w:ascii="Times New Roman" w:cs="Times New Roman" w:eastAsia="Times New Roman" w:hAnsi="Times New Roman"/>
          <w:sz w:val="18"/>
          <w:szCs w:val="18"/>
          <w:color w:val="auto"/>
        </w:rPr>
        <w:t>Proceeds from the sale of fixed maturity securities were $15.4 million and $2.0 million for the three months ended March 31, 2026 and 2025, respectively. Proceeds from the sale of equity securities were an insignificant amount and $1.8 million for the three months ended March 31, 2026 and 2025.</w:t>
      </w:r>
    </w:p>
    <w:p>
      <w:pPr>
        <w:spacing w:after="0" w:line="129" w:lineRule="exact"/>
        <w:rPr>
          <w:sz w:val="20"/>
          <w:szCs w:val="20"/>
          <w:color w:val="auto"/>
        </w:rPr>
      </w:pPr>
    </w:p>
    <w:p>
      <w:pPr>
        <w:jc w:val="both"/>
        <w:ind w:right="80" w:firstLine="749"/>
        <w:spacing w:after="0" w:line="218" w:lineRule="exact"/>
        <w:rPr>
          <w:sz w:val="20"/>
          <w:szCs w:val="20"/>
          <w:color w:val="auto"/>
        </w:rPr>
      </w:pPr>
      <w:r>
        <w:rPr>
          <w:rFonts w:ascii="Times New Roman" w:cs="Times New Roman" w:eastAsia="Times New Roman" w:hAnsi="Times New Roman"/>
          <w:sz w:val="18"/>
          <w:szCs w:val="18"/>
          <w:color w:val="auto"/>
        </w:rPr>
        <w:t>The Company places securities on statutory deposit with certain state agencies to retain the right to do business in those states. These securities are included in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investments on the unaudited condensed consolidated balance sheets. As of March 31, 2026 and December 31, 2025, the carrying value of securities on deposit with state regulatory authorities was $18.6 million and $13.5 million, respectively.</w:t>
      </w:r>
    </w:p>
    <w:p>
      <w:pPr>
        <w:spacing w:after="0" w:line="158"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color w:val="auto"/>
        </w:rPr>
        <w:t>The Company has investments in limited partnerships, recorded in the Other investments line of the unaudited condensed consolidated balance sheets. These investments represent capital contributions to private equity funds structured as limited partnerships, which primarily hold illiquid securities. The funds have a ten-year term with no redemption rights. Capital is contributed as called by the general partners, and distributions are received as proceeds are generated from the underlying investments. These investments are measured at estimated fair value utilizing a net asset value per share (or its equivalent) as a practical expedient. As of March 31, 2026, the Company had unfunded commitments to invest an additional $136.1 million in these limited partnerships.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Derivative Instruments</w:t>
      </w:r>
    </w:p>
    <w:p>
      <w:pPr>
        <w:spacing w:after="0" w:line="202" w:lineRule="exact"/>
        <w:rPr>
          <w:sz w:val="20"/>
          <w:szCs w:val="20"/>
          <w:color w:val="auto"/>
        </w:rPr>
      </w:pPr>
    </w:p>
    <w:p>
      <w:pPr>
        <w:ind w:right="200" w:firstLine="749"/>
        <w:spacing w:after="0" w:line="247" w:lineRule="auto"/>
        <w:rPr>
          <w:sz w:val="20"/>
          <w:szCs w:val="20"/>
          <w:color w:val="auto"/>
        </w:rPr>
      </w:pPr>
      <w:r>
        <w:rPr>
          <w:rFonts w:ascii="Times New Roman" w:cs="Times New Roman" w:eastAsia="Times New Roman" w:hAnsi="Times New Roman"/>
          <w:sz w:val="18"/>
          <w:szCs w:val="18"/>
          <w:color w:val="auto"/>
        </w:rPr>
        <w:t>The Company uses commodity-based derivative instruments, specifically put options on livestock, as part of its financial risk management program to mitigate price risk associated with certain insurance contracts exposed to livestock commodity price fluctuations. As part of this program, the Company employs an economic hedging strategy using derivatives to reduce exposure to adverse livestock price movements. The notional amount of derivative contracts held and the degree of hedged exposure are actively managed and vary based on volume of the business written. The Company does not use derivatives for speculative or trading purposes. All derivative positions are intended to support the overall risk management objectives of the business. The Company has not elected hedge accounting for these derivatives.</w:t>
      </w:r>
    </w:p>
    <w:p>
      <w:pPr>
        <w:spacing w:after="0" w:line="153"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These derivative instruments are recorded at fair value on the unaudited condensed consolidated balance sheets within “Other investments,” with changes in fair value recognized in earnings in “Losses and loss adjustment expenses.”</w:t>
      </w:r>
    </w:p>
    <w:p>
      <w:pPr>
        <w:spacing w:after="0" w:line="135" w:lineRule="exact"/>
        <w:rPr>
          <w:sz w:val="20"/>
          <w:szCs w:val="20"/>
          <w:color w:val="auto"/>
        </w:rPr>
      </w:pPr>
    </w:p>
    <w:p>
      <w:pPr>
        <w:ind w:right="20" w:firstLine="749"/>
        <w:spacing w:after="0" w:line="245" w:lineRule="auto"/>
        <w:rPr>
          <w:sz w:val="20"/>
          <w:szCs w:val="20"/>
          <w:color w:val="auto"/>
        </w:rPr>
      </w:pPr>
      <w:r>
        <w:rPr>
          <w:rFonts w:ascii="Times New Roman" w:cs="Times New Roman" w:eastAsia="Times New Roman" w:hAnsi="Times New Roman"/>
          <w:sz w:val="18"/>
          <w:szCs w:val="18"/>
          <w:color w:val="auto"/>
        </w:rPr>
        <w:t>As of March 31, 2026, the notional amount and fair value of the Company’s derivative assets were $13.2 million and $4.4 million, respectively. As of December 31, 2025, the notional amount and fair value of the Company’s derivative assets were $16.4 million and $9.9 million, respectively. For the three months ended March 31, 2026 and 2025, the Company recognized $12.3 million and an insignificant amount, respectively, of pre-tax net gains related to these derivatives, which were included in earnings within “Losses and loss adjustment expenses.”</w:t>
      </w:r>
    </w:p>
    <w:p>
      <w:pPr>
        <w:spacing w:after="0" w:line="154"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See Note 2 to the Notes to the Consolidated Financial Statements in our 2025 Annual Report on Form 10-K for additional discussion of the Company’s derivative instrument policy.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8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the Company would receive upon selling an investment in an orderly transaction to an independent buyer in the principal or most advantageous market for the investment.</w:t>
      </w:r>
    </w:p>
    <w:p>
      <w:pPr>
        <w:spacing w:after="0" w:line="95"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tier hierarchy of inputs is summarized in the three broad levels listed below:</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1—Unadjusted quoted prices are available in active markets for identical investments as of the reporting date.</w:t>
      </w:r>
    </w:p>
    <w:p>
      <w:pPr>
        <w:spacing w:after="0" w:line="185"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Level 2—Pricing inputs are quoted prices for similar investments in active markets; quoted prices for identical or similar investments in inactive markets; or valuations based on models where the significant inputs are observable or can be corroborated by observable market data.</w:t>
      </w:r>
    </w:p>
    <w:p>
      <w:pPr>
        <w:spacing w:after="0" w:line="135"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Level 3—Pricing inputs into models are unobservable for the investment. The unobservable inputs require significant management judgment or estimation.</w:t>
      </w:r>
    </w:p>
    <w:p>
      <w:pPr>
        <w:spacing w:after="0" w:line="135"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8"/>
          <w:szCs w:val="18"/>
          <w:color w:val="auto"/>
        </w:rPr>
        <w:t>To measure fair value, the Company obtains quoted market prices for its investment securities from its outside investment managers. If a quoted market price is not available, the Company uses prices of similar securities. The fair values obtained from the outside investment managers are reviewed for reasonableness and any discrepancies are investigated for final valuation.</w:t>
      </w:r>
    </w:p>
    <w:p>
      <w:pPr>
        <w:spacing w:after="0" w:line="150" w:lineRule="exact"/>
        <w:rPr>
          <w:sz w:val="20"/>
          <w:szCs w:val="20"/>
          <w:color w:val="auto"/>
        </w:rPr>
      </w:pPr>
    </w:p>
    <w:p>
      <w:pPr>
        <w:ind w:right="240" w:firstLine="749"/>
        <w:spacing w:after="0" w:line="250" w:lineRule="auto"/>
        <w:rPr>
          <w:sz w:val="20"/>
          <w:szCs w:val="20"/>
          <w:color w:val="auto"/>
        </w:rPr>
      </w:pPr>
      <w:r>
        <w:rPr>
          <w:rFonts w:ascii="Times New Roman" w:cs="Times New Roman" w:eastAsia="Times New Roman" w:hAnsi="Times New Roman"/>
          <w:sz w:val="18"/>
          <w:szCs w:val="18"/>
          <w:color w:val="auto"/>
        </w:rPr>
        <w:t>The fair value of the Company’s investments in fixed maturity securities is estimated using relevant inputs, including available market information, benchmark curves, benchmarking of like securities, sector groupings, and matrix pricing. An option adjusted spread model is also used to develop prepayment and interest rate scenarios. Industry standard models are used to analyze and value securities with embedded options or prepayment sensitivities. These fair value measurements are estimated based on</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observable, objectively verifiable market information rather than market quotes. Therefore, these investments are classified and disclosed in Level 2 of the hierarchy.</w:t>
      </w:r>
    </w:p>
    <w:p>
      <w:pPr>
        <w:spacing w:after="0" w:line="135"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hierarchy for financial assets and liabilities measured at fair value on a recurring basis as of March 31, 2026 and December 31, 2025.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3"/>
        </w:trPr>
        <w:tc>
          <w:tcPr>
            <w:tcW w:w="5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b w:val="1"/>
                <w:bCs w:val="1"/>
                <w:color w:val="auto"/>
              </w:rPr>
              <w:t>($ in</w:t>
            </w:r>
          </w:p>
        </w:tc>
        <w:tc>
          <w:tcPr>
            <w:tcW w:w="1020" w:type="dxa"/>
            <w:vAlign w:val="bottom"/>
            <w:gridSpan w:val="2"/>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color w:val="auto"/>
                <w:w w:val="73"/>
              </w:rPr>
              <w:t>thousands)</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9"/>
        </w:trPr>
        <w:tc>
          <w:tcPr>
            <w:tcW w:w="5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r>
      <w:tr>
        <w:trPr>
          <w:trHeight w:val="189"/>
        </w:trPr>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Fixed maturity securities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552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U.S. Governments</w:t>
            </w:r>
          </w:p>
        </w:tc>
        <w:tc>
          <w:tcPr>
            <w:tcW w:w="32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29,242</w:t>
            </w:r>
          </w:p>
        </w:tc>
        <w:tc>
          <w:tcPr>
            <w:tcW w:w="1020" w:type="dxa"/>
            <w:vAlign w:val="bottom"/>
            <w:gridSpan w:val="2"/>
            <w:shd w:val="clear" w:color="auto" w:fill="CFF0FC"/>
          </w:tcPr>
          <w:p>
            <w:pPr>
              <w:jc w:val="right"/>
              <w:ind w:right="7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29,242</w:t>
            </w: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18,676</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18,676</w:t>
            </w:r>
          </w:p>
        </w:tc>
      </w:tr>
      <w:tr>
        <w:trPr>
          <w:trHeight w:val="189"/>
        </w:trPr>
        <w:tc>
          <w:tcPr>
            <w:tcW w:w="552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18,232</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18,232</w:t>
            </w: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706,695</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706,695</w:t>
            </w:r>
          </w:p>
        </w:tc>
      </w:tr>
      <w:tr>
        <w:trPr>
          <w:trHeight w:val="189"/>
        </w:trPr>
        <w:tc>
          <w:tcPr>
            <w:tcW w:w="552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Mortgage/asset-backed securities</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636,872</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636,872</w:t>
            </w: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111,080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1,141</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112,339</w:t>
            </w:r>
          </w:p>
        </w:tc>
      </w:tr>
      <w:tr>
        <w:trPr>
          <w:trHeight w:val="189"/>
        </w:trPr>
        <w:tc>
          <w:tcPr>
            <w:tcW w:w="552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Cash, cash equivalents, and restricted cash</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56,554</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56,554</w:t>
            </w: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Derivative assets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4,390</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4,390</w:t>
            </w:r>
          </w:p>
        </w:tc>
      </w:tr>
      <w:tr>
        <w:trPr>
          <w:trHeight w:val="203"/>
        </w:trPr>
        <w:tc>
          <w:tcPr>
            <w:tcW w:w="55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gridSpan w:val="2"/>
            <w:shd w:val="clear" w:color="auto" w:fill="CFF0FC"/>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172,024</w:t>
            </w:r>
          </w:p>
        </w:tc>
        <w:tc>
          <w:tcPr>
            <w:tcW w:w="320" w:type="dxa"/>
            <w:vAlign w:val="bottom"/>
            <w:gridSpan w:val="2"/>
            <w:shd w:val="clear" w:color="auto" w:fill="CFF0FC"/>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1,410,858</w:t>
            </w:r>
          </w:p>
        </w:tc>
        <w:tc>
          <w:tcPr>
            <w:tcW w:w="1020" w:type="dxa"/>
            <w:vAlign w:val="bottom"/>
            <w:gridSpan w:val="2"/>
            <w:shd w:val="clear" w:color="auto" w:fill="CFF0FC"/>
          </w:tcPr>
          <w:p>
            <w:pPr>
              <w:jc w:val="right"/>
              <w:ind w:right="7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118</w:t>
            </w:r>
          </w:p>
        </w:tc>
        <w:tc>
          <w:tcPr>
            <w:tcW w:w="380" w:type="dxa"/>
            <w:vAlign w:val="bottom"/>
            <w:gridSpan w:val="2"/>
            <w:shd w:val="clear" w:color="auto" w:fill="CFF0FC"/>
          </w:tcPr>
          <w:p>
            <w:pPr>
              <w:jc w:val="right"/>
              <w:ind w:right="1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1,583,000</w:t>
            </w: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-25400</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3"/>
        </w:trPr>
        <w:tc>
          <w:tcPr>
            <w:tcW w:w="5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b w:val="1"/>
                <w:bCs w:val="1"/>
                <w:color w:val="auto"/>
              </w:rPr>
              <w:t>($ in</w:t>
            </w:r>
          </w:p>
        </w:tc>
        <w:tc>
          <w:tcPr>
            <w:tcW w:w="1060" w:type="dxa"/>
            <w:vAlign w:val="bottom"/>
            <w:gridSpan w:val="2"/>
          </w:tcPr>
          <w:p>
            <w:pPr>
              <w:jc w:val="right"/>
              <w:ind w:right="330"/>
              <w:spacing w:after="0" w:line="182" w:lineRule="exact"/>
              <w:rPr>
                <w:sz w:val="20"/>
                <w:szCs w:val="20"/>
                <w:color w:val="auto"/>
              </w:rPr>
            </w:pPr>
            <w:r>
              <w:rPr>
                <w:rFonts w:ascii="Times New Roman" w:cs="Times New Roman" w:eastAsia="Times New Roman" w:hAnsi="Times New Roman"/>
                <w:sz w:val="18"/>
                <w:szCs w:val="18"/>
                <w:b w:val="1"/>
                <w:bCs w:val="1"/>
                <w:color w:val="auto"/>
                <w:w w:val="73"/>
              </w:rPr>
              <w:t>thousands)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9"/>
        </w:trPr>
        <w:tc>
          <w:tcPr>
            <w:tcW w:w="5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r>
      <w:tr>
        <w:trPr>
          <w:trHeight w:val="189"/>
        </w:trPr>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Fixed maturity securities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552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U.S. Governments</w:t>
            </w:r>
          </w:p>
        </w:tc>
        <w:tc>
          <w:tcPr>
            <w:tcW w:w="32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23,587</w:t>
            </w:r>
          </w:p>
        </w:tc>
        <w:tc>
          <w:tcPr>
            <w:tcW w:w="1060" w:type="dxa"/>
            <w:vAlign w:val="bottom"/>
            <w:gridSpan w:val="2"/>
            <w:shd w:val="clear" w:color="auto" w:fill="CFF0FC"/>
          </w:tcPr>
          <w:p>
            <w:pPr>
              <w:jc w:val="right"/>
              <w:ind w:right="7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23,587</w:t>
            </w: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18,862</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18,862</w:t>
            </w:r>
          </w:p>
        </w:tc>
      </w:tr>
      <w:tr>
        <w:trPr>
          <w:trHeight w:val="189"/>
        </w:trPr>
        <w:tc>
          <w:tcPr>
            <w:tcW w:w="552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17,465</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80" w:type="dxa"/>
            <w:vAlign w:val="bottom"/>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17,465</w:t>
            </w: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608,235</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608,235</w:t>
            </w:r>
          </w:p>
        </w:tc>
      </w:tr>
      <w:tr>
        <w:trPr>
          <w:trHeight w:val="189"/>
        </w:trPr>
        <w:tc>
          <w:tcPr>
            <w:tcW w:w="552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Mortgage/asset-backed securities</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556,038</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80" w:type="dxa"/>
            <w:vAlign w:val="bottom"/>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556,038</w:t>
            </w: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99,333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99,333</w:t>
            </w:r>
          </w:p>
        </w:tc>
      </w:tr>
      <w:tr>
        <w:trPr>
          <w:trHeight w:val="189"/>
        </w:trPr>
        <w:tc>
          <w:tcPr>
            <w:tcW w:w="552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Cash, cash equivalents, and restricted cash</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106,892</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80" w:type="dxa"/>
            <w:vAlign w:val="bottom"/>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106,892</w:t>
            </w: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Derivative assets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9,934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9,934</w:t>
            </w:r>
          </w:p>
        </w:tc>
      </w:tr>
      <w:tr>
        <w:trPr>
          <w:trHeight w:val="203"/>
        </w:trPr>
        <w:tc>
          <w:tcPr>
            <w:tcW w:w="55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gridSpan w:val="2"/>
            <w:shd w:val="clear" w:color="auto" w:fill="CFF0FC"/>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216,159</w:t>
            </w:r>
          </w:p>
        </w:tc>
        <w:tc>
          <w:tcPr>
            <w:tcW w:w="320" w:type="dxa"/>
            <w:vAlign w:val="bottom"/>
            <w:gridSpan w:val="2"/>
            <w:shd w:val="clear" w:color="auto" w:fill="CFF0FC"/>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1,224,187</w:t>
            </w:r>
          </w:p>
        </w:tc>
        <w:tc>
          <w:tcPr>
            <w:tcW w:w="1060" w:type="dxa"/>
            <w:vAlign w:val="bottom"/>
            <w:gridSpan w:val="2"/>
            <w:shd w:val="clear" w:color="auto" w:fill="CFF0FC"/>
          </w:tcPr>
          <w:p>
            <w:pPr>
              <w:jc w:val="right"/>
              <w:ind w:right="7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1,440,346</w:t>
            </w: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85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857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857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51"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The carrying amounts of financial assets and liabilities reported in the accompanying condensed consolidated balance sheet including cash and cash equivalents, restricted cash, receivables, reinsurance recoverable, and accounts payable and other accrued liabilities approximate fair value due to their short-term maturity.</w:t>
      </w:r>
    </w:p>
    <w:p>
      <w:pPr>
        <w:spacing w:after="0" w:line="150"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8"/>
          <w:szCs w:val="18"/>
          <w:color w:val="auto"/>
        </w:rPr>
        <w:t>The Company’s derivative assets are measured at fair value in accordance with ASC 815, and are included on the unaudited condensed consolidated balance sheets within “Other investments” with any changes in fair value recorded in earnings in “Losses and loss adjustment expenses.” See Note 3 for further information regarding the Company’s derivative assets.</w:t>
      </w:r>
    </w:p>
    <w:p>
      <w:pPr>
        <w:spacing w:after="0" w:line="150" w:lineRule="exact"/>
        <w:rPr>
          <w:sz w:val="20"/>
          <w:szCs w:val="20"/>
          <w:color w:val="auto"/>
        </w:rPr>
      </w:pPr>
    </w:p>
    <w:p>
      <w:pPr>
        <w:ind w:right="520" w:firstLine="749"/>
        <w:spacing w:after="0" w:line="266" w:lineRule="auto"/>
        <w:rPr>
          <w:sz w:val="20"/>
          <w:szCs w:val="20"/>
          <w:color w:val="auto"/>
        </w:rPr>
      </w:pPr>
      <w:r>
        <w:rPr>
          <w:rFonts w:ascii="Times New Roman" w:cs="Times New Roman" w:eastAsia="Times New Roman" w:hAnsi="Times New Roman"/>
          <w:sz w:val="18"/>
          <w:szCs w:val="18"/>
          <w:color w:val="auto"/>
        </w:rPr>
        <w:t>The carrying amount of any borrowings under the Federal Home Loan Bank (“FHLB”) line of credit and U.S. Bank revolving facility (the “Revolving Facility”) approximate fair value as the credit agreements have variable rates which frequently reprice at market rates.</w:t>
      </w:r>
    </w:p>
    <w:p>
      <w:pPr>
        <w:spacing w:after="0" w:line="13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Transfers between Level 3 and Level 2 securities result from changes in the availability of observable market inputs and are recorded at the beginning of the reporting period. As of March 31, 2026 and December 31, 2025, the Company had an insignificant amount of securities classified as Level 3.</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Reserve for Losses and Loss Adjustment Expenses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represents a reconciliation of changes in the ending reserve balances for losses and loss adjustment expenses (“LAE”):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7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jc w:val="right"/>
              <w:ind w:right="150"/>
              <w:spacing w:after="0" w:line="150" w:lineRule="exact"/>
              <w:rPr>
                <w:sz w:val="20"/>
                <w:szCs w:val="20"/>
                <w:color w:val="auto"/>
              </w:rPr>
            </w:pPr>
            <w:r>
              <w:rPr>
                <w:rFonts w:ascii="Times New Roman" w:cs="Times New Roman" w:eastAsia="Times New Roman" w:hAnsi="Times New Roman"/>
                <w:sz w:val="17"/>
                <w:szCs w:val="17"/>
                <w:b w:val="1"/>
                <w:bCs w:val="1"/>
                <w:color w:val="auto"/>
              </w:rPr>
              <w:t>($ in</w:t>
            </w:r>
          </w:p>
        </w:tc>
        <w:tc>
          <w:tcPr>
            <w:tcW w:w="1320" w:type="dxa"/>
            <w:vAlign w:val="bottom"/>
            <w:gridSpan w:val="2"/>
          </w:tcPr>
          <w:p>
            <w:pPr>
              <w:jc w:val="right"/>
              <w:ind w:right="590"/>
              <w:spacing w:after="0" w:line="150" w:lineRule="exact"/>
              <w:rPr>
                <w:sz w:val="20"/>
                <w:szCs w:val="20"/>
                <w:color w:val="auto"/>
              </w:rPr>
            </w:pPr>
            <w:r>
              <w:rPr>
                <w:rFonts w:ascii="Times New Roman" w:cs="Times New Roman" w:eastAsia="Times New Roman" w:hAnsi="Times New Roman"/>
                <w:sz w:val="17"/>
                <w:szCs w:val="17"/>
                <w:b w:val="1"/>
                <w:bCs w:val="1"/>
                <w:color w:val="auto"/>
                <w:w w:val="78"/>
              </w:rPr>
              <w:t>thousands)</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0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Reserve for losses and LAE net of reinsurance recoverables at beginning of period</w:t>
            </w:r>
          </w:p>
        </w:tc>
        <w:tc>
          <w:tcPr>
            <w:tcW w:w="1300" w:type="dxa"/>
            <w:vAlign w:val="bottom"/>
            <w:gridSpan w:val="2"/>
          </w:tcPr>
          <w:p>
            <w:pPr>
              <w:jc w:val="right"/>
              <w:ind w:right="95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275,959</w:t>
            </w:r>
          </w:p>
        </w:tc>
        <w:tc>
          <w:tcPr>
            <w:tcW w:w="1320" w:type="dxa"/>
            <w:vAlign w:val="bottom"/>
            <w:gridSpan w:val="2"/>
          </w:tcPr>
          <w:p>
            <w:pPr>
              <w:jc w:val="right"/>
              <w:ind w:right="97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0"/>
              <w:spacing w:after="0" w:line="181" w:lineRule="exact"/>
              <w:rPr>
                <w:sz w:val="20"/>
                <w:szCs w:val="20"/>
                <w:color w:val="auto"/>
              </w:rPr>
            </w:pPr>
            <w:r>
              <w:rPr>
                <w:rFonts w:ascii="Times New Roman" w:cs="Times New Roman" w:eastAsia="Times New Roman" w:hAnsi="Times New Roman"/>
                <w:sz w:val="18"/>
                <w:szCs w:val="18"/>
                <w:color w:val="auto"/>
              </w:rPr>
              <w:t>155,299</w:t>
            </w:r>
          </w:p>
        </w:tc>
        <w:tc>
          <w:tcPr>
            <w:tcW w:w="0" w:type="dxa"/>
            <w:vAlign w:val="bottom"/>
          </w:tcPr>
          <w:p>
            <w:pPr>
              <w:spacing w:after="0"/>
              <w:rPr>
                <w:sz w:val="1"/>
                <w:szCs w:val="1"/>
                <w:color w:val="auto"/>
              </w:rPr>
            </w:pPr>
          </w:p>
        </w:tc>
      </w:tr>
      <w:tr>
        <w:trPr>
          <w:trHeight w:val="189"/>
        </w:trPr>
        <w:tc>
          <w:tcPr>
            <w:tcW w:w="7060" w:type="dxa"/>
            <w:vAlign w:val="bottom"/>
          </w:tcPr>
          <w:p>
            <w:pPr>
              <w:ind w:left="140"/>
              <w:spacing w:after="0" w:line="189" w:lineRule="exact"/>
              <w:rPr>
                <w:sz w:val="20"/>
                <w:szCs w:val="20"/>
                <w:color w:val="auto"/>
              </w:rPr>
            </w:pPr>
            <w:r>
              <w:rPr>
                <w:rFonts w:ascii="Times New Roman" w:cs="Times New Roman" w:eastAsia="Times New Roman" w:hAnsi="Times New Roman"/>
                <w:sz w:val="16"/>
                <w:szCs w:val="16"/>
                <w:color w:val="auto"/>
              </w:rPr>
              <w:t>Add: Balances acquired</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22,178</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6,788</w:t>
            </w:r>
          </w:p>
        </w:tc>
        <w:tc>
          <w:tcPr>
            <w:tcW w:w="0" w:type="dxa"/>
            <w:vAlign w:val="bottom"/>
          </w:tcPr>
          <w:p>
            <w:pPr>
              <w:spacing w:after="0"/>
              <w:rPr>
                <w:sz w:val="1"/>
                <w:szCs w:val="1"/>
                <w:color w:val="auto"/>
              </w:rPr>
            </w:pPr>
          </w:p>
        </w:tc>
      </w:tr>
      <w:tr>
        <w:trPr>
          <w:trHeight w:val="198"/>
        </w:trPr>
        <w:tc>
          <w:tcPr>
            <w:tcW w:w="7060" w:type="dxa"/>
            <w:vAlign w:val="bottom"/>
          </w:tcPr>
          <w:p>
            <w:pPr>
              <w:ind w:left="140"/>
              <w:spacing w:after="0" w:line="198" w:lineRule="exact"/>
              <w:rPr>
                <w:sz w:val="20"/>
                <w:szCs w:val="20"/>
                <w:color w:val="auto"/>
              </w:rPr>
            </w:pPr>
            <w:r>
              <w:rPr>
                <w:rFonts w:ascii="Times New Roman" w:cs="Times New Roman" w:eastAsia="Times New Roman" w:hAnsi="Times New Roman"/>
                <w:sz w:val="17"/>
                <w:szCs w:val="17"/>
                <w:color w:val="auto"/>
              </w:rPr>
              <w:t>Add: Incurred losses and LAE, net of reinsurance, related to:</w:t>
            </w:r>
            <w:r>
              <w:rPr>
                <w:rFonts w:ascii="Times New Roman" w:cs="Times New Roman" w:eastAsia="Times New Roman" w:hAnsi="Times New Roman"/>
                <w:sz w:val="22"/>
                <w:szCs w:val="22"/>
                <w:color w:val="auto"/>
                <w:vertAlign w:val="superscript"/>
              </w:rPr>
              <w:t>(2)</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year</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97,430</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43,059</w:t>
            </w:r>
          </w:p>
        </w:tc>
        <w:tc>
          <w:tcPr>
            <w:tcW w:w="0" w:type="dxa"/>
            <w:vAlign w:val="bottom"/>
          </w:tcPr>
          <w:p>
            <w:pPr>
              <w:spacing w:after="0"/>
              <w:rPr>
                <w:sz w:val="1"/>
                <w:szCs w:val="1"/>
                <w:color w:val="auto"/>
              </w:rPr>
            </w:pPr>
          </w:p>
        </w:tc>
      </w:tr>
      <w:tr>
        <w:trPr>
          <w:trHeight w:val="189"/>
        </w:trPr>
        <w:tc>
          <w:tcPr>
            <w:tcW w:w="7060" w:type="dxa"/>
            <w:vAlign w:val="bottom"/>
            <w:tcBorders>
              <w:bottom w:val="single" w:sz="8" w:color="CFF0FC"/>
            </w:tcBorders>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Prior years</w:t>
            </w:r>
          </w:p>
        </w:tc>
        <w:tc>
          <w:tcPr>
            <w:tcW w:w="18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(10,333)</w:t>
            </w:r>
          </w:p>
        </w:tc>
        <w:tc>
          <w:tcPr>
            <w:tcW w:w="16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(4,316)</w:t>
            </w:r>
          </w:p>
        </w:tc>
        <w:tc>
          <w:tcPr>
            <w:tcW w:w="0" w:type="dxa"/>
            <w:vAlign w:val="bottom"/>
          </w:tcPr>
          <w:p>
            <w:pPr>
              <w:spacing w:after="0"/>
              <w:rPr>
                <w:sz w:val="1"/>
                <w:szCs w:val="1"/>
                <w:color w:val="auto"/>
              </w:rPr>
            </w:pPr>
          </w:p>
        </w:tc>
      </w:tr>
      <w:tr>
        <w:trPr>
          <w:trHeight w:val="183"/>
        </w:trPr>
        <w:tc>
          <w:tcPr>
            <w:tcW w:w="706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Total incurred</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87,097</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38,743</w:t>
            </w:r>
          </w:p>
        </w:tc>
        <w:tc>
          <w:tcPr>
            <w:tcW w:w="0" w:type="dxa"/>
            <w:vAlign w:val="bottom"/>
          </w:tcPr>
          <w:p>
            <w:pPr>
              <w:spacing w:after="0"/>
              <w:rPr>
                <w:sz w:val="1"/>
                <w:szCs w:val="1"/>
                <w:color w:val="auto"/>
              </w:rPr>
            </w:pPr>
          </w:p>
        </w:tc>
      </w:tr>
      <w:tr>
        <w:trPr>
          <w:trHeight w:val="189"/>
        </w:trPr>
        <w:tc>
          <w:tcPr>
            <w:tcW w:w="7060" w:type="dxa"/>
            <w:vAlign w:val="bottom"/>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Deduct: Loss and LAE payments, net of reinsurance, related to:</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6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Current year</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20,718</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4,998</w:t>
            </w:r>
          </w:p>
        </w:tc>
        <w:tc>
          <w:tcPr>
            <w:tcW w:w="0" w:type="dxa"/>
            <w:vAlign w:val="bottom"/>
          </w:tcPr>
          <w:p>
            <w:pPr>
              <w:spacing w:after="0"/>
              <w:rPr>
                <w:sz w:val="1"/>
                <w:szCs w:val="1"/>
                <w:color w:val="auto"/>
              </w:rPr>
            </w:pPr>
          </w:p>
        </w:tc>
      </w:tr>
      <w:tr>
        <w:trPr>
          <w:trHeight w:val="189"/>
        </w:trPr>
        <w:tc>
          <w:tcPr>
            <w:tcW w:w="7060" w:type="dxa"/>
            <w:vAlign w:val="bottom"/>
            <w:tcBorders>
              <w:bottom w:val="single" w:sz="8" w:color="CFF0FC"/>
            </w:tcBorders>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Prior years</w:t>
            </w:r>
          </w:p>
        </w:tc>
        <w:tc>
          <w:tcPr>
            <w:tcW w:w="18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23,500</w:t>
            </w:r>
          </w:p>
        </w:tc>
        <w:tc>
          <w:tcPr>
            <w:tcW w:w="16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13,170</w:t>
            </w:r>
          </w:p>
        </w:tc>
        <w:tc>
          <w:tcPr>
            <w:tcW w:w="0" w:type="dxa"/>
            <w:vAlign w:val="bottom"/>
          </w:tcPr>
          <w:p>
            <w:pPr>
              <w:spacing w:after="0"/>
              <w:rPr>
                <w:sz w:val="1"/>
                <w:szCs w:val="1"/>
                <w:color w:val="auto"/>
              </w:rPr>
            </w:pPr>
          </w:p>
        </w:tc>
      </w:tr>
      <w:tr>
        <w:trPr>
          <w:trHeight w:val="183"/>
        </w:trPr>
        <w:tc>
          <w:tcPr>
            <w:tcW w:w="706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Total payments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44,218</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18,168</w:t>
            </w:r>
          </w:p>
        </w:tc>
        <w:tc>
          <w:tcPr>
            <w:tcW w:w="0" w:type="dxa"/>
            <w:vAlign w:val="bottom"/>
          </w:tcPr>
          <w:p>
            <w:pPr>
              <w:spacing w:after="0"/>
              <w:rPr>
                <w:sz w:val="1"/>
                <w:szCs w:val="1"/>
                <w:color w:val="auto"/>
              </w:rPr>
            </w:pPr>
          </w:p>
        </w:tc>
      </w:tr>
      <w:tr>
        <w:trPr>
          <w:trHeight w:val="189"/>
        </w:trPr>
        <w:tc>
          <w:tcPr>
            <w:tcW w:w="70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Reserve for losses and LAE net of reinsurance recoverables at end of period</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341,016</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182,662</w:t>
            </w:r>
          </w:p>
        </w:tc>
        <w:tc>
          <w:tcPr>
            <w:tcW w:w="0" w:type="dxa"/>
            <w:vAlign w:val="bottom"/>
          </w:tcPr>
          <w:p>
            <w:pPr>
              <w:spacing w:after="0"/>
              <w:rPr>
                <w:sz w:val="1"/>
                <w:szCs w:val="1"/>
                <w:color w:val="auto"/>
              </w:rPr>
            </w:pPr>
          </w:p>
        </w:tc>
      </w:tr>
      <w:tr>
        <w:trPr>
          <w:trHeight w:val="189"/>
        </w:trPr>
        <w:tc>
          <w:tcPr>
            <w:tcW w:w="70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Add: Reinsurance recoverables on unpaid losses and LAE at end of period</w:t>
            </w:r>
          </w:p>
        </w:tc>
        <w:tc>
          <w:tcPr>
            <w:tcW w:w="1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430,782</w:t>
            </w:r>
          </w:p>
        </w:tc>
        <w:tc>
          <w:tcPr>
            <w:tcW w:w="1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361,227</w:t>
            </w:r>
          </w:p>
        </w:tc>
        <w:tc>
          <w:tcPr>
            <w:tcW w:w="0" w:type="dxa"/>
            <w:vAlign w:val="bottom"/>
          </w:tcPr>
          <w:p>
            <w:pPr>
              <w:spacing w:after="0"/>
              <w:rPr>
                <w:sz w:val="1"/>
                <w:szCs w:val="1"/>
                <w:color w:val="auto"/>
              </w:rPr>
            </w:pPr>
          </w:p>
        </w:tc>
      </w:tr>
      <w:tr>
        <w:trPr>
          <w:trHeight w:val="151"/>
        </w:trPr>
        <w:tc>
          <w:tcPr>
            <w:tcW w:w="7060" w:type="dxa"/>
            <w:vAlign w:val="bottom"/>
            <w:shd w:val="clear" w:color="auto" w:fill="CFF0FC"/>
          </w:tcPr>
          <w:p>
            <w:pPr>
              <w:spacing w:after="0" w:line="150" w:lineRule="exact"/>
              <w:rPr>
                <w:sz w:val="20"/>
                <w:szCs w:val="20"/>
                <w:color w:val="auto"/>
              </w:rPr>
            </w:pPr>
            <w:r>
              <w:rPr>
                <w:rFonts w:ascii="Times New Roman" w:cs="Times New Roman" w:eastAsia="Times New Roman" w:hAnsi="Times New Roman"/>
                <w:sz w:val="17"/>
                <w:szCs w:val="17"/>
                <w:color w:val="auto"/>
              </w:rPr>
              <w:t>Reserve for losses and LAE gross of reinsurance recoverables on unpaid losses and LAE at end</w:t>
            </w:r>
          </w:p>
        </w:tc>
        <w:tc>
          <w:tcPr>
            <w:tcW w:w="1300" w:type="dxa"/>
            <w:vAlign w:val="bottom"/>
            <w:gridSpan w:val="2"/>
            <w:vMerge w:val="restart"/>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771,798</w:t>
            </w:r>
          </w:p>
        </w:tc>
        <w:tc>
          <w:tcPr>
            <w:tcW w:w="1320" w:type="dxa"/>
            <w:vAlign w:val="bottom"/>
            <w:gridSpan w:val="2"/>
            <w:vMerge w:val="restart"/>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543,889</w:t>
            </w:r>
          </w:p>
        </w:tc>
        <w:tc>
          <w:tcPr>
            <w:tcW w:w="0" w:type="dxa"/>
            <w:vAlign w:val="bottom"/>
          </w:tcPr>
          <w:p>
            <w:pPr>
              <w:spacing w:after="0"/>
              <w:rPr>
                <w:sz w:val="1"/>
                <w:szCs w:val="1"/>
                <w:color w:val="auto"/>
              </w:rPr>
            </w:pPr>
          </w:p>
        </w:tc>
      </w:tr>
      <w:tr>
        <w:trPr>
          <w:trHeight w:val="200"/>
        </w:trPr>
        <w:tc>
          <w:tcPr>
            <w:tcW w:w="706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8"/>
                <w:szCs w:val="18"/>
                <w:color w:val="auto"/>
              </w:rPr>
              <w:t>of period</w:t>
            </w:r>
          </w:p>
        </w:tc>
        <w:tc>
          <w:tcPr>
            <w:tcW w:w="1300" w:type="dxa"/>
            <w:vAlign w:val="bottom"/>
            <w:gridSpan w:val="2"/>
            <w:vMerge w:val="continue"/>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1320" w:type="dxa"/>
            <w:vAlign w:val="bottom"/>
            <w:gridSpan w:val="2"/>
            <w:vMerge w:val="continue"/>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-1705610</wp:posOffset>
            </wp:positionV>
            <wp:extent cx="7132320" cy="1200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-1464945</wp:posOffset>
            </wp:positionV>
            <wp:extent cx="7132320" cy="1200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-1105535</wp:posOffset>
            </wp:positionV>
            <wp:extent cx="1111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-616585</wp:posOffset>
            </wp:positionV>
            <wp:extent cx="1111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-25400</wp:posOffset>
            </wp:positionV>
            <wp:extent cx="1111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1111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left="760" w:right="20" w:hanging="752"/>
        <w:spacing w:after="0" w:line="244"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recognized in Reserve for losses and LAE net of reinsurance recoverables upon acquisition of The Gray Casualty and Surety Company (“Gray Surety”) and FIA on 1/31/2026 and 1/1/2025, respectively, in accordance with ASC 805, Business Combinations. See Note 23 of the Notes to the Consolidated Financial Statements in our 2025 Annual Report on Form 10-K and Note 13 of this Quarterly Report on Form 10-Q for additional information regarding the acquisitions.</w:t>
      </w:r>
    </w:p>
    <w:p>
      <w:pPr>
        <w:spacing w:after="0" w:line="1" w:lineRule="exact"/>
        <w:rPr>
          <w:rFonts w:ascii="Times New Roman" w:cs="Times New Roman" w:eastAsia="Times New Roman" w:hAnsi="Times New Roman"/>
          <w:sz w:val="18"/>
          <w:szCs w:val="18"/>
          <w:color w:val="auto"/>
        </w:rPr>
      </w:pPr>
    </w:p>
    <w:p>
      <w:pPr>
        <w:ind w:left="760" w:right="640" w:hanging="752"/>
        <w:spacing w:after="0" w:line="243"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for the three months ended March 31, 2026 and 2025 include $12.3 million and an insignificant amount, respectively, of gains on derivative instruments.</w:t>
      </w:r>
    </w:p>
    <w:p>
      <w:pPr>
        <w:spacing w:after="0" w:line="155"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Considerable variability is inherent in the estimate of the reserve for losses and LAE. Although management believes the liability recorded for losses and LAE is adequate, the variability inherent in this estimate could result in changes to the ultimate liability, which may be material to stockholders’ equity.</w:t>
      </w:r>
    </w:p>
    <w:p>
      <w:pPr>
        <w:spacing w:after="0" w:line="150"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The Company experienced favorable prior year development of $10.3 million and favorable prior year development of $4.3 million during the three months ended March 31, 2026 and 2025, respectively.</w:t>
      </w:r>
    </w:p>
    <w:p>
      <w:pPr>
        <w:spacing w:after="0" w:line="135"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Favorable prior year development during the three months ended March 31, 2026 and 2025 was primarily due to lower than anticipated severity of attritional losses in the Company’s Inland Marine and Property line of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18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7"/>
          <w:szCs w:val="17"/>
          <w:color w:val="auto"/>
        </w:rPr>
        <w:t>As of March 31, 2026 and December 31, 2025, the Company had 5,000,000 preferred shares authorized with a par value of $0.0001 and no preferred shares issued and outstanding. As of March 31, 2026 and December 31, 2025, the Company had 500,000,000 common shares authorized and 26,514,295 and 26,520,417 common shares issued and outstanding, respectively, with a par value of $0.0001. Additional paid-in capital was $533.6 million</w:t>
      </w:r>
    </w:p>
    <w:p>
      <w:pPr>
        <w:sectPr>
          <w:pgSz w:w="11900" w:h="16838" w:orient="portrait"/>
          <w:cols w:equalWidth="0" w:num="1">
            <w:col w:w="11240"/>
          </w:cols>
          <w:pgMar w:left="320" w:top="117" w:right="339" w:bottom="1440" w:gutter="0" w:footer="0" w:header="0"/>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$523.2 million as of December 31,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reserved for future issuance</w:t>
      </w:r>
    </w:p>
    <w:p>
      <w:pPr>
        <w:spacing w:after="0" w:line="187" w:lineRule="exact"/>
        <w:rPr>
          <w:sz w:val="20"/>
          <w:szCs w:val="20"/>
          <w:color w:val="auto"/>
        </w:rPr>
      </w:pPr>
    </w:p>
    <w:p>
      <w:pPr>
        <w:jc w:val="right"/>
        <w:ind w:right="2340"/>
        <w:spacing w:after="0"/>
        <w:rPr>
          <w:sz w:val="20"/>
          <w:szCs w:val="20"/>
          <w:color w:val="auto"/>
        </w:rPr>
      </w:pPr>
      <w:r>
        <w:rPr>
          <w:rFonts w:ascii="Times New Roman" w:cs="Times New Roman" w:eastAsia="Times New Roman" w:hAnsi="Times New Roman"/>
          <w:sz w:val="18"/>
          <w:szCs w:val="18"/>
          <w:color w:val="auto"/>
        </w:rPr>
        <w:t>Common stock reserved for future issuance consists of the following as of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outstanding under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1200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21" w:lineRule="auto"/>
        <w:rPr>
          <w:sz w:val="20"/>
          <w:szCs w:val="20"/>
          <w:color w:val="auto"/>
        </w:rPr>
      </w:pPr>
      <w:r>
        <w:rPr>
          <w:rFonts w:ascii="Times New Roman" w:cs="Times New Roman" w:eastAsia="Times New Roman" w:hAnsi="Times New Roman"/>
          <w:sz w:val="18"/>
          <w:szCs w:val="18"/>
          <w:color w:val="auto"/>
        </w:rPr>
        <w:t>Restricted stock units outstanding under 2019 Equity Incentive Plan</w:t>
      </w:r>
    </w:p>
    <w:p>
      <w:pPr>
        <w:spacing w:after="0" w:line="219" w:lineRule="auto"/>
        <w:rPr>
          <w:sz w:val="20"/>
          <w:szCs w:val="20"/>
          <w:color w:val="auto"/>
        </w:rPr>
      </w:pPr>
      <w:r>
        <w:rPr>
          <w:rFonts w:ascii="Times New Roman" w:cs="Times New Roman" w:eastAsia="Times New Roman" w:hAnsi="Times New Roman"/>
          <w:sz w:val="18"/>
          <w:szCs w:val="18"/>
          <w:color w:val="auto"/>
        </w:rPr>
        <w:t>Performance stock units outstanding under 2019 Equity Incentive Plan,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200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19" w:lineRule="auto"/>
        <w:rPr>
          <w:sz w:val="20"/>
          <w:szCs w:val="20"/>
          <w:color w:val="auto"/>
        </w:rPr>
      </w:pPr>
      <w:r>
        <w:rPr>
          <w:rFonts w:ascii="Times New Roman" w:cs="Times New Roman" w:eastAsia="Times New Roman" w:hAnsi="Times New Roman"/>
          <w:sz w:val="18"/>
          <w:szCs w:val="18"/>
          <w:color w:val="auto"/>
        </w:rPr>
        <w:t>Shares authorized for future issuance under 2019 Equity Incentive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authorized for future issuance under 2019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282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498,011</w:t>
      </w:r>
    </w:p>
    <w:p>
      <w:pPr>
        <w:jc w:val="right"/>
        <w:ind w:right="120"/>
        <w:spacing w:after="0" w:line="221" w:lineRule="auto"/>
        <w:rPr>
          <w:sz w:val="20"/>
          <w:szCs w:val="20"/>
          <w:color w:val="auto"/>
        </w:rPr>
      </w:pPr>
      <w:r>
        <w:rPr>
          <w:rFonts w:ascii="Times New Roman" w:cs="Times New Roman" w:eastAsia="Times New Roman" w:hAnsi="Times New Roman"/>
          <w:sz w:val="18"/>
          <w:szCs w:val="18"/>
          <w:color w:val="auto"/>
        </w:rPr>
        <w:t>332,091</w:t>
      </w:r>
    </w:p>
    <w:p>
      <w:pPr>
        <w:jc w:val="right"/>
        <w:ind w:right="120"/>
        <w:spacing w:after="0" w:line="219" w:lineRule="auto"/>
        <w:rPr>
          <w:sz w:val="20"/>
          <w:szCs w:val="20"/>
          <w:color w:val="auto"/>
        </w:rPr>
      </w:pPr>
      <w:r>
        <w:rPr>
          <w:rFonts w:ascii="Times New Roman" w:cs="Times New Roman" w:eastAsia="Times New Roman" w:hAnsi="Times New Roman"/>
          <w:sz w:val="18"/>
          <w:szCs w:val="18"/>
          <w:color w:val="auto"/>
        </w:rPr>
        <w:t>552,064</w:t>
      </w:r>
    </w:p>
    <w:p>
      <w:pPr>
        <w:jc w:val="right"/>
        <w:ind w:right="120"/>
        <w:spacing w:after="0" w:line="219" w:lineRule="auto"/>
        <w:rPr>
          <w:sz w:val="20"/>
          <w:szCs w:val="20"/>
          <w:color w:val="auto"/>
        </w:rPr>
      </w:pPr>
      <w:r>
        <w:rPr>
          <w:rFonts w:ascii="Times New Roman" w:cs="Times New Roman" w:eastAsia="Times New Roman" w:hAnsi="Times New Roman"/>
          <w:sz w:val="18"/>
          <w:szCs w:val="18"/>
          <w:color w:val="auto"/>
        </w:rPr>
        <w:t>4,674,852</w:t>
      </w:r>
    </w:p>
    <w:p>
      <w:pPr>
        <w:jc w:val="right"/>
        <w:ind w:right="120"/>
        <w:spacing w:after="0" w:line="235" w:lineRule="auto"/>
        <w:rPr>
          <w:sz w:val="20"/>
          <w:szCs w:val="20"/>
          <w:color w:val="auto"/>
        </w:rPr>
      </w:pPr>
      <w:r>
        <w:rPr>
          <w:rFonts w:ascii="Times New Roman" w:cs="Times New Roman" w:eastAsia="Times New Roman" w:hAnsi="Times New Roman"/>
          <w:sz w:val="18"/>
          <w:szCs w:val="18"/>
          <w:color w:val="auto"/>
        </w:rPr>
        <w:t>1,814,096</w:t>
      </w:r>
    </w:p>
    <w:p>
      <w:pPr>
        <w:spacing w:after="0"/>
        <w:rPr>
          <w:sz w:val="20"/>
          <w:szCs w:val="20"/>
          <w:color w:val="auto"/>
        </w:rPr>
      </w:pPr>
      <w:r>
        <w:rPr>
          <w:rFonts w:ascii="Times New Roman" w:cs="Times New Roman" w:eastAsia="Times New Roman" w:hAnsi="Times New Roman"/>
          <w:sz w:val="18"/>
          <w:szCs w:val="18"/>
          <w:color w:val="auto"/>
        </w:rPr>
        <w:t>7,871,114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-3175</wp:posOffset>
            </wp:positionV>
            <wp:extent cx="12255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-692150</wp:posOffset>
            </wp:positionH>
            <wp:positionV relativeFrom="paragraph">
              <wp:posOffset>13335</wp:posOffset>
            </wp:positionV>
            <wp:extent cx="12255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9680" w:space="720"/>
            <w:col w:w="840"/>
          </w:cols>
          <w:pgMar w:left="320" w:top="117" w:right="339" w:bottom="1440" w:gutter="0" w:footer="0" w:header="0"/>
          <w:type w:val="continuous"/>
        </w:sect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based compensation</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Company’s stock-based compensation expense for each period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200" w:type="dxa"/>
            <w:vAlign w:val="bottom"/>
            <w:tcBorders>
              <w:bottom w:val="single" w:sz="8" w:color="auto"/>
            </w:tcBorders>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40" w:type="dxa"/>
            <w:vAlign w:val="bottom"/>
            <w:tcBorders>
              <w:bottom w:val="single" w:sz="8" w:color="auto"/>
            </w:tcBorders>
          </w:tcPr>
          <w:p>
            <w:pPr>
              <w:spacing w:after="0"/>
              <w:rPr>
                <w:sz w:val="19"/>
                <w:szCs w:val="19"/>
                <w:color w:val="auto"/>
              </w:rPr>
            </w:pPr>
          </w:p>
        </w:tc>
      </w:tr>
      <w:tr>
        <w:trPr>
          <w:trHeight w:val="183"/>
        </w:trPr>
        <w:tc>
          <w:tcPr>
            <w:tcW w:w="46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14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5"/>
                <w:szCs w:val="15"/>
                <w:color w:val="auto"/>
              </w:rPr>
            </w:pPr>
          </w:p>
        </w:tc>
      </w:tr>
      <w:tr>
        <w:trPr>
          <w:trHeight w:val="183"/>
        </w:trPr>
        <w:tc>
          <w:tcPr>
            <w:tcW w:w="46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60" w:type="dxa"/>
            <w:vAlign w:val="bottom"/>
            <w:gridSpan w:val="3"/>
          </w:tcPr>
          <w:p>
            <w:pPr>
              <w:jc w:val="center"/>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640" w:type="dxa"/>
            <w:vAlign w:val="bottom"/>
          </w:tcPr>
          <w:p>
            <w:pPr>
              <w:spacing w:after="0"/>
              <w:rPr>
                <w:sz w:val="15"/>
                <w:szCs w:val="15"/>
                <w:color w:val="auto"/>
              </w:rPr>
            </w:pPr>
          </w:p>
        </w:tc>
      </w:tr>
      <w:tr>
        <w:trPr>
          <w:trHeight w:val="189"/>
        </w:trPr>
        <w:tc>
          <w:tcPr>
            <w:tcW w:w="46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Stock-based compensation</w:t>
            </w:r>
          </w:p>
        </w:tc>
        <w:tc>
          <w:tcPr>
            <w:tcW w:w="3880" w:type="dxa"/>
            <w:vAlign w:val="bottom"/>
            <w:gridSpan w:val="2"/>
            <w:shd w:val="clear" w:color="auto" w:fill="CFF0FC"/>
          </w:tcPr>
          <w:p>
            <w:pPr>
              <w:jc w:val="right"/>
              <w:ind w:right="9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8,786</w:t>
            </w:r>
          </w:p>
        </w:tc>
        <w:tc>
          <w:tcPr>
            <w:tcW w:w="1360" w:type="dxa"/>
            <w:vAlign w:val="bottom"/>
            <w:gridSpan w:val="2"/>
            <w:shd w:val="clear" w:color="auto" w:fill="CFF0FC"/>
          </w:tcPr>
          <w:p>
            <w:pPr>
              <w:jc w:val="right"/>
              <w:ind w:right="9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4,745</w:t>
            </w:r>
          </w:p>
        </w:tc>
      </w:tr>
    </w:tbl>
    <w:p>
      <w:pPr>
        <w:spacing w:after="0" w:line="184"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8"/>
          <w:szCs w:val="18"/>
          <w:color w:val="auto"/>
        </w:rPr>
        <w:t>Stock-based compensation expense is recognized on a straight-line basis over the vesting period of equity-based awards. For performance stock units (“PSUs”), any changes to expense resulting from differences in actual performance versus target are recognized over the remaining vesting period of the awards. The Company does not apply a forfeiture rate to unvested awards and accounts for forfeitures as they occur. All stock-based compensation is included in other underwriting expenses in the Company’s unaudited condensed consolidated statement of income and comprehensive income.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Equity Incentive Plan</w:t>
      </w:r>
    </w:p>
    <w:p>
      <w:pPr>
        <w:spacing w:after="0" w:line="187"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On April 16, 2019, the Company’s 2019 Equity Incentive Plan (the “2019 Plan”) became effective. The 2019 Plan provides for the grant of stock options, stock appreciation rights, restricted stock, restricted stock units (“RSUs”), performance shares and units, and other cash-based or share-based awards. In addition, the 2019 Plan contains a mechanism through which the Company may adopt a deferred compensation arrangement in the future.</w:t>
      </w:r>
    </w:p>
    <w:p>
      <w:pPr>
        <w:spacing w:after="0" w:line="150" w:lineRule="exact"/>
        <w:rPr>
          <w:sz w:val="20"/>
          <w:szCs w:val="20"/>
          <w:color w:val="auto"/>
        </w:rPr>
      </w:pPr>
    </w:p>
    <w:p>
      <w:pPr>
        <w:ind w:right="180" w:firstLine="749"/>
        <w:spacing w:after="0" w:line="250" w:lineRule="auto"/>
        <w:rPr>
          <w:sz w:val="20"/>
          <w:szCs w:val="20"/>
          <w:color w:val="auto"/>
        </w:rPr>
      </w:pPr>
      <w:r>
        <w:rPr>
          <w:rFonts w:ascii="Times New Roman" w:cs="Times New Roman" w:eastAsia="Times New Roman" w:hAnsi="Times New Roman"/>
          <w:sz w:val="18"/>
          <w:szCs w:val="18"/>
          <w:color w:val="auto"/>
        </w:rPr>
        <w:t>A total of 2,400,000 shares of common stock were initially authorized and reserved for issuance under the 2019 Plan. This reserve increases on January 1 of each year through 2029 by an amount equal to the smaller of: 3% of the number of shares of common stock issued and outstanding on the immediately preceding December 31, or an amount determined by the board of directors.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87"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Recipients of stock options can purchase shares of the Company’s common stock at a price equal to the common stock’s fair market value on the grant date, determined by the closing price of the Company’s common stock on the grant date. Stock options vest over a period between two and four years with between 25% and 50% vesting on the first anniversary of the grant date and the remainder vesting monthly over the remaining period, subject to continued service to the Company. Stock options expire ten years after the grant date.</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stock option transactions for the three months ended March 31, 2026: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8"/>
              </w:rPr>
              <w:t>remaining</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15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6"/>
                <w:szCs w:val="16"/>
                <w:color w:val="auto"/>
              </w:rPr>
            </w:pPr>
          </w:p>
        </w:tc>
        <w:tc>
          <w:tcPr>
            <w:tcW w:w="1480" w:type="dxa"/>
            <w:vAlign w:val="bottom"/>
            <w:gridSpan w:val="2"/>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rPr>
              <w:t>average exercise</w:t>
            </w:r>
          </w:p>
        </w:tc>
        <w:tc>
          <w:tcPr>
            <w:tcW w:w="100" w:type="dxa"/>
            <w:vAlign w:val="bottom"/>
          </w:tcPr>
          <w:p>
            <w:pPr>
              <w:spacing w:after="0"/>
              <w:rPr>
                <w:sz w:val="16"/>
                <w:szCs w:val="16"/>
                <w:color w:val="auto"/>
              </w:rPr>
            </w:pPr>
          </w:p>
        </w:tc>
        <w:tc>
          <w:tcPr>
            <w:tcW w:w="15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rPr>
              <w:t>contractual term</w:t>
            </w:r>
          </w:p>
        </w:tc>
        <w:tc>
          <w:tcPr>
            <w:tcW w:w="160" w:type="dxa"/>
            <w:vAlign w:val="bottom"/>
          </w:tcPr>
          <w:p>
            <w:pPr>
              <w:spacing w:after="0"/>
              <w:rPr>
                <w:sz w:val="16"/>
                <w:szCs w:val="16"/>
                <w:color w:val="auto"/>
              </w:rPr>
            </w:pPr>
          </w:p>
        </w:tc>
        <w:tc>
          <w:tcPr>
            <w:tcW w:w="152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intrinsic value ($</w:t>
            </w:r>
          </w:p>
        </w:tc>
        <w:tc>
          <w:tcPr>
            <w:tcW w:w="0" w:type="dxa"/>
            <w:vAlign w:val="bottom"/>
          </w:tcPr>
          <w:p>
            <w:pPr>
              <w:spacing w:after="0"/>
              <w:rPr>
                <w:sz w:val="1"/>
                <w:szCs w:val="1"/>
                <w:color w:val="auto"/>
              </w:rPr>
            </w:pPr>
          </w:p>
        </w:tc>
      </w:tr>
      <w:tr>
        <w:trPr>
          <w:trHeight w:val="225"/>
        </w:trPr>
        <w:tc>
          <w:tcPr>
            <w:tcW w:w="4740" w:type="dxa"/>
            <w:vAlign w:val="bottom"/>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183"/>
        </w:trPr>
        <w:tc>
          <w:tcPr>
            <w:tcW w:w="47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Outstanding at January 1, 2026</w:t>
            </w:r>
          </w:p>
        </w:tc>
        <w:tc>
          <w:tcPr>
            <w:tcW w:w="15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499,676</w:t>
            </w:r>
          </w:p>
        </w:tc>
        <w:tc>
          <w:tcPr>
            <w:tcW w:w="340" w:type="dxa"/>
            <w:vAlign w:val="bottom"/>
            <w:gridSpan w:val="2"/>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32.15</w:t>
            </w:r>
          </w:p>
        </w:tc>
        <w:tc>
          <w:tcPr>
            <w:tcW w:w="1640" w:type="dxa"/>
            <w:vAlign w:val="bottom"/>
            <w:gridSpan w:val="2"/>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3.9</w:t>
            </w:r>
          </w:p>
        </w:tc>
        <w:tc>
          <w:tcPr>
            <w:tcW w:w="300" w:type="dxa"/>
            <w:vAlign w:val="bottom"/>
            <w:gridSpan w:val="2"/>
            <w:shd w:val="clear" w:color="auto" w:fill="CFF0FC"/>
          </w:tcPr>
          <w:p>
            <w:pPr>
              <w:ind w:left="1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51,273</w:t>
            </w:r>
          </w:p>
        </w:tc>
        <w:tc>
          <w:tcPr>
            <w:tcW w:w="0" w:type="dxa"/>
            <w:vAlign w:val="bottom"/>
          </w:tcPr>
          <w:p>
            <w:pPr>
              <w:spacing w:after="0"/>
              <w:rPr>
                <w:sz w:val="1"/>
                <w:szCs w:val="1"/>
                <w:color w:val="auto"/>
              </w:rPr>
            </w:pPr>
          </w:p>
        </w:tc>
      </w:tr>
      <w:tr>
        <w:trPr>
          <w:trHeight w:val="189"/>
        </w:trPr>
        <w:tc>
          <w:tcPr>
            <w:tcW w:w="4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Options granted</w:t>
            </w:r>
          </w:p>
        </w:tc>
        <w:tc>
          <w:tcPr>
            <w:tcW w:w="15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Options exercised</w:t>
            </w:r>
          </w:p>
        </w:tc>
        <w:tc>
          <w:tcPr>
            <w:tcW w:w="15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(1,665)</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Options cancelled</w:t>
            </w:r>
          </w:p>
        </w:tc>
        <w:tc>
          <w:tcPr>
            <w:tcW w:w="15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Outstanding at March 31, 2026</w:t>
            </w:r>
          </w:p>
        </w:tc>
        <w:tc>
          <w:tcPr>
            <w:tcW w:w="15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498,011</w:t>
            </w:r>
          </w:p>
        </w:tc>
        <w:tc>
          <w:tcPr>
            <w:tcW w:w="340" w:type="dxa"/>
            <w:vAlign w:val="bottom"/>
            <w:gridSpan w:val="2"/>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32.20</w:t>
            </w:r>
          </w:p>
        </w:tc>
        <w:tc>
          <w:tcPr>
            <w:tcW w:w="1640" w:type="dxa"/>
            <w:vAlign w:val="bottom"/>
            <w:gridSpan w:val="2"/>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300" w:type="dxa"/>
            <w:vAlign w:val="bottom"/>
            <w:gridSpan w:val="2"/>
            <w:shd w:val="clear" w:color="auto" w:fill="CFF0FC"/>
          </w:tcPr>
          <w:p>
            <w:pPr>
              <w:ind w:left="1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52,229</w:t>
            </w: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 at March 31, 2026</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498,011</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32.20</w:t>
            </w:r>
          </w:p>
        </w:tc>
        <w:tc>
          <w:tcPr>
            <w:tcW w:w="1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52,229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-173990</wp:posOffset>
            </wp:positionV>
            <wp:extent cx="1028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-156845</wp:posOffset>
            </wp:positionV>
            <wp:extent cx="1028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-173990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-156845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-173990</wp:posOffset>
            </wp:positionV>
            <wp:extent cx="1028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-156845</wp:posOffset>
            </wp:positionV>
            <wp:extent cx="1028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19" w:lineRule="exact"/>
        <w:rPr>
          <w:sz w:val="20"/>
          <w:szCs w:val="20"/>
          <w:color w:val="auto"/>
        </w:rPr>
      </w:pPr>
    </w:p>
    <w:p>
      <w:pPr>
        <w:ind w:right="1980" w:firstLine="749"/>
        <w:spacing w:after="0" w:line="446" w:lineRule="auto"/>
        <w:rPr>
          <w:sz w:val="20"/>
          <w:szCs w:val="20"/>
          <w:color w:val="auto"/>
        </w:rPr>
      </w:pPr>
      <w:r>
        <w:rPr>
          <w:rFonts w:ascii="Times New Roman" w:cs="Times New Roman" w:eastAsia="Times New Roman" w:hAnsi="Times New Roman"/>
          <w:sz w:val="18"/>
          <w:szCs w:val="18"/>
          <w:color w:val="auto"/>
        </w:rPr>
        <w:t xml:space="preserve">As of March 31, 2026, the Company had no unrecognized stock-based compensation expense related to stock options. </w:t>
      </w:r>
      <w:r>
        <w:rPr>
          <w:rFonts w:ascii="Times New Roman" w:cs="Times New Roman" w:eastAsia="Times New Roman" w:hAnsi="Times New Roman"/>
          <w:sz w:val="18"/>
          <w:szCs w:val="18"/>
          <w:i w:val="1"/>
          <w:iCs w:val="1"/>
          <w:color w:val="auto"/>
        </w:rPr>
        <w:t>Restricted Stock Units</w:t>
      </w: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RSUs are valued using the closing price of the Company’s common stock on their grant date. The Company has issued RSUs with vesting periods of one to five years. Vesting is generally subject to continued service with the Company; however, certain employees who meet the requirements of the Company’s Equity Award Retirement Policy may continue to vest their RSUs following a qualified retirement.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RSU transactions for the three months ended March 31, 2026: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7"/>
                <w:szCs w:val="17"/>
                <w:color w:val="auto"/>
              </w:rPr>
            </w:pPr>
          </w:p>
        </w:tc>
        <w:tc>
          <w:tcPr>
            <w:tcW w:w="21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40" w:type="dxa"/>
            <w:vAlign w:val="bottom"/>
          </w:tcPr>
          <w:p>
            <w:pPr>
              <w:spacing w:after="0"/>
              <w:rPr>
                <w:sz w:val="17"/>
                <w:szCs w:val="17"/>
                <w:color w:val="auto"/>
              </w:rPr>
            </w:pPr>
          </w:p>
        </w:tc>
        <w:tc>
          <w:tcPr>
            <w:tcW w:w="2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25"/>
        </w:trPr>
        <w:tc>
          <w:tcPr>
            <w:tcW w:w="6740" w:type="dxa"/>
            <w:vAlign w:val="bottom"/>
          </w:tcPr>
          <w:p>
            <w:pPr>
              <w:spacing w:after="0"/>
              <w:rPr>
                <w:sz w:val="19"/>
                <w:szCs w:val="19"/>
                <w:color w:val="auto"/>
              </w:rPr>
            </w:pPr>
          </w:p>
        </w:tc>
        <w:tc>
          <w:tcPr>
            <w:tcW w:w="216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183"/>
        </w:trPr>
        <w:tc>
          <w:tcPr>
            <w:tcW w:w="67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Outstanding at January 1, 2026</w:t>
            </w:r>
          </w:p>
        </w:tc>
        <w:tc>
          <w:tcPr>
            <w:tcW w:w="21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296,285</w:t>
            </w:r>
          </w:p>
        </w:tc>
        <w:tc>
          <w:tcPr>
            <w:tcW w:w="500" w:type="dxa"/>
            <w:vAlign w:val="bottom"/>
            <w:gridSpan w:val="2"/>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89.73</w:t>
            </w:r>
          </w:p>
        </w:tc>
        <w:tc>
          <w:tcPr>
            <w:tcW w:w="0" w:type="dxa"/>
            <w:vAlign w:val="bottom"/>
          </w:tcPr>
          <w:p>
            <w:pPr>
              <w:spacing w:after="0"/>
              <w:rPr>
                <w:sz w:val="1"/>
                <w:szCs w:val="1"/>
                <w:color w:val="auto"/>
              </w:rPr>
            </w:pPr>
          </w:p>
        </w:tc>
      </w:tr>
      <w:tr>
        <w:trPr>
          <w:trHeight w:val="189"/>
        </w:trPr>
        <w:tc>
          <w:tcPr>
            <w:tcW w:w="6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Granted</w:t>
            </w:r>
          </w:p>
        </w:tc>
        <w:tc>
          <w:tcPr>
            <w:tcW w:w="2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145,981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120.01</w:t>
            </w:r>
          </w:p>
        </w:tc>
        <w:tc>
          <w:tcPr>
            <w:tcW w:w="0" w:type="dxa"/>
            <w:vAlign w:val="bottom"/>
          </w:tcPr>
          <w:p>
            <w:pPr>
              <w:spacing w:after="0"/>
              <w:rPr>
                <w:sz w:val="1"/>
                <w:szCs w:val="1"/>
                <w:color w:val="auto"/>
              </w:rPr>
            </w:pPr>
          </w:p>
        </w:tc>
      </w:tr>
      <w:tr>
        <w:trPr>
          <w:trHeight w:val="189"/>
        </w:trPr>
        <w:tc>
          <w:tcPr>
            <w:tcW w:w="6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Released</w:t>
            </w:r>
          </w:p>
        </w:tc>
        <w:tc>
          <w:tcPr>
            <w:tcW w:w="2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(107,437)</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189"/>
        </w:trPr>
        <w:tc>
          <w:tcPr>
            <w:tcW w:w="6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Forfeited</w:t>
            </w:r>
          </w:p>
        </w:tc>
        <w:tc>
          <w:tcPr>
            <w:tcW w:w="21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(2,738)</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92.05</w:t>
            </w:r>
          </w:p>
        </w:tc>
        <w:tc>
          <w:tcPr>
            <w:tcW w:w="0" w:type="dxa"/>
            <w:vAlign w:val="bottom"/>
          </w:tcPr>
          <w:p>
            <w:pPr>
              <w:spacing w:after="0"/>
              <w:rPr>
                <w:sz w:val="1"/>
                <w:szCs w:val="1"/>
                <w:color w:val="auto"/>
              </w:rPr>
            </w:pPr>
          </w:p>
        </w:tc>
      </w:tr>
      <w:tr>
        <w:trPr>
          <w:trHeight w:val="203"/>
        </w:trPr>
        <w:tc>
          <w:tcPr>
            <w:tcW w:w="67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Non-vested outstanding at March 31, 2026</w:t>
            </w:r>
          </w:p>
        </w:tc>
        <w:tc>
          <w:tcPr>
            <w:tcW w:w="21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332,091</w:t>
            </w:r>
          </w:p>
        </w:tc>
        <w:tc>
          <w:tcPr>
            <w:tcW w:w="500" w:type="dxa"/>
            <w:vAlign w:val="bottom"/>
            <w:gridSpan w:val="2"/>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107.79</w:t>
            </w:r>
          </w:p>
        </w:tc>
        <w:tc>
          <w:tcPr>
            <w:tcW w:w="0" w:type="dxa"/>
            <w:vAlign w:val="bottom"/>
          </w:tcPr>
          <w:p>
            <w:pPr>
              <w:spacing w:after="0"/>
              <w:rPr>
                <w:sz w:val="1"/>
                <w:szCs w:val="1"/>
                <w:color w:val="auto"/>
              </w:rPr>
            </w:pPr>
          </w:p>
        </w:tc>
      </w:tr>
      <w:tr>
        <w:trPr>
          <w:trHeight w:val="20"/>
        </w:trPr>
        <w:tc>
          <w:tcPr>
            <w:tcW w:w="6740" w:type="dxa"/>
            <w:vAlign w:val="bottom"/>
            <w:tcBorders>
              <w:top w:val="single" w:sz="8" w:color="CFF0FC"/>
            </w:tcBorders>
            <w:shd w:val="clear" w:color="auto" w:fill="CFF0FC"/>
          </w:tcPr>
          <w:p>
            <w:pPr>
              <w:spacing w:after="0" w:line="20" w:lineRule="exact"/>
              <w:rPr>
                <w:sz w:val="1"/>
                <w:szCs w:val="1"/>
                <w:color w:val="auto"/>
              </w:rPr>
            </w:pPr>
          </w:p>
        </w:tc>
        <w:tc>
          <w:tcPr>
            <w:tcW w:w="2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1460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1460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64"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approximately $32.2 million of total unrecognized stock-based compensation expense related to RSUs expected to be recognized over a weighted-average period of 2.1 years.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issues PSUs with a combination of service, performance, and market conditions.</w:t>
      </w:r>
    </w:p>
    <w:p>
      <w:pPr>
        <w:spacing w:after="0" w:line="171" w:lineRule="exact"/>
        <w:rPr>
          <w:sz w:val="20"/>
          <w:szCs w:val="20"/>
          <w:color w:val="auto"/>
        </w:rPr>
      </w:pPr>
    </w:p>
    <w:p>
      <w:pPr>
        <w:ind w:right="180" w:firstLine="749"/>
        <w:spacing w:after="0" w:line="247" w:lineRule="auto"/>
        <w:rPr>
          <w:sz w:val="20"/>
          <w:szCs w:val="20"/>
          <w:color w:val="auto"/>
        </w:rPr>
      </w:pPr>
      <w:r>
        <w:rPr>
          <w:rFonts w:ascii="Times New Roman" w:cs="Times New Roman" w:eastAsia="Times New Roman" w:hAnsi="Times New Roman"/>
          <w:sz w:val="18"/>
          <w:szCs w:val="18"/>
          <w:color w:val="auto"/>
        </w:rPr>
        <w:t>The majority of PSUs were issued via grants made to certain executives during 2021 and are earned based on the achievement of stock price milestones. If the Company’s stock price reaches and remains at certain milestones for 30 days, the PSUs shall become earned units and will vest upon completion of a requisite service period of approximately five years from the date of grant. As of March 31, 2026, four stock price milestones have been achieved solely with respect to the PSU award granted to the Chief Executive Officer. Additionally, two stock price milestones have been achieved with respect to each of the PSU awards granted to four other executives. These PSUs have been earned, but will not vest until the fifth anniversary of the grant date, subject to continued service.</w:t>
      </w:r>
    </w:p>
    <w:p>
      <w:pPr>
        <w:spacing w:after="0" w:line="139"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For other PSUs outstanding, vesting of PSUs requires a period of future service and the number of shares that vest depends on performance relative to predetermined targets of the Company’s gross written premiums and adjusted return on equity as set by the Compensation Committee. The PSU’s performance period is primarily a three-year period beginning with the grant date. At the end of the performance period, the actual results are measured against the predetermined targets to determine the number of PSUs to be earned as compensation. The earned PSUs are also subject to a required service period of approximately three years from the grant date before vesting and being issued as common stock.</w:t>
      </w:r>
    </w:p>
    <w:p>
      <w:pPr>
        <w:spacing w:after="0" w:line="13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Effective starting with 2025 grants, PSUs issued to executives include a relative total shareholder return (“RTSR”) modifier. The RTSR modifier adjusts PSU payouts up or down based on the Company’s shareholder return relative to the S&amp;P 1500 Property &amp; Casualty Insurance Index (the “Index”) over a three-year measurement period. These PSUs were valued using a Monte Carlo simulation with key valuation assumptions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 Awards</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 Awards</w:t>
            </w:r>
          </w:p>
        </w:tc>
      </w:tr>
      <w:tr>
        <w:trPr>
          <w:trHeight w:val="183"/>
        </w:trPr>
        <w:tc>
          <w:tcPr>
            <w:tcW w:w="76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Term</w:t>
            </w: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2.9 years</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2.9 years</w:t>
            </w:r>
          </w:p>
        </w:tc>
      </w:tr>
      <w:tr>
        <w:trPr>
          <w:trHeight w:val="189"/>
        </w:trPr>
        <w:tc>
          <w:tcPr>
            <w:tcW w:w="7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Risk-free interest rate (1)</w:t>
            </w:r>
          </w:p>
        </w:tc>
        <w:tc>
          <w:tcPr>
            <w:tcW w:w="180" w:type="dxa"/>
            <w:vAlign w:val="bottom"/>
          </w:tcPr>
          <w:p>
            <w:pPr>
              <w:spacing w:after="0"/>
              <w:rPr>
                <w:sz w:val="16"/>
                <w:szCs w:val="16"/>
                <w:color w:val="auto"/>
              </w:rPr>
            </w:pPr>
          </w:p>
        </w:tc>
        <w:tc>
          <w:tcPr>
            <w:tcW w:w="15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3.62%</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4.22%</w:t>
            </w:r>
          </w:p>
        </w:tc>
      </w:tr>
      <w:tr>
        <w:trPr>
          <w:trHeight w:val="189"/>
        </w:trPr>
        <w:tc>
          <w:tcPr>
            <w:tcW w:w="76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Volatility (2)</w:t>
            </w: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38.72%</w:t>
            </w: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45.00%</w:t>
            </w: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fair value (3)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125.79</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116.50</w:t>
            </w:r>
          </w:p>
        </w:tc>
      </w:tr>
    </w:tbl>
    <w:p>
      <w:pPr>
        <w:spacing w:after="0" w:line="85" w:lineRule="exact"/>
        <w:rPr>
          <w:sz w:val="20"/>
          <w:szCs w:val="20"/>
          <w:color w:val="auto"/>
        </w:rPr>
      </w:pPr>
    </w:p>
    <w:p>
      <w:pPr>
        <w:ind w:left="760" w:right="700" w:hanging="752"/>
        <w:spacing w:after="0" w:line="253"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was based on the zero-coupon U.S. Treasury yield curve on the valuation date, with a maturity matched to the performance period.</w:t>
      </w:r>
    </w:p>
    <w:p>
      <w:pPr>
        <w:ind w:left="760" w:hanging="752"/>
        <w:spacing w:after="0" w:line="23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is derived from historical stock prices as well as implied volatility when appropriate and available.</w:t>
      </w:r>
    </w:p>
    <w:p>
      <w:pPr>
        <w:ind w:left="760" w:right="1820" w:hanging="752"/>
        <w:spacing w:after="0" w:line="44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of fair values used to record compensation expense as determined by the Monte Carlo simulation. The following table summarizes PSU transactions for the 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-885190</wp:posOffset>
            </wp:positionV>
            <wp:extent cx="19030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21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40" w:type="dxa"/>
            <w:vAlign w:val="bottom"/>
          </w:tcPr>
          <w:p>
            <w:pPr>
              <w:spacing w:after="0"/>
              <w:rPr>
                <w:sz w:val="16"/>
                <w:szCs w:val="16"/>
                <w:color w:val="auto"/>
              </w:rPr>
            </w:pPr>
          </w:p>
        </w:tc>
        <w:tc>
          <w:tcPr>
            <w:tcW w:w="2100" w:type="dxa"/>
            <w:vAlign w:val="bottom"/>
            <w:gridSpan w:val="2"/>
          </w:tcPr>
          <w:p>
            <w:pPr>
              <w:jc w:val="right"/>
              <w:ind w:right="110"/>
              <w:spacing w:after="0" w:line="189" w:lineRule="exact"/>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25"/>
        </w:trPr>
        <w:tc>
          <w:tcPr>
            <w:tcW w:w="6740" w:type="dxa"/>
            <w:vAlign w:val="bottom"/>
          </w:tcPr>
          <w:p>
            <w:pPr>
              <w:spacing w:after="0"/>
              <w:rPr>
                <w:sz w:val="19"/>
                <w:szCs w:val="19"/>
                <w:color w:val="auto"/>
              </w:rPr>
            </w:pPr>
          </w:p>
        </w:tc>
        <w:tc>
          <w:tcPr>
            <w:tcW w:w="216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183"/>
        </w:trPr>
        <w:tc>
          <w:tcPr>
            <w:tcW w:w="67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Outstanding at January 1, 2026</w:t>
            </w:r>
          </w:p>
        </w:tc>
        <w:tc>
          <w:tcPr>
            <w:tcW w:w="21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502,022</w:t>
            </w:r>
          </w:p>
        </w:tc>
        <w:tc>
          <w:tcPr>
            <w:tcW w:w="500" w:type="dxa"/>
            <w:vAlign w:val="bottom"/>
            <w:gridSpan w:val="2"/>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49.05</w:t>
            </w:r>
          </w:p>
        </w:tc>
        <w:tc>
          <w:tcPr>
            <w:tcW w:w="0" w:type="dxa"/>
            <w:vAlign w:val="bottom"/>
          </w:tcPr>
          <w:p>
            <w:pPr>
              <w:spacing w:after="0"/>
              <w:rPr>
                <w:sz w:val="1"/>
                <w:szCs w:val="1"/>
                <w:color w:val="auto"/>
              </w:rPr>
            </w:pPr>
          </w:p>
        </w:tc>
      </w:tr>
      <w:tr>
        <w:trPr>
          <w:trHeight w:val="189"/>
        </w:trPr>
        <w:tc>
          <w:tcPr>
            <w:tcW w:w="6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Granted</w:t>
            </w:r>
          </w:p>
        </w:tc>
        <w:tc>
          <w:tcPr>
            <w:tcW w:w="2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117,925</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105.25</w:t>
            </w:r>
          </w:p>
        </w:tc>
        <w:tc>
          <w:tcPr>
            <w:tcW w:w="0" w:type="dxa"/>
            <w:vAlign w:val="bottom"/>
          </w:tcPr>
          <w:p>
            <w:pPr>
              <w:spacing w:after="0"/>
              <w:rPr>
                <w:sz w:val="1"/>
                <w:szCs w:val="1"/>
                <w:color w:val="auto"/>
              </w:rPr>
            </w:pPr>
          </w:p>
        </w:tc>
      </w:tr>
      <w:tr>
        <w:trPr>
          <w:trHeight w:val="189"/>
        </w:trPr>
        <w:tc>
          <w:tcPr>
            <w:tcW w:w="6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Vested</w:t>
            </w:r>
          </w:p>
        </w:tc>
        <w:tc>
          <w:tcPr>
            <w:tcW w:w="2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(67,883)</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51.24</w:t>
            </w:r>
          </w:p>
        </w:tc>
        <w:tc>
          <w:tcPr>
            <w:tcW w:w="0" w:type="dxa"/>
            <w:vAlign w:val="bottom"/>
          </w:tcPr>
          <w:p>
            <w:pPr>
              <w:spacing w:after="0"/>
              <w:rPr>
                <w:sz w:val="1"/>
                <w:szCs w:val="1"/>
                <w:color w:val="auto"/>
              </w:rPr>
            </w:pPr>
          </w:p>
        </w:tc>
      </w:tr>
      <w:tr>
        <w:trPr>
          <w:trHeight w:val="189"/>
        </w:trPr>
        <w:tc>
          <w:tcPr>
            <w:tcW w:w="6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Forfeited</w:t>
            </w:r>
          </w:p>
        </w:tc>
        <w:tc>
          <w:tcPr>
            <w:tcW w:w="21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7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Non-vested outstanding at March 31, 2026</w:t>
            </w:r>
          </w:p>
        </w:tc>
        <w:tc>
          <w:tcPr>
            <w:tcW w:w="21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552,064</w:t>
            </w:r>
          </w:p>
        </w:tc>
        <w:tc>
          <w:tcPr>
            <w:tcW w:w="500" w:type="dxa"/>
            <w:vAlign w:val="bottom"/>
            <w:gridSpan w:val="2"/>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60.79</w:t>
            </w:r>
          </w:p>
        </w:tc>
        <w:tc>
          <w:tcPr>
            <w:tcW w:w="0" w:type="dxa"/>
            <w:vAlign w:val="bottom"/>
          </w:tcPr>
          <w:p>
            <w:pPr>
              <w:spacing w:after="0"/>
              <w:rPr>
                <w:sz w:val="1"/>
                <w:szCs w:val="1"/>
                <w:color w:val="auto"/>
              </w:rPr>
            </w:pPr>
          </w:p>
        </w:tc>
      </w:tr>
      <w:tr>
        <w:trPr>
          <w:trHeight w:val="20"/>
        </w:trPr>
        <w:tc>
          <w:tcPr>
            <w:tcW w:w="6740" w:type="dxa"/>
            <w:vAlign w:val="bottom"/>
            <w:tcBorders>
              <w:top w:val="single" w:sz="8" w:color="CFF0FC"/>
            </w:tcBorders>
            <w:shd w:val="clear" w:color="auto" w:fill="CFF0FC"/>
          </w:tcPr>
          <w:p>
            <w:pPr>
              <w:spacing w:after="0" w:line="20" w:lineRule="exact"/>
              <w:rPr>
                <w:sz w:val="1"/>
                <w:szCs w:val="1"/>
                <w:color w:val="auto"/>
              </w:rPr>
            </w:pPr>
          </w:p>
        </w:tc>
        <w:tc>
          <w:tcPr>
            <w:tcW w:w="2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1460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1460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178"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PSU grants above represent the number of shares that would vest based on achievement of all stock price milestones in the 2021 executive stock grants and the 100% achievement of the predetermined performance conditions for the other PSU grants. The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actual number of PSUs which will vest is subject to adjustment based on the Company’s actual stock price performance and financial performance relative to the predetermined targets. As of March 31, 2026, the Company had approximately $24.5 million of total unrecognized stock-based compensation expense related to PSUs expected to be recognized over a weighted-average period of 1.0 years.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Employee Stock Purchase Plan</w:t>
      </w:r>
    </w:p>
    <w:p>
      <w:pPr>
        <w:spacing w:after="0" w:line="187"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On April 16, 2019, the Company’s 2019 Employee Stock Purchase Plan (the “2019 ESPP”) became effective. A total of 240,000 shares of common stock were initially authorized and reserved for issuance under the 2019 ESPP. In addition, the 2019 ESPP provides for annual increases in the number of shares available for issuance on January 1 of each year through 2029, equal to the smaller of 240,000 shares of the Company’s common stock or such other amount as may be determined by the board of directors.</w:t>
      </w:r>
    </w:p>
    <w:p>
      <w:pPr>
        <w:spacing w:after="0" w:line="137" w:lineRule="exact"/>
        <w:rPr>
          <w:sz w:val="20"/>
          <w:szCs w:val="20"/>
          <w:color w:val="auto"/>
        </w:rPr>
      </w:pPr>
    </w:p>
    <w:p>
      <w:pPr>
        <w:jc w:val="both"/>
        <w:ind w:right="120" w:firstLine="749"/>
        <w:spacing w:after="0" w:line="258" w:lineRule="auto"/>
        <w:rPr>
          <w:sz w:val="20"/>
          <w:szCs w:val="20"/>
          <w:color w:val="auto"/>
        </w:rPr>
      </w:pPr>
      <w:r>
        <w:rPr>
          <w:rFonts w:ascii="Times New Roman" w:cs="Times New Roman" w:eastAsia="Times New Roman" w:hAnsi="Times New Roman"/>
          <w:sz w:val="18"/>
          <w:szCs w:val="18"/>
          <w:color w:val="auto"/>
        </w:rPr>
        <w:t>Under the 2019 ESPP, employees can purchase Company stock at a discount via payroll withholdings. The 2019 ESPP is administered through employee participation in discrete offering periods. During each discrete offering period employee funds are withheld, and the stock purchase occurs upon the conclusion of the offering period. The Company issued 7,148 shares pursuant to the ESPP during the three months ended March 31, 2026.</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87" w:lineRule="exact"/>
        <w:rPr>
          <w:sz w:val="20"/>
          <w:szCs w:val="20"/>
          <w:color w:val="auto"/>
        </w:rPr>
      </w:pPr>
    </w:p>
    <w:p>
      <w:pPr>
        <w:ind w:right="540" w:firstLine="749"/>
        <w:spacing w:after="0" w:line="266" w:lineRule="auto"/>
        <w:rPr>
          <w:sz w:val="20"/>
          <w:szCs w:val="20"/>
          <w:color w:val="auto"/>
        </w:rPr>
      </w:pPr>
      <w:r>
        <w:rPr>
          <w:rFonts w:ascii="Times New Roman" w:cs="Times New Roman" w:eastAsia="Times New Roman" w:hAnsi="Times New Roman"/>
          <w:sz w:val="18"/>
          <w:szCs w:val="18"/>
          <w:color w:val="auto"/>
        </w:rPr>
        <w:t>In July 2025, the Company’s Board of Directors approved a share repurchase program authorizing the repurchase of up to $150 million of outstanding shares of common stock through July 31, 2027.</w:t>
      </w:r>
    </w:p>
    <w:p>
      <w:pPr>
        <w:spacing w:after="0" w:line="135"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The Company repurchased 190,255 shares for $23.1 million at an average price of $121.33 per share under this program during the three months ended March 31, 2026. Approximately $89.6 million remains available for future repurchases under this program. The Company accounts for share repurchases by charging the excess of repurchase price over the common stock’s par value entirely to retained earnings. All repurchased shares are retired and become authorized but unissued shares.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Accumulated Other Comprehensive Income</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(“AOCI”)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52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183"/>
        </w:trPr>
        <w:tc>
          <w:tcPr>
            <w:tcW w:w="53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83"/>
        </w:trPr>
        <w:tc>
          <w:tcPr>
            <w:tcW w:w="53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80" w:type="dxa"/>
            <w:vAlign w:val="bottom"/>
            <w:gridSpan w:val="3"/>
          </w:tcPr>
          <w:p>
            <w:pPr>
              <w:jc w:val="right"/>
              <w:ind w:right="60"/>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Beginning Balance</w:t>
            </w:r>
          </w:p>
        </w:tc>
        <w:tc>
          <w:tcPr>
            <w:tcW w:w="3400" w:type="dxa"/>
            <w:vAlign w:val="bottom"/>
            <w:gridSpan w:val="2"/>
            <w:shd w:val="clear" w:color="auto" w:fill="CFF0FC"/>
          </w:tcPr>
          <w:p>
            <w:pPr>
              <w:jc w:val="right"/>
              <w:ind w:right="8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(2,506)</w:t>
            </w:r>
          </w:p>
        </w:tc>
        <w:tc>
          <w:tcPr>
            <w:tcW w:w="680" w:type="dxa"/>
            <w:vAlign w:val="bottom"/>
            <w:gridSpan w:val="2"/>
            <w:shd w:val="clear" w:color="auto" w:fill="CFF0FC"/>
          </w:tcPr>
          <w:p>
            <w:pPr>
              <w:jc w:val="right"/>
              <w:ind w:right="4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(26,845)</w:t>
            </w:r>
          </w:p>
        </w:tc>
        <w:tc>
          <w:tcPr>
            <w:tcW w:w="0" w:type="dxa"/>
            <w:vAlign w:val="bottom"/>
          </w:tcPr>
          <w:p>
            <w:pPr>
              <w:spacing w:after="0"/>
              <w:rPr>
                <w:sz w:val="1"/>
                <w:szCs w:val="1"/>
                <w:color w:val="auto"/>
              </w:rPr>
            </w:pPr>
          </w:p>
        </w:tc>
      </w:tr>
      <w:tr>
        <w:trPr>
          <w:trHeight w:val="189"/>
        </w:trPr>
        <w:tc>
          <w:tcPr>
            <w:tcW w:w="53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Other comprehensive (loss) income before reclassification</w:t>
            </w:r>
          </w:p>
        </w:tc>
        <w:tc>
          <w:tcPr>
            <w:tcW w:w="24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(18,304)</w:t>
            </w: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11,829</w:t>
            </w:r>
          </w:p>
        </w:tc>
        <w:tc>
          <w:tcPr>
            <w:tcW w:w="0" w:type="dxa"/>
            <w:vAlign w:val="bottom"/>
          </w:tcPr>
          <w:p>
            <w:pPr>
              <w:spacing w:after="0"/>
              <w:rPr>
                <w:sz w:val="1"/>
                <w:szCs w:val="1"/>
                <w:color w:val="auto"/>
              </w:rPr>
            </w:pPr>
          </w:p>
        </w:tc>
      </w:tr>
      <w:tr>
        <w:trPr>
          <w:trHeight w:val="189"/>
        </w:trPr>
        <w:tc>
          <w:tcPr>
            <w:tcW w:w="53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Federal income tax benefit (expense)</w:t>
            </w:r>
          </w:p>
        </w:tc>
        <w:tc>
          <w:tcPr>
            <w:tcW w:w="24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4,362</w:t>
            </w:r>
          </w:p>
        </w:tc>
        <w:tc>
          <w:tcPr>
            <w:tcW w:w="1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(1,970)</w:t>
            </w:r>
          </w:p>
        </w:tc>
        <w:tc>
          <w:tcPr>
            <w:tcW w:w="0" w:type="dxa"/>
            <w:vAlign w:val="bottom"/>
          </w:tcPr>
          <w:p>
            <w:pPr>
              <w:spacing w:after="0"/>
              <w:rPr>
                <w:sz w:val="1"/>
                <w:szCs w:val="1"/>
                <w:color w:val="auto"/>
              </w:rPr>
            </w:pPr>
          </w:p>
        </w:tc>
      </w:tr>
      <w:tr>
        <w:trPr>
          <w:trHeight w:val="183"/>
        </w:trPr>
        <w:tc>
          <w:tcPr>
            <w:tcW w:w="5320" w:type="dxa"/>
            <w:vAlign w:val="bottom"/>
            <w:shd w:val="clear" w:color="auto" w:fill="CFF0FC"/>
          </w:tcPr>
          <w:p>
            <w:pPr>
              <w:ind w:left="140"/>
              <w:spacing w:after="0" w:line="182" w:lineRule="exact"/>
              <w:rPr>
                <w:sz w:val="20"/>
                <w:szCs w:val="20"/>
                <w:color w:val="auto"/>
              </w:rPr>
            </w:pPr>
            <w:r>
              <w:rPr>
                <w:rFonts w:ascii="Times New Roman" w:cs="Times New Roman" w:eastAsia="Times New Roman" w:hAnsi="Times New Roman"/>
                <w:sz w:val="18"/>
                <w:szCs w:val="18"/>
                <w:color w:val="auto"/>
              </w:rPr>
              <w:t>Other comprehensive (loss) income before reclassification, net of tax</w:t>
            </w:r>
          </w:p>
        </w:tc>
        <w:tc>
          <w:tcPr>
            <w:tcW w:w="24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(13,942)</w:t>
            </w: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9,859</w:t>
            </w:r>
          </w:p>
        </w:tc>
        <w:tc>
          <w:tcPr>
            <w:tcW w:w="0" w:type="dxa"/>
            <w:vAlign w:val="bottom"/>
          </w:tcPr>
          <w:p>
            <w:pPr>
              <w:spacing w:after="0"/>
              <w:rPr>
                <w:sz w:val="1"/>
                <w:szCs w:val="1"/>
                <w:color w:val="auto"/>
              </w:rPr>
            </w:pPr>
          </w:p>
        </w:tc>
      </w:tr>
      <w:tr>
        <w:trPr>
          <w:trHeight w:val="189"/>
        </w:trPr>
        <w:tc>
          <w:tcPr>
            <w:tcW w:w="53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Amounts reclassified from AOCI</w:t>
            </w:r>
          </w:p>
        </w:tc>
        <w:tc>
          <w:tcPr>
            <w:tcW w:w="24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189"/>
        </w:trPr>
        <w:tc>
          <w:tcPr>
            <w:tcW w:w="53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Federal income tax benefit (expense)</w:t>
            </w:r>
          </w:p>
        </w:tc>
        <w:tc>
          <w:tcPr>
            <w:tcW w:w="24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83"/>
        </w:trPr>
        <w:tc>
          <w:tcPr>
            <w:tcW w:w="5320" w:type="dxa"/>
            <w:vAlign w:val="bottom"/>
            <w:tcBorders>
              <w:bottom w:val="single" w:sz="8" w:color="CFF0FC"/>
            </w:tcBorders>
            <w:shd w:val="clear" w:color="auto" w:fill="CFF0FC"/>
          </w:tcPr>
          <w:p>
            <w:pPr>
              <w:ind w:left="140"/>
              <w:spacing w:after="0" w:line="182" w:lineRule="exact"/>
              <w:rPr>
                <w:sz w:val="20"/>
                <w:szCs w:val="20"/>
                <w:color w:val="auto"/>
              </w:rPr>
            </w:pPr>
            <w:r>
              <w:rPr>
                <w:rFonts w:ascii="Times New Roman" w:cs="Times New Roman" w:eastAsia="Times New Roman" w:hAnsi="Times New Roman"/>
                <w:sz w:val="18"/>
                <w:szCs w:val="18"/>
                <w:color w:val="auto"/>
              </w:rPr>
              <w:t>Amounts reclassified from AOCI, net of tax</w:t>
            </w:r>
          </w:p>
        </w:tc>
        <w:tc>
          <w:tcPr>
            <w:tcW w:w="24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183"/>
        </w:trPr>
        <w:tc>
          <w:tcPr>
            <w:tcW w:w="53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tcBorders>
              <w:bottom w:val="single" w:sz="8" w:color="CFF0FC"/>
            </w:tcBorders>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240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(13,947)</w:t>
            </w:r>
          </w:p>
        </w:tc>
        <w:tc>
          <w:tcPr>
            <w:tcW w:w="16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10,203</w:t>
            </w:r>
          </w:p>
        </w:tc>
        <w:tc>
          <w:tcPr>
            <w:tcW w:w="0" w:type="dxa"/>
            <w:vAlign w:val="bottom"/>
          </w:tcPr>
          <w:p>
            <w:pPr>
              <w:spacing w:after="0"/>
              <w:rPr>
                <w:sz w:val="1"/>
                <w:szCs w:val="1"/>
                <w:color w:val="auto"/>
              </w:rPr>
            </w:pPr>
          </w:p>
        </w:tc>
      </w:tr>
      <w:tr>
        <w:trPr>
          <w:trHeight w:val="183"/>
        </w:trPr>
        <w:tc>
          <w:tcPr>
            <w:tcW w:w="53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Balance at end of period</w:t>
            </w:r>
          </w:p>
        </w:tc>
        <w:tc>
          <w:tcPr>
            <w:tcW w:w="3400" w:type="dxa"/>
            <w:vAlign w:val="bottom"/>
            <w:gridSpan w:val="2"/>
          </w:tcPr>
          <w:p>
            <w:pPr>
              <w:jc w:val="right"/>
              <w:ind w:right="8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(16,453)</w:t>
            </w:r>
          </w:p>
        </w:tc>
        <w:tc>
          <w:tcPr>
            <w:tcW w:w="680" w:type="dxa"/>
            <w:vAlign w:val="bottom"/>
            <w:gridSpan w:val="2"/>
          </w:tcPr>
          <w:p>
            <w:pPr>
              <w:jc w:val="right"/>
              <w:ind w:right="4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(16,642)</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40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17</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3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53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-1319530</wp:posOffset>
            </wp:positionV>
            <wp:extent cx="1028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-1070610</wp:posOffset>
            </wp:positionV>
            <wp:extent cx="1028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Underwriting Information</w:t>
      </w:r>
    </w:p>
    <w:p>
      <w:pPr>
        <w:spacing w:after="0" w:line="175" w:lineRule="exact"/>
        <w:rPr>
          <w:sz w:val="20"/>
          <w:szCs w:val="20"/>
          <w:color w:val="auto"/>
        </w:rPr>
      </w:pPr>
    </w:p>
    <w:p>
      <w:pPr>
        <w:ind w:right="660" w:firstLine="749"/>
        <w:spacing w:after="0" w:line="282" w:lineRule="auto"/>
        <w:rPr>
          <w:sz w:val="20"/>
          <w:szCs w:val="20"/>
          <w:color w:val="auto"/>
        </w:rPr>
      </w:pPr>
      <w:r>
        <w:rPr>
          <w:rFonts w:ascii="Times New Roman" w:cs="Times New Roman" w:eastAsia="Times New Roman" w:hAnsi="Times New Roman"/>
          <w:sz w:val="18"/>
          <w:szCs w:val="18"/>
          <w:color w:val="auto"/>
        </w:rPr>
        <w:t>The Company has a single reportable segment and offers specialty insurance products. Gross written premiums (“GWP”) by product are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7"/>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0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22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24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 of</w:t>
            </w:r>
          </w:p>
        </w:tc>
        <w:tc>
          <w:tcPr>
            <w:tcW w:w="2960" w:type="dxa"/>
            <w:vAlign w:val="bottom"/>
            <w:gridSpan w:val="6"/>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48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104"/>
        </w:trPr>
        <w:tc>
          <w:tcPr>
            <w:tcW w:w="30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40" w:type="dxa"/>
            <w:vAlign w:val="bottom"/>
            <w:gridSpan w:val="3"/>
            <w:vMerge w:val="restart"/>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60" w:type="dxa"/>
            <w:vAlign w:val="bottom"/>
            <w:gridSpan w:val="3"/>
            <w:vMerge w:val="restart"/>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3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GWP</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3"/>
            <w:vMerge w:val="continue"/>
          </w:tcPr>
          <w:p>
            <w:pPr>
              <w:spacing w:after="0"/>
              <w:rPr>
                <w:sz w:val="19"/>
                <w:szCs w:val="19"/>
                <w:color w:val="auto"/>
              </w:rPr>
            </w:pPr>
          </w:p>
        </w:tc>
        <w:tc>
          <w:tcPr>
            <w:tcW w:w="14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GWP</w:t>
            </w:r>
          </w:p>
        </w:tc>
        <w:tc>
          <w:tcPr>
            <w:tcW w:w="0" w:type="dxa"/>
            <w:vAlign w:val="bottom"/>
          </w:tcPr>
          <w:p>
            <w:pPr>
              <w:spacing w:after="0"/>
              <w:rPr>
                <w:sz w:val="1"/>
                <w:szCs w:val="1"/>
                <w:color w:val="auto"/>
              </w:rPr>
            </w:pPr>
          </w:p>
        </w:tc>
      </w:tr>
      <w:tr>
        <w:trPr>
          <w:trHeight w:val="183"/>
        </w:trPr>
        <w:tc>
          <w:tcPr>
            <w:tcW w:w="30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Product (1)</w:t>
            </w:r>
          </w:p>
        </w:tc>
        <w:tc>
          <w:tcPr>
            <w:tcW w:w="880" w:type="dxa"/>
            <w:vAlign w:val="bottom"/>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3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3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48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2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Casualty</w:t>
            </w:r>
          </w:p>
        </w:tc>
        <w:tc>
          <w:tcPr>
            <w:tcW w:w="1160" w:type="dxa"/>
            <w:vAlign w:val="bottom"/>
            <w:gridSpan w:val="2"/>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206,299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32.8%</w:t>
            </w:r>
          </w:p>
        </w:tc>
        <w:tc>
          <w:tcPr>
            <w:tcW w:w="380" w:type="dxa"/>
            <w:vAlign w:val="bottom"/>
            <w:gridSpan w:val="2"/>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133,102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189"/>
        </w:trPr>
        <w:tc>
          <w:tcPr>
            <w:tcW w:w="3020" w:type="dxa"/>
            <w:vAlign w:val="bottom"/>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Inland Marine and Property</w:t>
            </w: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166,564</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113,326</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189"/>
        </w:trPr>
        <w:tc>
          <w:tcPr>
            <w:tcW w:w="302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Earthquake</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137,315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133,695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189"/>
        </w:trPr>
        <w:tc>
          <w:tcPr>
            <w:tcW w:w="3020" w:type="dxa"/>
            <w:vAlign w:val="bottom"/>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Crop</w:t>
            </w: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87,773</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48,220</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89"/>
        </w:trPr>
        <w:tc>
          <w:tcPr>
            <w:tcW w:w="302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Surety &amp; Credit</w:t>
            </w:r>
          </w:p>
        </w:tc>
        <w:tc>
          <w:tcPr>
            <w:tcW w:w="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31,877</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13,820</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gross written premiums</w:t>
            </w:r>
          </w:p>
        </w:tc>
        <w:tc>
          <w:tcPr>
            <w:tcW w:w="8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629,828</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442,163</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-25400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-25400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left="760" w:right="160" w:hanging="752"/>
        <w:spacing w:after="0" w:line="25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2026, the Company has updated the categorization of its products to align with management’s current strategy and view of the business. Prior year amounts have been reclassified for comparability purposes. The recategorization is for presentation purposes only and does not impact overall gross written premiums.</w:t>
      </w:r>
    </w:p>
    <w:p>
      <w:pPr>
        <w:spacing w:after="0" w:line="17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written premiums by state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-650875</wp:posOffset>
            </wp:positionV>
            <wp:extent cx="19030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7"/>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0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22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24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 of</w:t>
            </w:r>
          </w:p>
        </w:tc>
        <w:tc>
          <w:tcPr>
            <w:tcW w:w="2960" w:type="dxa"/>
            <w:vAlign w:val="bottom"/>
            <w:gridSpan w:val="6"/>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48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104"/>
        </w:trPr>
        <w:tc>
          <w:tcPr>
            <w:tcW w:w="30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40" w:type="dxa"/>
            <w:vAlign w:val="bottom"/>
            <w:gridSpan w:val="3"/>
            <w:vMerge w:val="restart"/>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60" w:type="dxa"/>
            <w:vAlign w:val="bottom"/>
            <w:gridSpan w:val="3"/>
            <w:vMerge w:val="restart"/>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3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GWP</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3"/>
            <w:vMerge w:val="continue"/>
          </w:tcPr>
          <w:p>
            <w:pPr>
              <w:spacing w:after="0"/>
              <w:rPr>
                <w:sz w:val="19"/>
                <w:szCs w:val="19"/>
                <w:color w:val="auto"/>
              </w:rPr>
            </w:pPr>
          </w:p>
        </w:tc>
        <w:tc>
          <w:tcPr>
            <w:tcW w:w="14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GWP</w:t>
            </w:r>
          </w:p>
        </w:tc>
        <w:tc>
          <w:tcPr>
            <w:tcW w:w="0" w:type="dxa"/>
            <w:vAlign w:val="bottom"/>
          </w:tcPr>
          <w:p>
            <w:pPr>
              <w:spacing w:after="0"/>
              <w:rPr>
                <w:sz w:val="1"/>
                <w:szCs w:val="1"/>
                <w:color w:val="auto"/>
              </w:rPr>
            </w:pPr>
          </w:p>
        </w:tc>
      </w:tr>
      <w:tr>
        <w:trPr>
          <w:trHeight w:val="183"/>
        </w:trPr>
        <w:tc>
          <w:tcPr>
            <w:tcW w:w="30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State</w:t>
            </w:r>
          </w:p>
        </w:tc>
        <w:tc>
          <w:tcPr>
            <w:tcW w:w="880" w:type="dxa"/>
            <w:vAlign w:val="bottom"/>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3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3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48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2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California</w:t>
            </w:r>
          </w:p>
        </w:tc>
        <w:tc>
          <w:tcPr>
            <w:tcW w:w="1160" w:type="dxa"/>
            <w:vAlign w:val="bottom"/>
            <w:gridSpan w:val="2"/>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157,619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25.0%</w:t>
            </w:r>
          </w:p>
        </w:tc>
        <w:tc>
          <w:tcPr>
            <w:tcW w:w="380" w:type="dxa"/>
            <w:vAlign w:val="bottom"/>
            <w:gridSpan w:val="2"/>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139,723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189"/>
        </w:trPr>
        <w:tc>
          <w:tcPr>
            <w:tcW w:w="3020" w:type="dxa"/>
            <w:vAlign w:val="bottom"/>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Texas</w:t>
            </w: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63,584</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44,991</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89"/>
        </w:trPr>
        <w:tc>
          <w:tcPr>
            <w:tcW w:w="302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Florida</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29,888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18,641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89"/>
        </w:trPr>
        <w:tc>
          <w:tcPr>
            <w:tcW w:w="3020" w:type="dxa"/>
            <w:vAlign w:val="bottom"/>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New York</w:t>
            </w: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24,483</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14,597</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89"/>
        </w:trPr>
        <w:tc>
          <w:tcPr>
            <w:tcW w:w="302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Hawaii</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22,845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20,358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89"/>
        </w:trPr>
        <w:tc>
          <w:tcPr>
            <w:tcW w:w="3020" w:type="dxa"/>
            <w:vAlign w:val="bottom"/>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Washington</w:t>
            </w: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19,199</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15,669</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9"/>
        </w:trPr>
        <w:tc>
          <w:tcPr>
            <w:tcW w:w="302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Colorado</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15,329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12,168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89"/>
        </w:trPr>
        <w:tc>
          <w:tcPr>
            <w:tcW w:w="3020" w:type="dxa"/>
            <w:vAlign w:val="bottom"/>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Oklahoma</w:t>
            </w: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14,683</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4,192</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189"/>
        </w:trPr>
        <w:tc>
          <w:tcPr>
            <w:tcW w:w="302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282,198</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171,824</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gross written premiums</w:t>
            </w:r>
          </w:p>
        </w:tc>
        <w:tc>
          <w:tcPr>
            <w:tcW w:w="8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629,828</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442,163</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-8255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Gross written premiums by insurance subsidiary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7"/>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0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22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24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 of</w:t>
            </w:r>
          </w:p>
        </w:tc>
        <w:tc>
          <w:tcPr>
            <w:tcW w:w="2960" w:type="dxa"/>
            <w:vAlign w:val="bottom"/>
            <w:gridSpan w:val="6"/>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48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104"/>
        </w:trPr>
        <w:tc>
          <w:tcPr>
            <w:tcW w:w="30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60" w:type="dxa"/>
            <w:vAlign w:val="bottom"/>
            <w:gridSpan w:val="3"/>
            <w:vMerge w:val="restart"/>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3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GWP</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3"/>
            <w:vMerge w:val="continue"/>
          </w:tcPr>
          <w:p>
            <w:pPr>
              <w:spacing w:after="0"/>
              <w:rPr>
                <w:sz w:val="19"/>
                <w:szCs w:val="19"/>
                <w:color w:val="auto"/>
              </w:rPr>
            </w:pPr>
          </w:p>
        </w:tc>
        <w:tc>
          <w:tcPr>
            <w:tcW w:w="14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GWP</w:t>
            </w:r>
          </w:p>
        </w:tc>
        <w:tc>
          <w:tcPr>
            <w:tcW w:w="0" w:type="dxa"/>
            <w:vAlign w:val="bottom"/>
          </w:tcPr>
          <w:p>
            <w:pPr>
              <w:spacing w:after="0"/>
              <w:rPr>
                <w:sz w:val="1"/>
                <w:szCs w:val="1"/>
                <w:color w:val="auto"/>
              </w:rPr>
            </w:pPr>
          </w:p>
        </w:tc>
      </w:tr>
      <w:tr>
        <w:trPr>
          <w:trHeight w:val="183"/>
        </w:trPr>
        <w:tc>
          <w:tcPr>
            <w:tcW w:w="30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Subsidiary</w:t>
            </w:r>
          </w:p>
        </w:tc>
        <w:tc>
          <w:tcPr>
            <w:tcW w:w="880" w:type="dxa"/>
            <w:vAlign w:val="bottom"/>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3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3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48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2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PSIC</w:t>
            </w:r>
          </w:p>
        </w:tc>
        <w:tc>
          <w:tcPr>
            <w:tcW w:w="1160" w:type="dxa"/>
            <w:vAlign w:val="bottom"/>
            <w:gridSpan w:val="2"/>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323,753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51.4%</w:t>
            </w:r>
          </w:p>
        </w:tc>
        <w:tc>
          <w:tcPr>
            <w:tcW w:w="380" w:type="dxa"/>
            <w:vAlign w:val="bottom"/>
            <w:gridSpan w:val="2"/>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230,917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189"/>
        </w:trPr>
        <w:tc>
          <w:tcPr>
            <w:tcW w:w="3020" w:type="dxa"/>
            <w:vAlign w:val="bottom"/>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PESIC</w:t>
            </w: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270,070</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190,786</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189"/>
        </w:trPr>
        <w:tc>
          <w:tcPr>
            <w:tcW w:w="302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Laulima</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18,671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16,037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89"/>
        </w:trPr>
        <w:tc>
          <w:tcPr>
            <w:tcW w:w="3020" w:type="dxa"/>
            <w:vAlign w:val="bottom"/>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PCSC</w:t>
            </w: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12,421</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60" w:type="dxa"/>
            <w:vAlign w:val="bottom"/>
            <w:gridSpan w:val="3"/>
            <w:shd w:val="clear" w:color="auto" w:fill="CFF0FC"/>
          </w:tcPr>
          <w:p>
            <w:pPr>
              <w:jc w:val="right"/>
              <w:ind w:right="6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02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FIA</w:t>
            </w:r>
          </w:p>
        </w:tc>
        <w:tc>
          <w:tcPr>
            <w:tcW w:w="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4,913</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4,423</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gross written premiums</w:t>
            </w:r>
          </w:p>
        </w:tc>
        <w:tc>
          <w:tcPr>
            <w:tcW w:w="8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629,828</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442,163</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858"/>
        </w:trPr>
        <w:tc>
          <w:tcPr>
            <w:tcW w:w="3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18</w:t>
            </w: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30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-1071245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-1053465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-1071245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-1053465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-1071245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-1053465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89" w:lineRule="exact"/>
        <w:rPr>
          <w:sz w:val="20"/>
          <w:szCs w:val="20"/>
          <w:color w:val="auto"/>
        </w:rPr>
      </w:pPr>
    </w:p>
    <w:p>
      <w:pPr>
        <w:jc w:val="both"/>
        <w:ind w:right="340" w:firstLine="749"/>
        <w:spacing w:after="0" w:line="250" w:lineRule="auto"/>
        <w:rPr>
          <w:sz w:val="20"/>
          <w:szCs w:val="20"/>
          <w:color w:val="auto"/>
        </w:rPr>
      </w:pPr>
      <w:r>
        <w:rPr>
          <w:rFonts w:ascii="Times New Roman" w:cs="Times New Roman" w:eastAsia="Times New Roman" w:hAnsi="Times New Roman"/>
          <w:sz w:val="18"/>
          <w:szCs w:val="18"/>
          <w:color w:val="auto"/>
        </w:rPr>
        <w:t>The Company calculates its tax provision in interim periods using its best estimate of the effective tax rate expected for the full year. For the three months ended March 31, 2026 and 2025, the Company’s income tax rates of 19.7% and 20.1%, respectively, were lower than the statutory rate of 21% due primarily to the tax impact of the permanent component of employee stock option exercises offset by non-deductible executive compensation expense.</w:t>
      </w:r>
    </w:p>
    <w:p>
      <w:pPr>
        <w:spacing w:after="0" w:line="137" w:lineRule="exact"/>
        <w:rPr>
          <w:sz w:val="20"/>
          <w:szCs w:val="20"/>
          <w:color w:val="auto"/>
        </w:rPr>
      </w:pPr>
    </w:p>
    <w:p>
      <w:pPr>
        <w:ind w:right="400" w:firstLine="749"/>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into law. The OBBBA extends or makes permanent various tax provisions that were originally enacted in the 2017 Tax Cuts and Jobs Act and were set to expire at the end of 2025. The Company does not expect the enactment of OBBBA to materially impact the Company’s overall income tax expense.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tc>
        <w:tc>
          <w:tcPr>
            <w:tcW w:w="1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6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following table sets out earnings per share of common stock:</w:t>
            </w: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6620" w:type="dxa"/>
            <w:vAlign w:val="bottom"/>
          </w:tcPr>
          <w:p>
            <w:pPr>
              <w:spacing w:after="0"/>
              <w:rPr>
                <w:sz w:val="24"/>
                <w:szCs w:val="24"/>
                <w:color w:val="auto"/>
              </w:rPr>
            </w:pPr>
          </w:p>
        </w:tc>
        <w:tc>
          <w:tcPr>
            <w:tcW w:w="3560" w:type="dxa"/>
            <w:vAlign w:val="bottom"/>
            <w:tcBorders>
              <w:bottom w:val="single" w:sz="8" w:color="auto"/>
            </w:tcBorders>
            <w:gridSpan w:val="4"/>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6620" w:type="dxa"/>
            <w:vAlign w:val="bottom"/>
          </w:tcPr>
          <w:p>
            <w:pPr>
              <w:spacing w:after="0"/>
              <w:rPr>
                <w:sz w:val="15"/>
                <w:szCs w:val="15"/>
                <w:color w:val="auto"/>
              </w:rPr>
            </w:pPr>
          </w:p>
        </w:tc>
        <w:tc>
          <w:tcPr>
            <w:tcW w:w="12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620" w:type="dxa"/>
            <w:vAlign w:val="bottom"/>
          </w:tcPr>
          <w:p>
            <w:pPr>
              <w:spacing w:after="0"/>
              <w:rPr>
                <w:sz w:val="15"/>
                <w:szCs w:val="15"/>
                <w:color w:val="auto"/>
              </w:rPr>
            </w:pPr>
          </w:p>
        </w:tc>
        <w:tc>
          <w:tcPr>
            <w:tcW w:w="4620" w:type="dxa"/>
            <w:vAlign w:val="bottom"/>
            <w:gridSpan w:val="6"/>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w w:val="99"/>
              </w:rPr>
              <w:t>(in thousands, except shares and per share data)</w:t>
            </w:r>
          </w:p>
        </w:tc>
      </w:tr>
      <w:tr>
        <w:trPr>
          <w:trHeight w:val="189"/>
        </w:trPr>
        <w:tc>
          <w:tcPr>
            <w:tcW w:w="66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shd w:val="clear" w:color="auto" w:fill="CFF0FC"/>
          </w:tcPr>
          <w:p>
            <w:pPr>
              <w:jc w:val="right"/>
              <w:ind w:right="10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42,947</w:t>
            </w:r>
          </w:p>
        </w:tc>
        <w:tc>
          <w:tcPr>
            <w:tcW w:w="1340" w:type="dxa"/>
            <w:vAlign w:val="bottom"/>
            <w:gridSpan w:val="2"/>
            <w:shd w:val="clear" w:color="auto" w:fill="CFF0FC"/>
          </w:tcPr>
          <w:p>
            <w:pPr>
              <w:jc w:val="right"/>
              <w:ind w:right="10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42,922</w:t>
            </w:r>
          </w:p>
        </w:tc>
        <w:tc>
          <w:tcPr>
            <w:tcW w:w="100" w:type="dxa"/>
            <w:vAlign w:val="bottom"/>
            <w:shd w:val="clear" w:color="auto" w:fill="CFF0FC"/>
          </w:tcPr>
          <w:p>
            <w:pPr>
              <w:spacing w:after="0"/>
              <w:rPr>
                <w:sz w:val="16"/>
                <w:szCs w:val="16"/>
                <w:color w:val="auto"/>
              </w:rPr>
            </w:pPr>
          </w:p>
        </w:tc>
      </w:tr>
      <w:tr>
        <w:trPr>
          <w:trHeight w:val="189"/>
        </w:trPr>
        <w:tc>
          <w:tcPr>
            <w:tcW w:w="6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Basic</w:t>
            </w:r>
          </w:p>
        </w:tc>
        <w:tc>
          <w:tcPr>
            <w:tcW w:w="126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26,572,165</w:t>
            </w: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26,658,106</w:t>
            </w:r>
          </w:p>
        </w:tc>
        <w:tc>
          <w:tcPr>
            <w:tcW w:w="100" w:type="dxa"/>
            <w:vAlign w:val="bottom"/>
            <w:shd w:val="clear" w:color="auto" w:fill="CFF0FC"/>
          </w:tcPr>
          <w:p>
            <w:pPr>
              <w:spacing w:after="0"/>
              <w:rPr>
                <w:sz w:val="16"/>
                <w:szCs w:val="16"/>
                <w:color w:val="auto"/>
              </w:rPr>
            </w:pPr>
          </w:p>
        </w:tc>
      </w:tr>
      <w:tr>
        <w:trPr>
          <w:trHeight w:val="189"/>
        </w:trPr>
        <w:tc>
          <w:tcPr>
            <w:tcW w:w="6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Common Share equivalents</w:t>
            </w:r>
          </w:p>
        </w:tc>
        <w:tc>
          <w:tcPr>
            <w:tcW w:w="1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768,675</w:t>
            </w:r>
          </w:p>
        </w:tc>
        <w:tc>
          <w:tcPr>
            <w:tcW w:w="1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741,891</w:t>
            </w:r>
          </w:p>
        </w:tc>
        <w:tc>
          <w:tcPr>
            <w:tcW w:w="100" w:type="dxa"/>
            <w:vAlign w:val="bottom"/>
          </w:tcPr>
          <w:p>
            <w:pPr>
              <w:spacing w:after="0"/>
              <w:rPr>
                <w:sz w:val="16"/>
                <w:szCs w:val="16"/>
                <w:color w:val="auto"/>
              </w:rPr>
            </w:pPr>
          </w:p>
        </w:tc>
      </w:tr>
      <w:tr>
        <w:trPr>
          <w:trHeight w:val="223"/>
        </w:trPr>
        <w:tc>
          <w:tcPr>
            <w:tcW w:w="66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Diluted</w:t>
            </w:r>
          </w:p>
        </w:tc>
        <w:tc>
          <w:tcPr>
            <w:tcW w:w="1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27,340,840</w:t>
            </w:r>
          </w:p>
        </w:tc>
        <w:tc>
          <w:tcPr>
            <w:tcW w:w="10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27,399,997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69"/>
        </w:trPr>
        <w:tc>
          <w:tcPr>
            <w:tcW w:w="6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66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Earnings per share:</w:t>
            </w:r>
          </w:p>
        </w:tc>
        <w:tc>
          <w:tcPr>
            <w:tcW w:w="1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Basic</w:t>
            </w:r>
          </w:p>
        </w:tc>
        <w:tc>
          <w:tcPr>
            <w:tcW w:w="1260" w:type="dxa"/>
            <w:vAlign w:val="bottom"/>
          </w:tcPr>
          <w:p>
            <w:pPr>
              <w:jc w:val="right"/>
              <w:ind w:right="10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1.62</w:t>
            </w:r>
          </w:p>
        </w:tc>
        <w:tc>
          <w:tcPr>
            <w:tcW w:w="1340" w:type="dxa"/>
            <w:vAlign w:val="bottom"/>
            <w:gridSpan w:val="2"/>
          </w:tcPr>
          <w:p>
            <w:pPr>
              <w:jc w:val="right"/>
              <w:ind w:right="10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6"/>
                <w:szCs w:val="16"/>
                <w:color w:val="auto"/>
              </w:rPr>
            </w:pPr>
          </w:p>
        </w:tc>
      </w:tr>
      <w:tr>
        <w:trPr>
          <w:trHeight w:val="20"/>
        </w:trPr>
        <w:tc>
          <w:tcPr>
            <w:tcW w:w="6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20" w:type="dxa"/>
            <w:vAlign w:val="bottom"/>
            <w:tcBorders>
              <w:bottom w:val="single" w:sz="8" w:color="CFF0FC"/>
            </w:tcBorders>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Diluted</w:t>
            </w:r>
          </w:p>
        </w:tc>
        <w:tc>
          <w:tcPr>
            <w:tcW w:w="1260" w:type="dxa"/>
            <w:vAlign w:val="bottom"/>
            <w:tcBorders>
              <w:bottom w:val="single" w:sz="8" w:color="auto"/>
            </w:tcBorders>
            <w:shd w:val="clear" w:color="auto" w:fill="CFF0FC"/>
          </w:tcPr>
          <w:p>
            <w:pPr>
              <w:jc w:val="right"/>
              <w:ind w:right="107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05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-556895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-539750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-539750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-25400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Common share equivalents relate primarily to outstanding stock options, RSUs and PSUs under the 2019 Plan and unpurchased shares under the 2019 ESPP and are calculated using the treasury stock method.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Reinsurance</w:t>
      </w:r>
    </w:p>
    <w:p>
      <w:pPr>
        <w:spacing w:after="0" w:line="189" w:lineRule="exact"/>
        <w:rPr>
          <w:sz w:val="20"/>
          <w:szCs w:val="20"/>
          <w:color w:val="auto"/>
        </w:rPr>
      </w:pPr>
    </w:p>
    <w:p>
      <w:pPr>
        <w:ind w:right="560" w:firstLine="749"/>
        <w:spacing w:after="0" w:line="266" w:lineRule="auto"/>
        <w:rPr>
          <w:sz w:val="20"/>
          <w:szCs w:val="20"/>
          <w:color w:val="auto"/>
        </w:rPr>
      </w:pPr>
      <w:r>
        <w:rPr>
          <w:rFonts w:ascii="Times New Roman" w:cs="Times New Roman" w:eastAsia="Times New Roman" w:hAnsi="Times New Roman"/>
          <w:sz w:val="18"/>
          <w:szCs w:val="18"/>
          <w:color w:val="auto"/>
        </w:rPr>
        <w:t>The Company utilizes reinsurance in order to limit its exposure to losses and enable it to underwrite policies with sufficient limits to meet policyholder needs. The Company utilizes both excess of loss (XOL) and quota share reinsurance.</w:t>
      </w:r>
    </w:p>
    <w:p>
      <w:pPr>
        <w:spacing w:after="0" w:line="135" w:lineRule="exact"/>
        <w:rPr>
          <w:sz w:val="20"/>
          <w:szCs w:val="20"/>
          <w:color w:val="auto"/>
        </w:rPr>
      </w:pPr>
    </w:p>
    <w:p>
      <w:pPr>
        <w:ind w:right="420" w:firstLine="749"/>
        <w:spacing w:after="0" w:line="250" w:lineRule="auto"/>
        <w:rPr>
          <w:sz w:val="20"/>
          <w:szCs w:val="20"/>
          <w:color w:val="auto"/>
        </w:rPr>
      </w:pPr>
      <w:r>
        <w:rPr>
          <w:rFonts w:ascii="Times New Roman" w:cs="Times New Roman" w:eastAsia="Times New Roman" w:hAnsi="Times New Roman"/>
          <w:sz w:val="18"/>
          <w:szCs w:val="18"/>
          <w:color w:val="auto"/>
        </w:rPr>
        <w:t>As of March 31, 2026, the Company’s catastrophe event retention is $20.0 million for earthquake events and $11.0 million for continental hurricane events and all other perils. Laulima maintains Hawaii hurricane reinsurance coverage through a standalone XOL treaty, which provides per-occurrence coverage up to $735.0 million with a retention of $1.5 million. As of March 31, 2026, the Company’s XOL reinsurance structure provides protection up to $3.5 billion for earthquake events and $100.0 million for continental U.S. hurricane events.</w:t>
      </w:r>
    </w:p>
    <w:p>
      <w:pPr>
        <w:spacing w:after="0" w:line="137" w:lineRule="exact"/>
        <w:rPr>
          <w:sz w:val="20"/>
          <w:szCs w:val="20"/>
          <w:color w:val="auto"/>
        </w:rPr>
      </w:pPr>
    </w:p>
    <w:p>
      <w:pPr>
        <w:ind w:right="40" w:firstLine="749"/>
        <w:spacing w:after="0" w:line="247" w:lineRule="auto"/>
        <w:rPr>
          <w:sz w:val="20"/>
          <w:szCs w:val="20"/>
          <w:color w:val="auto"/>
        </w:rPr>
      </w:pPr>
      <w:r>
        <w:rPr>
          <w:rFonts w:ascii="Times New Roman" w:cs="Times New Roman" w:eastAsia="Times New Roman" w:hAnsi="Times New Roman"/>
          <w:sz w:val="18"/>
          <w:szCs w:val="18"/>
          <w:color w:val="auto"/>
        </w:rPr>
        <w:t>In addition to reinsurance purchased from traditional reinsurers, the Company utilizes collateralized protection from the insurance-linked securities market through catastrophe bonds issued via Torrey Pines Re Ltd., a Bermuda-domiciled special purpose insurer. The Company closed a $525 million catastrophe bond in the second quarter of 2025, effective June 1, 2025 through June 1, 2028; a $420 million catastrophe bond in the second quarter of 2024, effective June 1, 2024 through June 1, 2027; a $200 million catastrophe bond in the second quarter of 2023, effective June 1, 2023 through June 1, 2026; and a $275 million 144A catastrophe bond in the second quarter of 2022, effective June 1, 2022 through June 1, 2025. These catastrophe bonds provide indemnity-based reinsurance coverage for earthquake events.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Credit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Bank Credit Agreement</w:t>
      </w:r>
    </w:p>
    <w:p>
      <w:pPr>
        <w:spacing w:after="0" w:line="18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7"/>
          <w:szCs w:val="17"/>
          <w:color w:val="auto"/>
        </w:rPr>
        <w:t>In December 2021, the Company entered into a credit agreement with U.S. Bank National Association (the “2021 Credit Agreement”), which provided a revolving credit facility of up to $100 million through December 8, 2026. In January 2026, the Company entered into a new credit agreement (the “2026 Credit Agreement”) that replaced the 2021 Credit Agreement. The 2026 Credit Agreement provides for unsecured credit facilities totaling $450 million, comprised of a $150 million revolving facility (the “Revolving Facility”) and a $300 million term loan (the “Term Loan”), each maturing on January 27, 2031. Borrowings under the 2026 Credit Agreement bear interest at variable rates based on Term Secured Overnight Financing Rate (“SOFR”) or an alternate base rate, plus an applicable margin determined by the Company’s debt-to-capital ratio (as defined in the 2026 Credit Agreement). In</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addition to interest on funds borrowed, the Company must pay an unused line fee of up to 0.25%, determined by the Company’s debt-to-capital ratio, on any amounts not borrowed. The Term Loan amortizes quarterly, and borrowings may be prepaid in full or in part with no penalty or premium. Obligations under the 2026 Credit Agreement are guaranteed by certain of the Company’s domestic subsidiaries and are unsecured, subject to a negative pledge. Proceeds from the 2026 Credit Agreement may be used for general corporate purposes, including permitted acquisitions and the refinancing of existing indebtedness.</w:t>
      </w:r>
    </w:p>
    <w:p>
      <w:pPr>
        <w:spacing w:after="0" w:line="154" w:lineRule="exact"/>
        <w:rPr>
          <w:sz w:val="20"/>
          <w:szCs w:val="20"/>
          <w:color w:val="auto"/>
        </w:rPr>
      </w:pPr>
    </w:p>
    <w:p>
      <w:pPr>
        <w:ind w:right="80" w:firstLine="749"/>
        <w:spacing w:after="0" w:line="244" w:lineRule="auto"/>
        <w:rPr>
          <w:sz w:val="20"/>
          <w:szCs w:val="20"/>
          <w:color w:val="auto"/>
        </w:rPr>
      </w:pPr>
      <w:r>
        <w:rPr>
          <w:rFonts w:ascii="Times New Roman" w:cs="Times New Roman" w:eastAsia="Times New Roman" w:hAnsi="Times New Roman"/>
          <w:sz w:val="18"/>
          <w:szCs w:val="18"/>
          <w:color w:val="auto"/>
        </w:rPr>
        <w:t>The 2026 Credit Agreement contains customary representations, warranties, and affirmative and negative covenants, including, among other things, financial covenants, restrictions on indebtedness, liens, investments, mergers, dispositions, prepayment of other indebtedness, dividends, and other distributions. The financial covenants include requirements to maintain a permissible debt to capital ratio, a minimum consolidated net worth, a minimum risk-based capital ratio and minimum A.M. Best financial strength rating. The 2026 Credit Agreement also contains customary events of default, such as non-compliance with financial covenants. If an event of default occurs, any debt may be declared immediately due and payable. As of March 31, 2026, the Company was in compliance with all debt covenants.</w:t>
      </w:r>
    </w:p>
    <w:p>
      <w:pPr>
        <w:spacing w:after="0" w:line="155"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$297.4 million outstanding on its Term Loan. Interest expense on the Term Loan was $2.9 million for the three months ended March 31, 2026.</w:t>
      </w:r>
    </w:p>
    <w:p>
      <w:pPr>
        <w:spacing w:after="0" w:line="135"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had no borrowings outstanding on the 2021 Credit Agreement. Interest expense on the 2021 Credit Agreement was insignificant and $0.1 million for the three months ended March 31, 2026 and 2025, respectively.</w:t>
      </w:r>
    </w:p>
    <w:p>
      <w:pPr>
        <w:spacing w:after="0" w:line="135"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no borrowings outstanding on the Revolving Facility. Interest expense on the Revolving Facility was $0.1 million for the three months ended March 31,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FHLB Line of Credit</w:t>
      </w:r>
    </w:p>
    <w:p>
      <w:pPr>
        <w:spacing w:after="0" w:line="187"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8"/>
          <w:szCs w:val="18"/>
          <w:color w:val="auto"/>
        </w:rPr>
        <w:t>The Company’s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10% of PSIC’s statutory admitted assets. All advances have a predetermined term and the interest rate varies based on the term of the advance.</w:t>
      </w:r>
    </w:p>
    <w:p>
      <w:pPr>
        <w:spacing w:after="0" w:line="137"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no borrowings outstanding through the FHLB. Interest expense on the FHLB line of credit was $0.1 million and insignificant for the three months ended March 31, 2026 and 2025,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Business Acquisitions</w:t>
      </w:r>
    </w:p>
    <w:p>
      <w:pPr>
        <w:spacing w:after="0" w:line="189"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8"/>
          <w:szCs w:val="18"/>
          <w:color w:val="auto"/>
        </w:rPr>
        <w:t>On January 31, 2026, the Company completed the acquisition of 100% of the issued and outstanding equity interests of Gray Surety for aggregate consideration of approximately $314.8 million. The acquisition was funded with proceeds from the Term Loan (as defined in Note 12) and cash on hand and was completed to expand the Company’s surety platform. The Company subsequently renamed Gray Surety to Palomar Casualty &amp; Surety Company (“PCSC”).</w:t>
      </w:r>
    </w:p>
    <w:p>
      <w:pPr>
        <w:spacing w:after="0" w:line="137"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in accordance with Accounting Standards Codification (“ASC”) 805, Business Combinations and ASC 944 Financial Services - Insurance. The allocation of the purchase price to the assets acquired and liabilities assumed is preliminary and subject to adjustment during the measurement period, which will not exceed one year from the acquisition date. The results of operations of Gray Surety have been included in the Company’s condensed consolidated financial statements since the acquisition date of January 31, 2026. For the three months ended March 31, 2026, Gray Surety contributed revenue of $12.0 million and net loss of $1.2 million.</w:t>
      </w:r>
    </w:p>
    <w:p>
      <w:pPr>
        <w:spacing w:after="0" w:line="164" w:lineRule="exact"/>
        <w:rPr>
          <w:sz w:val="20"/>
          <w:szCs w:val="20"/>
          <w:color w:val="auto"/>
        </w:rPr>
      </w:pPr>
    </w:p>
    <w:p>
      <w:pPr>
        <w:jc w:val="both"/>
        <w:ind w:right="240" w:firstLine="749"/>
        <w:spacing w:after="0" w:line="258" w:lineRule="auto"/>
        <w:rPr>
          <w:sz w:val="20"/>
          <w:szCs w:val="20"/>
          <w:color w:val="auto"/>
        </w:rPr>
      </w:pPr>
      <w:r>
        <w:rPr>
          <w:rFonts w:ascii="Times New Roman" w:cs="Times New Roman" w:eastAsia="Times New Roman" w:hAnsi="Times New Roman"/>
          <w:sz w:val="18"/>
          <w:szCs w:val="18"/>
          <w:color w:val="auto"/>
        </w:rPr>
        <w:t>The Company recognized $7.4 million of acquisition-related expenses for Gray Surety during the three months ended March 31, 2026, within Other underwriting expenses on the Consolidated Statement of Income and Comprehensive Income. These expenses include advisory, legal, accounting, valuation, and other due diligence costs.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allocation of the purchase price to the fair values of the assets acquired and liabilities assumed at the date of acquisition: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4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5"/>
        </w:trPr>
        <w:tc>
          <w:tcPr>
            <w:tcW w:w="8540" w:type="dxa"/>
            <w:vAlign w:val="bottom"/>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8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183"/>
        </w:trPr>
        <w:tc>
          <w:tcPr>
            <w:tcW w:w="85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shd w:val="clear" w:color="auto" w:fill="CFF0FC"/>
          </w:tcPr>
          <w:p>
            <w:pPr>
              <w:jc w:val="right"/>
              <w:ind w:right="6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67,683</w:t>
            </w:r>
          </w:p>
        </w:tc>
        <w:tc>
          <w:tcPr>
            <w:tcW w:w="0" w:type="dxa"/>
            <w:vAlign w:val="bottom"/>
          </w:tcPr>
          <w:p>
            <w:pPr>
              <w:spacing w:after="0"/>
              <w:rPr>
                <w:sz w:val="1"/>
                <w:szCs w:val="1"/>
                <w:color w:val="auto"/>
              </w:rPr>
            </w:pPr>
          </w:p>
        </w:tc>
      </w:tr>
      <w:tr>
        <w:trPr>
          <w:trHeight w:val="189"/>
        </w:trPr>
        <w:tc>
          <w:tcPr>
            <w:tcW w:w="8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Investments</w:t>
            </w:r>
          </w:p>
        </w:tc>
        <w:tc>
          <w:tcPr>
            <w:tcW w:w="840" w:type="dxa"/>
            <w:vAlign w:val="bottom"/>
          </w:tcPr>
          <w:p>
            <w:pPr>
              <w:spacing w:after="0"/>
              <w:rPr>
                <w:sz w:val="16"/>
                <w:szCs w:val="16"/>
                <w:color w:val="auto"/>
              </w:rPr>
            </w:pPr>
          </w:p>
        </w:tc>
        <w:tc>
          <w:tcPr>
            <w:tcW w:w="18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113,149</w:t>
            </w:r>
          </w:p>
        </w:tc>
        <w:tc>
          <w:tcPr>
            <w:tcW w:w="0" w:type="dxa"/>
            <w:vAlign w:val="bottom"/>
          </w:tcPr>
          <w:p>
            <w:pPr>
              <w:spacing w:after="0"/>
              <w:rPr>
                <w:sz w:val="1"/>
                <w:szCs w:val="1"/>
                <w:color w:val="auto"/>
              </w:rPr>
            </w:pPr>
          </w:p>
        </w:tc>
      </w:tr>
      <w:tr>
        <w:trPr>
          <w:trHeight w:val="189"/>
        </w:trPr>
        <w:tc>
          <w:tcPr>
            <w:tcW w:w="85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Receivables (premiums and investment income)</w:t>
            </w:r>
          </w:p>
        </w:tc>
        <w:tc>
          <w:tcPr>
            <w:tcW w:w="840" w:type="dxa"/>
            <w:vAlign w:val="bottom"/>
            <w:shd w:val="clear" w:color="auto" w:fill="CFF0FC"/>
          </w:tcPr>
          <w:p>
            <w:pPr>
              <w:spacing w:after="0"/>
              <w:rPr>
                <w:sz w:val="16"/>
                <w:szCs w:val="16"/>
                <w:color w:val="auto"/>
              </w:rPr>
            </w:pPr>
          </w:p>
        </w:tc>
        <w:tc>
          <w:tcPr>
            <w:tcW w:w="18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14,520</w:t>
            </w:r>
          </w:p>
        </w:tc>
        <w:tc>
          <w:tcPr>
            <w:tcW w:w="0" w:type="dxa"/>
            <w:vAlign w:val="bottom"/>
          </w:tcPr>
          <w:p>
            <w:pPr>
              <w:spacing w:after="0"/>
              <w:rPr>
                <w:sz w:val="1"/>
                <w:szCs w:val="1"/>
                <w:color w:val="auto"/>
              </w:rPr>
            </w:pPr>
          </w:p>
        </w:tc>
      </w:tr>
      <w:tr>
        <w:trPr>
          <w:trHeight w:val="189"/>
        </w:trPr>
        <w:tc>
          <w:tcPr>
            <w:tcW w:w="8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Reinsurance recoverable</w:t>
            </w:r>
          </w:p>
        </w:tc>
        <w:tc>
          <w:tcPr>
            <w:tcW w:w="840" w:type="dxa"/>
            <w:vAlign w:val="bottom"/>
          </w:tcPr>
          <w:p>
            <w:pPr>
              <w:spacing w:after="0"/>
              <w:rPr>
                <w:sz w:val="16"/>
                <w:szCs w:val="16"/>
                <w:color w:val="auto"/>
              </w:rPr>
            </w:pPr>
          </w:p>
        </w:tc>
        <w:tc>
          <w:tcPr>
            <w:tcW w:w="18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5,652</w:t>
            </w:r>
          </w:p>
        </w:tc>
        <w:tc>
          <w:tcPr>
            <w:tcW w:w="0" w:type="dxa"/>
            <w:vAlign w:val="bottom"/>
          </w:tcPr>
          <w:p>
            <w:pPr>
              <w:spacing w:after="0"/>
              <w:rPr>
                <w:sz w:val="1"/>
                <w:szCs w:val="1"/>
                <w:color w:val="auto"/>
              </w:rPr>
            </w:pPr>
          </w:p>
        </w:tc>
      </w:tr>
      <w:tr>
        <w:trPr>
          <w:trHeight w:val="189"/>
        </w:trPr>
        <w:tc>
          <w:tcPr>
            <w:tcW w:w="85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Intangible assets</w:t>
            </w:r>
          </w:p>
        </w:tc>
        <w:tc>
          <w:tcPr>
            <w:tcW w:w="840" w:type="dxa"/>
            <w:vAlign w:val="bottom"/>
            <w:shd w:val="clear" w:color="auto" w:fill="CFF0FC"/>
          </w:tcPr>
          <w:p>
            <w:pPr>
              <w:spacing w:after="0"/>
              <w:rPr>
                <w:sz w:val="16"/>
                <w:szCs w:val="16"/>
                <w:color w:val="auto"/>
              </w:rPr>
            </w:pPr>
          </w:p>
        </w:tc>
        <w:tc>
          <w:tcPr>
            <w:tcW w:w="18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50,200</w:t>
            </w:r>
          </w:p>
        </w:tc>
        <w:tc>
          <w:tcPr>
            <w:tcW w:w="0" w:type="dxa"/>
            <w:vAlign w:val="bottom"/>
          </w:tcPr>
          <w:p>
            <w:pPr>
              <w:spacing w:after="0"/>
              <w:rPr>
                <w:sz w:val="1"/>
                <w:szCs w:val="1"/>
                <w:color w:val="auto"/>
              </w:rPr>
            </w:pPr>
          </w:p>
        </w:tc>
      </w:tr>
      <w:tr>
        <w:trPr>
          <w:trHeight w:val="189"/>
        </w:trPr>
        <w:tc>
          <w:tcPr>
            <w:tcW w:w="8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Value of business acquired (VOBA)</w:t>
            </w:r>
          </w:p>
        </w:tc>
        <w:tc>
          <w:tcPr>
            <w:tcW w:w="840" w:type="dxa"/>
            <w:vAlign w:val="bottom"/>
          </w:tcPr>
          <w:p>
            <w:pPr>
              <w:spacing w:after="0"/>
              <w:rPr>
                <w:sz w:val="16"/>
                <w:szCs w:val="16"/>
                <w:color w:val="auto"/>
              </w:rPr>
            </w:pPr>
          </w:p>
        </w:tc>
        <w:tc>
          <w:tcPr>
            <w:tcW w:w="18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23,067</w:t>
            </w:r>
          </w:p>
        </w:tc>
        <w:tc>
          <w:tcPr>
            <w:tcW w:w="0" w:type="dxa"/>
            <w:vAlign w:val="bottom"/>
          </w:tcPr>
          <w:p>
            <w:pPr>
              <w:spacing w:after="0"/>
              <w:rPr>
                <w:sz w:val="1"/>
                <w:szCs w:val="1"/>
                <w:color w:val="auto"/>
              </w:rPr>
            </w:pPr>
          </w:p>
        </w:tc>
      </w:tr>
      <w:tr>
        <w:trPr>
          <w:trHeight w:val="189"/>
        </w:trPr>
        <w:tc>
          <w:tcPr>
            <w:tcW w:w="854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Other assets</w:t>
            </w:r>
          </w:p>
        </w:tc>
        <w:tc>
          <w:tcPr>
            <w:tcW w:w="840" w:type="dxa"/>
            <w:vAlign w:val="bottom"/>
            <w:tcBorders>
              <w:bottom w:val="single" w:sz="8" w:color="auto"/>
            </w:tcBorders>
            <w:shd w:val="clear" w:color="auto" w:fill="CFF0FC"/>
          </w:tcPr>
          <w:p>
            <w:pPr>
              <w:spacing w:after="0"/>
              <w:rPr>
                <w:sz w:val="16"/>
                <w:szCs w:val="16"/>
                <w:color w:val="auto"/>
              </w:rPr>
            </w:pPr>
          </w:p>
        </w:tc>
        <w:tc>
          <w:tcPr>
            <w:tcW w:w="18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183"/>
        </w:trPr>
        <w:tc>
          <w:tcPr>
            <w:tcW w:w="85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840" w:type="dxa"/>
            <w:vAlign w:val="bottom"/>
          </w:tcPr>
          <w:p>
            <w:pPr>
              <w:spacing w:after="0"/>
              <w:rPr>
                <w:sz w:val="15"/>
                <w:szCs w:val="15"/>
                <w:color w:val="auto"/>
              </w:rPr>
            </w:pPr>
          </w:p>
        </w:tc>
        <w:tc>
          <w:tcPr>
            <w:tcW w:w="18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275,621</w:t>
            </w:r>
          </w:p>
        </w:tc>
        <w:tc>
          <w:tcPr>
            <w:tcW w:w="0" w:type="dxa"/>
            <w:vAlign w:val="bottom"/>
          </w:tcPr>
          <w:p>
            <w:pPr>
              <w:spacing w:after="0"/>
              <w:rPr>
                <w:sz w:val="1"/>
                <w:szCs w:val="1"/>
                <w:color w:val="auto"/>
              </w:rPr>
            </w:pPr>
          </w:p>
        </w:tc>
      </w:tr>
      <w:tr>
        <w:trPr>
          <w:trHeight w:val="189"/>
        </w:trPr>
        <w:tc>
          <w:tcPr>
            <w:tcW w:w="85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840" w:type="dxa"/>
            <w:vAlign w:val="bottom"/>
          </w:tcPr>
          <w:p>
            <w:pPr>
              <w:spacing w:after="0"/>
              <w:rPr>
                <w:sz w:val="16"/>
                <w:szCs w:val="16"/>
                <w:color w:val="auto"/>
              </w:rPr>
            </w:pPr>
          </w:p>
        </w:tc>
        <w:tc>
          <w:tcPr>
            <w:tcW w:w="18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11,088</w:t>
            </w:r>
          </w:p>
        </w:tc>
        <w:tc>
          <w:tcPr>
            <w:tcW w:w="0" w:type="dxa"/>
            <w:vAlign w:val="bottom"/>
          </w:tcPr>
          <w:p>
            <w:pPr>
              <w:spacing w:after="0"/>
              <w:rPr>
                <w:sz w:val="1"/>
                <w:szCs w:val="1"/>
                <w:color w:val="auto"/>
              </w:rPr>
            </w:pPr>
          </w:p>
        </w:tc>
      </w:tr>
      <w:tr>
        <w:trPr>
          <w:trHeight w:val="189"/>
        </w:trPr>
        <w:tc>
          <w:tcPr>
            <w:tcW w:w="85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840" w:type="dxa"/>
            <w:vAlign w:val="bottom"/>
            <w:shd w:val="clear" w:color="auto" w:fill="CFF0FC"/>
          </w:tcPr>
          <w:p>
            <w:pPr>
              <w:spacing w:after="0"/>
              <w:rPr>
                <w:sz w:val="16"/>
                <w:szCs w:val="16"/>
                <w:color w:val="auto"/>
              </w:rPr>
            </w:pPr>
          </w:p>
        </w:tc>
        <w:tc>
          <w:tcPr>
            <w:tcW w:w="18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22,178</w:t>
            </w:r>
          </w:p>
        </w:tc>
        <w:tc>
          <w:tcPr>
            <w:tcW w:w="0" w:type="dxa"/>
            <w:vAlign w:val="bottom"/>
          </w:tcPr>
          <w:p>
            <w:pPr>
              <w:spacing w:after="0"/>
              <w:rPr>
                <w:sz w:val="1"/>
                <w:szCs w:val="1"/>
                <w:color w:val="auto"/>
              </w:rPr>
            </w:pPr>
          </w:p>
        </w:tc>
      </w:tr>
      <w:tr>
        <w:trPr>
          <w:trHeight w:val="189"/>
        </w:trPr>
        <w:tc>
          <w:tcPr>
            <w:tcW w:w="8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Unearned premiums</w:t>
            </w:r>
          </w:p>
        </w:tc>
        <w:tc>
          <w:tcPr>
            <w:tcW w:w="840" w:type="dxa"/>
            <w:vAlign w:val="bottom"/>
          </w:tcPr>
          <w:p>
            <w:pPr>
              <w:spacing w:after="0"/>
              <w:rPr>
                <w:sz w:val="16"/>
                <w:szCs w:val="16"/>
                <w:color w:val="auto"/>
              </w:rPr>
            </w:pPr>
          </w:p>
        </w:tc>
        <w:tc>
          <w:tcPr>
            <w:tcW w:w="18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33,730</w:t>
            </w:r>
          </w:p>
        </w:tc>
        <w:tc>
          <w:tcPr>
            <w:tcW w:w="0" w:type="dxa"/>
            <w:vAlign w:val="bottom"/>
          </w:tcPr>
          <w:p>
            <w:pPr>
              <w:spacing w:after="0"/>
              <w:rPr>
                <w:sz w:val="1"/>
                <w:szCs w:val="1"/>
                <w:color w:val="auto"/>
              </w:rPr>
            </w:pPr>
          </w:p>
        </w:tc>
      </w:tr>
      <w:tr>
        <w:trPr>
          <w:trHeight w:val="189"/>
        </w:trPr>
        <w:tc>
          <w:tcPr>
            <w:tcW w:w="85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Income taxes payable</w:t>
            </w:r>
          </w:p>
        </w:tc>
        <w:tc>
          <w:tcPr>
            <w:tcW w:w="840" w:type="dxa"/>
            <w:vAlign w:val="bottom"/>
            <w:shd w:val="clear" w:color="auto" w:fill="CFF0FC"/>
          </w:tcPr>
          <w:p>
            <w:pPr>
              <w:spacing w:after="0"/>
              <w:rPr>
                <w:sz w:val="16"/>
                <w:szCs w:val="16"/>
                <w:color w:val="auto"/>
              </w:rPr>
            </w:pPr>
          </w:p>
        </w:tc>
        <w:tc>
          <w:tcPr>
            <w:tcW w:w="18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189"/>
        </w:trPr>
        <w:tc>
          <w:tcPr>
            <w:tcW w:w="8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Deferred tax liability</w:t>
            </w:r>
          </w:p>
        </w:tc>
        <w:tc>
          <w:tcPr>
            <w:tcW w:w="8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15,029</w:t>
            </w:r>
          </w:p>
        </w:tc>
        <w:tc>
          <w:tcPr>
            <w:tcW w:w="0" w:type="dxa"/>
            <w:vAlign w:val="bottom"/>
          </w:tcPr>
          <w:p>
            <w:pPr>
              <w:spacing w:after="0"/>
              <w:rPr>
                <w:sz w:val="1"/>
                <w:szCs w:val="1"/>
                <w:color w:val="auto"/>
              </w:rPr>
            </w:pPr>
          </w:p>
        </w:tc>
      </w:tr>
      <w:tr>
        <w:trPr>
          <w:trHeight w:val="183"/>
        </w:trPr>
        <w:tc>
          <w:tcPr>
            <w:tcW w:w="854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Net assets acquired</w:t>
            </w:r>
          </w:p>
        </w:tc>
        <w:tc>
          <w:tcPr>
            <w:tcW w:w="840" w:type="dxa"/>
            <w:vAlign w:val="bottom"/>
            <w:tcBorders>
              <w:bottom w:val="single" w:sz="8" w:color="auto"/>
            </w:tcBorders>
            <w:shd w:val="clear" w:color="auto" w:fill="CFF0FC"/>
          </w:tcPr>
          <w:p>
            <w:pPr>
              <w:spacing w:after="0"/>
              <w:rPr>
                <w:sz w:val="15"/>
                <w:szCs w:val="15"/>
                <w:color w:val="auto"/>
              </w:rPr>
            </w:pPr>
          </w:p>
        </w:tc>
        <w:tc>
          <w:tcPr>
            <w:tcW w:w="186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192,767</w:t>
            </w:r>
          </w:p>
        </w:tc>
        <w:tc>
          <w:tcPr>
            <w:tcW w:w="0" w:type="dxa"/>
            <w:vAlign w:val="bottom"/>
          </w:tcPr>
          <w:p>
            <w:pPr>
              <w:spacing w:after="0"/>
              <w:rPr>
                <w:sz w:val="1"/>
                <w:szCs w:val="1"/>
                <w:color w:val="auto"/>
              </w:rPr>
            </w:pPr>
          </w:p>
        </w:tc>
      </w:tr>
      <w:tr>
        <w:trPr>
          <w:trHeight w:val="183"/>
        </w:trPr>
        <w:tc>
          <w:tcPr>
            <w:tcW w:w="85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Goodwill</w:t>
            </w:r>
          </w:p>
        </w:tc>
        <w:tc>
          <w:tcPr>
            <w:tcW w:w="840" w:type="dxa"/>
            <w:vAlign w:val="bottom"/>
            <w:tcBorders>
              <w:bottom w:val="single" w:sz="8" w:color="auto"/>
            </w:tcBorders>
          </w:tcPr>
          <w:p>
            <w:pPr>
              <w:jc w:val="right"/>
              <w:ind w:right="6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121,236</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Intangible assets were comprised of the following:</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180" w:type="dxa"/>
            <w:vAlign w:val="bottom"/>
          </w:tcPr>
          <w:p>
            <w:pPr>
              <w:spacing w:after="0"/>
              <w:rPr>
                <w:sz w:val="24"/>
                <w:szCs w:val="24"/>
                <w:color w:val="auto"/>
              </w:rPr>
            </w:pPr>
          </w:p>
        </w:tc>
        <w:tc>
          <w:tcPr>
            <w:tcW w:w="520" w:type="dxa"/>
            <w:vAlign w:val="bottom"/>
            <w:vMerge w:val="restart"/>
          </w:tcPr>
          <w:p>
            <w:pPr>
              <w:spacing w:after="0"/>
              <w:rPr>
                <w:sz w:val="24"/>
                <w:szCs w:val="2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00" w:type="dxa"/>
            <w:vAlign w:val="bottom"/>
          </w:tcPr>
          <w:p>
            <w:pPr>
              <w:spacing w:after="0"/>
              <w:rPr>
                <w:sz w:val="24"/>
                <w:szCs w:val="24"/>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4"/>
                <w:szCs w:val="24"/>
                <w:color w:val="auto"/>
              </w:rPr>
            </w:pPr>
          </w:p>
        </w:tc>
        <w:tc>
          <w:tcPr>
            <w:tcW w:w="3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Valuation Approach</w:t>
            </w:r>
          </w:p>
        </w:tc>
        <w:tc>
          <w:tcPr>
            <w:tcW w:w="0" w:type="dxa"/>
            <w:vAlign w:val="bottom"/>
          </w:tcPr>
          <w:p>
            <w:pPr>
              <w:spacing w:after="0"/>
              <w:rPr>
                <w:sz w:val="1"/>
                <w:szCs w:val="1"/>
                <w:color w:val="auto"/>
              </w:rPr>
            </w:pPr>
          </w:p>
        </w:tc>
      </w:tr>
      <w:tr>
        <w:trPr>
          <w:trHeight w:val="225"/>
        </w:trPr>
        <w:tc>
          <w:tcPr>
            <w:tcW w:w="218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1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Customer relationships</w:t>
            </w:r>
          </w:p>
        </w:tc>
        <w:tc>
          <w:tcPr>
            <w:tcW w:w="860" w:type="dxa"/>
            <w:vAlign w:val="bottom"/>
            <w:gridSpan w:val="2"/>
            <w:shd w:val="clear" w:color="auto" w:fill="CFF0FC"/>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45,200</w:t>
            </w:r>
          </w:p>
        </w:tc>
        <w:tc>
          <w:tcPr>
            <w:tcW w:w="100" w:type="dxa"/>
            <w:vAlign w:val="bottom"/>
            <w:shd w:val="clear" w:color="auto" w:fill="CFF0FC"/>
          </w:tcPr>
          <w:p>
            <w:pPr>
              <w:spacing w:after="0"/>
              <w:rPr>
                <w:sz w:val="15"/>
                <w:szCs w:val="15"/>
                <w:color w:val="auto"/>
              </w:rPr>
            </w:pPr>
          </w:p>
        </w:tc>
        <w:tc>
          <w:tcPr>
            <w:tcW w:w="1700" w:type="dxa"/>
            <w:vAlign w:val="bottom"/>
            <w:shd w:val="clear" w:color="auto" w:fill="CFF0FC"/>
          </w:tcPr>
          <w:p>
            <w:pPr>
              <w:jc w:val="center"/>
              <w:spacing w:after="0" w:line="182" w:lineRule="exact"/>
              <w:rPr>
                <w:sz w:val="20"/>
                <w:szCs w:val="20"/>
                <w:color w:val="auto"/>
              </w:rPr>
            </w:pPr>
            <w:r>
              <w:rPr>
                <w:rFonts w:ascii="Times New Roman" w:cs="Times New Roman" w:eastAsia="Times New Roman" w:hAnsi="Times New Roman"/>
                <w:sz w:val="18"/>
                <w:szCs w:val="18"/>
                <w:color w:val="auto"/>
              </w:rPr>
              <w:t>8 years</w:t>
            </w:r>
          </w:p>
        </w:tc>
        <w:tc>
          <w:tcPr>
            <w:tcW w:w="100" w:type="dxa"/>
            <w:vAlign w:val="bottom"/>
            <w:shd w:val="clear" w:color="auto" w:fill="CFF0FC"/>
          </w:tcPr>
          <w:p>
            <w:pPr>
              <w:spacing w:after="0"/>
              <w:rPr>
                <w:sz w:val="15"/>
                <w:szCs w:val="15"/>
                <w:color w:val="auto"/>
              </w:rPr>
            </w:pPr>
          </w:p>
        </w:tc>
        <w:tc>
          <w:tcPr>
            <w:tcW w:w="1680" w:type="dxa"/>
            <w:vAlign w:val="bottom"/>
            <w:shd w:val="clear" w:color="auto" w:fill="CFF0FC"/>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Straight-line</w:t>
            </w:r>
          </w:p>
        </w:tc>
        <w:tc>
          <w:tcPr>
            <w:tcW w:w="120" w:type="dxa"/>
            <w:vAlign w:val="bottom"/>
            <w:shd w:val="clear" w:color="auto" w:fill="CFF0FC"/>
          </w:tcPr>
          <w:p>
            <w:pPr>
              <w:spacing w:after="0"/>
              <w:rPr>
                <w:sz w:val="15"/>
                <w:szCs w:val="15"/>
                <w:color w:val="auto"/>
              </w:rPr>
            </w:pPr>
          </w:p>
        </w:tc>
        <w:tc>
          <w:tcPr>
            <w:tcW w:w="3140" w:type="dxa"/>
            <w:vAlign w:val="bottom"/>
            <w:shd w:val="clear" w:color="auto" w:fill="CFF0FC"/>
          </w:tcPr>
          <w:p>
            <w:pPr>
              <w:jc w:val="center"/>
              <w:spacing w:after="0" w:line="182" w:lineRule="exact"/>
              <w:rPr>
                <w:sz w:val="20"/>
                <w:szCs w:val="20"/>
                <w:color w:val="auto"/>
              </w:rPr>
            </w:pPr>
            <w:r>
              <w:rPr>
                <w:rFonts w:ascii="Times New Roman" w:cs="Times New Roman" w:eastAsia="Times New Roman" w:hAnsi="Times New Roman"/>
                <w:sz w:val="18"/>
                <w:szCs w:val="18"/>
                <w:color w:val="auto"/>
              </w:rPr>
              <w:t>Multi-period excess earnings method</w:t>
            </w:r>
          </w:p>
        </w:tc>
        <w:tc>
          <w:tcPr>
            <w:tcW w:w="0" w:type="dxa"/>
            <w:vAlign w:val="bottom"/>
          </w:tcPr>
          <w:p>
            <w:pPr>
              <w:spacing w:after="0"/>
              <w:rPr>
                <w:sz w:val="1"/>
                <w:szCs w:val="1"/>
                <w:color w:val="auto"/>
              </w:rPr>
            </w:pPr>
          </w:p>
        </w:tc>
      </w:tr>
      <w:tr>
        <w:trPr>
          <w:trHeight w:val="189"/>
        </w:trPr>
        <w:tc>
          <w:tcPr>
            <w:tcW w:w="2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State licenses</w:t>
            </w:r>
          </w:p>
        </w:tc>
        <w:tc>
          <w:tcPr>
            <w:tcW w:w="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6"/>
                <w:szCs w:val="16"/>
                <w:color w:val="auto"/>
              </w:rPr>
            </w:pPr>
          </w:p>
        </w:tc>
        <w:tc>
          <w:tcPr>
            <w:tcW w:w="17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Indefinite</w:t>
            </w:r>
          </w:p>
        </w:tc>
        <w:tc>
          <w:tcPr>
            <w:tcW w:w="100" w:type="dxa"/>
            <w:vAlign w:val="bottom"/>
          </w:tcPr>
          <w:p>
            <w:pPr>
              <w:spacing w:after="0"/>
              <w:rPr>
                <w:sz w:val="16"/>
                <w:szCs w:val="16"/>
                <w:color w:val="auto"/>
              </w:rPr>
            </w:pPr>
          </w:p>
        </w:tc>
        <w:tc>
          <w:tcPr>
            <w:tcW w:w="16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Not amortized</w:t>
            </w:r>
          </w:p>
        </w:tc>
        <w:tc>
          <w:tcPr>
            <w:tcW w:w="120" w:type="dxa"/>
            <w:vAlign w:val="bottom"/>
          </w:tcPr>
          <w:p>
            <w:pPr>
              <w:spacing w:after="0"/>
              <w:rPr>
                <w:sz w:val="16"/>
                <w:szCs w:val="16"/>
                <w:color w:val="auto"/>
              </w:rPr>
            </w:pPr>
          </w:p>
        </w:tc>
        <w:tc>
          <w:tcPr>
            <w:tcW w:w="31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Multi-period excess earnings method</w:t>
            </w:r>
          </w:p>
        </w:tc>
        <w:tc>
          <w:tcPr>
            <w:tcW w:w="0" w:type="dxa"/>
            <w:vAlign w:val="bottom"/>
          </w:tcPr>
          <w:p>
            <w:pPr>
              <w:spacing w:after="0"/>
              <w:rPr>
                <w:sz w:val="1"/>
                <w:szCs w:val="1"/>
                <w:color w:val="auto"/>
              </w:rPr>
            </w:pPr>
          </w:p>
        </w:tc>
      </w:tr>
      <w:tr>
        <w:trPr>
          <w:trHeight w:val="203"/>
        </w:trPr>
        <w:tc>
          <w:tcPr>
            <w:tcW w:w="218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Total intangible assets</w:t>
            </w:r>
          </w:p>
        </w:tc>
        <w:tc>
          <w:tcPr>
            <w:tcW w:w="860" w:type="dxa"/>
            <w:vAlign w:val="bottom"/>
            <w:gridSpan w:val="2"/>
            <w:shd w:val="clear" w:color="auto" w:fill="CFF0FC"/>
          </w:tcPr>
          <w:p>
            <w:pPr>
              <w:jc w:val="right"/>
              <w:ind w:right="17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50,200</w:t>
            </w:r>
          </w:p>
        </w:tc>
        <w:tc>
          <w:tcPr>
            <w:tcW w:w="10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140" w:firstLine="749"/>
        <w:spacing w:after="0" w:line="244" w:lineRule="auto"/>
        <w:rPr>
          <w:sz w:val="20"/>
          <w:szCs w:val="20"/>
          <w:color w:val="auto"/>
        </w:rPr>
      </w:pPr>
      <w:r>
        <w:rPr>
          <w:rFonts w:ascii="Times New Roman" w:cs="Times New Roman" w:eastAsia="Times New Roman" w:hAnsi="Times New Roman"/>
          <w:sz w:val="18"/>
          <w:szCs w:val="18"/>
          <w:color w:val="auto"/>
        </w:rPr>
        <w:t>The table above excludes value of business acquired (“VOBA”), which is presented separately in the purchase price allocation due to its insurance-specific nature and amortization pattern. In connection with the acquisition, the Company recognized VOBA in accordance with ASC 944-805-30-1. Upon acquisition, the Company acquired the contractual insurance and reinsurance assets of Gray Surety, including existing deferred acquisition costs. These deferred acquisition costs were derecognized, as they represent historical costs of the acquiree, and the Company recognized the fair value of the in-force insurance contracts, including a VOBA component representing the present value of future underwriting profits. This component was determined using an income approach based on expected future cash flows discounted at a weighted-average cost of capital.</w:t>
      </w:r>
    </w:p>
    <w:p>
      <w:pPr>
        <w:spacing w:after="0" w:line="182"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Company recognized total VOBA of approximately $23.1 million recorded within intangible assets, representing the present value of future underwriting profits associated with the acquired in-force policies.</w:t>
      </w:r>
    </w:p>
    <w:p>
      <w:pPr>
        <w:spacing w:after="0" w:line="162" w:lineRule="exact"/>
        <w:rPr>
          <w:sz w:val="20"/>
          <w:szCs w:val="20"/>
          <w:color w:val="auto"/>
        </w:rPr>
      </w:pPr>
    </w:p>
    <w:p>
      <w:pPr>
        <w:ind w:right="520" w:firstLine="749"/>
        <w:spacing w:after="0" w:line="296" w:lineRule="auto"/>
        <w:rPr>
          <w:sz w:val="20"/>
          <w:szCs w:val="20"/>
          <w:color w:val="auto"/>
        </w:rPr>
      </w:pPr>
      <w:r>
        <w:rPr>
          <w:rFonts w:ascii="Times New Roman" w:cs="Times New Roman" w:eastAsia="Times New Roman" w:hAnsi="Times New Roman"/>
          <w:sz w:val="17"/>
          <w:szCs w:val="17"/>
          <w:color w:val="auto"/>
        </w:rPr>
        <w:t>VOBA is amortized over the expected remaining life of the underlying policies in proportion to the earning pattern of the related unearned premium as of the acquisition date. VOBA balances are subject to recoverability testing. No impairment was identified as of March 31, 2026.</w:t>
      </w:r>
    </w:p>
    <w:p>
      <w:pPr>
        <w:spacing w:after="0" w:line="13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Goodwill of $121.2 million represents the excess of consideration transferred over the fair value of the net identifiable assets acquired. Goodwill reflects the expected synergies from combining Gray Surety’s surety and bond platform with the Company’s specialty insurance operations, including expanded distribution relationships, cross-selling opportunities, and operational efficiencies. Goodwill is not deductible for income tax purposes.</w:t>
      </w:r>
    </w:p>
    <w:p>
      <w:pPr>
        <w:spacing w:after="0" w:line="129" w:lineRule="exact"/>
        <w:rPr>
          <w:sz w:val="20"/>
          <w:szCs w:val="20"/>
          <w:color w:val="auto"/>
        </w:rPr>
      </w:pPr>
    </w:p>
    <w:p>
      <w:pPr>
        <w:ind w:right="180" w:firstLine="749"/>
        <w:spacing w:after="0" w:line="246" w:lineRule="auto"/>
        <w:rPr>
          <w:sz w:val="20"/>
          <w:szCs w:val="20"/>
          <w:color w:val="auto"/>
        </w:rPr>
      </w:pPr>
      <w:r>
        <w:rPr>
          <w:rFonts w:ascii="Times New Roman" w:cs="Times New Roman" w:eastAsia="Times New Roman" w:hAnsi="Times New Roman"/>
          <w:sz w:val="18"/>
          <w:szCs w:val="18"/>
          <w:color w:val="auto"/>
        </w:rPr>
        <w:t>The following unaudited pro forma financial information presents the combined results of operations of the Company and Gray Surety as if the acquisition had occurred on January 1, 2025. The unaudited pro forma financial information is presented for informational purposes only and is not necessarily indicative of the results that would have occurred had the acquisition been completed on January 1, 2025, nor does it purport to project the future results of operations of the combined company. Significant pro forma adjustments include amortization of VOBA, financing costs, transactions costs, and related tax effects.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700"/>
        </w:trPr>
        <w:tc>
          <w:tcPr>
            <w:tcW w:w="1380" w:type="dxa"/>
            <w:vAlign w:val="bottom"/>
            <w:tcBorders>
              <w:top w:val="single" w:sz="8" w:color="0000FF"/>
            </w:tcBorders>
          </w:tcPr>
          <w:p>
            <w:pPr>
              <w:spacing w:after="0"/>
              <w:rPr>
                <w:sz w:val="24"/>
                <w:szCs w:val="24"/>
                <w:color w:val="auto"/>
              </w:rPr>
            </w:pPr>
          </w:p>
        </w:tc>
        <w:tc>
          <w:tcPr>
            <w:tcW w:w="5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4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20" w:type="dxa"/>
            <w:vAlign w:val="bottom"/>
          </w:tcPr>
          <w:p>
            <w:pPr>
              <w:spacing w:after="0"/>
              <w:rPr>
                <w:sz w:val="24"/>
                <w:szCs w:val="24"/>
                <w:color w:val="auto"/>
              </w:rPr>
            </w:pPr>
          </w:p>
        </w:tc>
      </w:tr>
      <w:tr>
        <w:trPr>
          <w:trHeight w:val="225"/>
        </w:trPr>
        <w:tc>
          <w:tcPr>
            <w:tcW w:w="138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Borders>
              <w:bottom w:val="single" w:sz="8" w:color="auto"/>
            </w:tcBorders>
          </w:tcPr>
          <w:p>
            <w:pPr>
              <w:spacing w:after="0"/>
              <w:rPr>
                <w:sz w:val="19"/>
                <w:szCs w:val="19"/>
                <w:color w:val="auto"/>
              </w:rPr>
            </w:pPr>
          </w:p>
        </w:tc>
      </w:tr>
      <w:tr>
        <w:trPr>
          <w:trHeight w:val="183"/>
        </w:trPr>
        <w:tc>
          <w:tcPr>
            <w:tcW w:w="13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2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bottom w:val="single" w:sz="8" w:color="auto"/>
            </w:tcBorders>
          </w:tcPr>
          <w:p>
            <w:pPr>
              <w:spacing w:after="0"/>
              <w:rPr>
                <w:sz w:val="15"/>
                <w:szCs w:val="15"/>
                <w:color w:val="auto"/>
              </w:rPr>
            </w:pPr>
          </w:p>
        </w:tc>
      </w:tr>
      <w:tr>
        <w:trPr>
          <w:trHeight w:val="183"/>
        </w:trPr>
        <w:tc>
          <w:tcPr>
            <w:tcW w:w="13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16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(Unaudited, $</w:t>
            </w:r>
          </w:p>
        </w:tc>
        <w:tc>
          <w:tcPr>
            <w:tcW w:w="1440" w:type="dxa"/>
            <w:vAlign w:val="bottom"/>
            <w:gridSpan w:val="2"/>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820" w:type="dxa"/>
            <w:vAlign w:val="bottom"/>
          </w:tcPr>
          <w:p>
            <w:pPr>
              <w:spacing w:after="0"/>
              <w:rPr>
                <w:sz w:val="15"/>
                <w:szCs w:val="15"/>
                <w:color w:val="auto"/>
              </w:rPr>
            </w:pPr>
          </w:p>
        </w:tc>
      </w:tr>
      <w:tr>
        <w:trPr>
          <w:trHeight w:val="189"/>
        </w:trPr>
        <w:tc>
          <w:tcPr>
            <w:tcW w:w="682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Pro forma revenue</w:t>
            </w:r>
          </w:p>
        </w:tc>
        <w:tc>
          <w:tcPr>
            <w:tcW w:w="1260" w:type="dxa"/>
            <w:vAlign w:val="bottom"/>
            <w:shd w:val="clear" w:color="auto" w:fill="CFF0FC"/>
          </w:tcPr>
          <w:p>
            <w:pPr>
              <w:jc w:val="right"/>
              <w:ind w:right="1092"/>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269,730</w:t>
            </w:r>
          </w:p>
        </w:tc>
        <w:tc>
          <w:tcPr>
            <w:tcW w:w="1440" w:type="dxa"/>
            <w:vAlign w:val="bottom"/>
            <w:gridSpan w:val="2"/>
            <w:shd w:val="clear" w:color="auto" w:fill="CFF0FC"/>
          </w:tcPr>
          <w:p>
            <w:pPr>
              <w:jc w:val="right"/>
              <w:ind w:right="11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182,084</w:t>
            </w:r>
          </w:p>
        </w:tc>
      </w:tr>
      <w:tr>
        <w:trPr>
          <w:trHeight w:val="234"/>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net income</w:t>
            </w:r>
          </w:p>
        </w:tc>
        <w:tc>
          <w:tcPr>
            <w:tcW w:w="12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48,329</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37,432</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187" w:lineRule="exact"/>
        <w:rPr>
          <w:sz w:val="20"/>
          <w:szCs w:val="20"/>
          <w:color w:val="auto"/>
        </w:rPr>
      </w:pPr>
    </w:p>
    <w:p>
      <w:pPr>
        <w:ind w:right="20" w:firstLine="749"/>
        <w:spacing w:after="0" w:line="242" w:lineRule="auto"/>
        <w:rPr>
          <w:sz w:val="20"/>
          <w:szCs w:val="20"/>
          <w:color w:val="auto"/>
        </w:rPr>
      </w:pPr>
      <w:r>
        <w:rPr>
          <w:rFonts w:ascii="Times New Roman" w:cs="Times New Roman" w:eastAsia="Times New Roman" w:hAnsi="Times New Roman"/>
          <w:sz w:val="18"/>
          <w:szCs w:val="18"/>
          <w:i w:val="1"/>
          <w:iCs w:val="1"/>
          <w:color w:val="auto"/>
        </w:rPr>
        <w:t>Forward looking statements within the meaning of Section 27A of the Securities Act of 1933 and Section 21E of the Securities Exchange Act of 1934 appear throughout this report. These forward looking statements generally include words such as “expect,” “predict,” “estimate,” “will,” “should,” “anticipate,” “believe” and similar expressions. Such assumptions are, in turn, based on information available and internal estimates and analyses of general economic conditions, competitive factors, conditions specific to the property and casualty insurance and reinsurance industries, claims development and the impact thereof on our loss reserves, the adequacy and financial security of our reinsurance programs, developments in the securities market and the impact on our investment portfolio, regulatory changes and conditions and other factors. These assumptions are subject to various risks, uncertainties and other factors, including, without limitation those set forth in “Item 1A. Risk Factors” within the Annual Report on Form 10-K for the year ended December 31, 2025 and Part II within this report. Actual results could differ materially from those expressed in, or implied by, these forward looking statements. Forward looking statements reflect the Company’s expectations, plans or forecasts of future events and views as of the date of this report. While the Company may elect to update these forward looking statements at some point in the future, the Company specifically disclaims any obligation to do so. You should review the various risks, uncertainties and other factors listed from time to time in our Securities and Exchange Commission filings.</w:t>
      </w:r>
    </w:p>
    <w:p>
      <w:pPr>
        <w:spacing w:after="0" w:line="155"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i w:val="1"/>
          <w:iCs w:val="1"/>
          <w:color w:val="auto"/>
        </w:rPr>
        <w:t>The results of operations for the three months ended March 31, 2026 are not necessarily indicative of the results that may be expected for the full year ended December 31, 2026, or for any other future period. The following discussion should be read in conjunction with the unaudited condensed consolidated financial statements and the notes thereto included in Part I, Item 1 of this Quarterly Report, and in conjunction with our audited consolidated financial statements and the notes thereto included in our Annual Report on Form 10-K as filed with the SEC on February 24, 2026.</w:t>
      </w:r>
    </w:p>
    <w:p>
      <w:pPr>
        <w:spacing w:after="0" w:line="133" w:lineRule="exact"/>
        <w:rPr>
          <w:sz w:val="20"/>
          <w:szCs w:val="20"/>
          <w:color w:val="auto"/>
        </w:rPr>
      </w:pPr>
    </w:p>
    <w:p>
      <w:pPr>
        <w:ind w:right="56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References to the “Company,” “Palomar,” “we,” “us,” and “our” are to Palomar Holdings, Inc. and its subsidiaries, unless the context otherwise requires.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80" w:firstLine="749"/>
        <w:spacing w:after="0" w:line="245" w:lineRule="auto"/>
        <w:rPr>
          <w:sz w:val="20"/>
          <w:szCs w:val="20"/>
          <w:color w:val="auto"/>
        </w:rPr>
      </w:pPr>
      <w:r>
        <w:rPr>
          <w:rFonts w:ascii="Times New Roman" w:cs="Times New Roman" w:eastAsia="Times New Roman" w:hAnsi="Times New Roman"/>
          <w:sz w:val="18"/>
          <w:szCs w:val="18"/>
          <w:color w:val="auto"/>
        </w:rPr>
        <w:t>We are a specialty insurance company that provides property and casualty insurance products to individuals and businesses. We use our underwriting and analytical expertise to provide innovative solutions in five product categories: Earthquake, Inland Marine and Property, Casualty, Crop, and Surety &amp; Credit. We use proprietary data analytics and a modern technology platform to offer our customers flexible products with customized and granular pricing for both the admitted and excess and surplus lines (“E&amp;S”) markets. Our insurance company subsidiaries, Palomar Specialty Insurance Company (“PSIC”), Palomar Excess and Surplus Insurance Company (“PESIC”), and First Indemnity of America Insurance Co. (“FIA”) carry an “A” (Excellent) rating from A.M. Best Company (“A.M. Best”), a leading rating agency for the insurance industry. Palomar Casualty and Surety Company (“PCSC”) carries an “A-” (Excellent) rating from A.M. Best.</w:t>
      </w:r>
    </w:p>
    <w:p>
      <w:pPr>
        <w:spacing w:after="0" w:line="141"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We distribute our products through multiple channels, including retail agents, program administrators, wholesale brokers, and partnerships with other insurance companies. Our business strategy is supported by a comprehensive risk transfer program with reinsurance coverage that we believe reduces earnings volatility and provides appropriate levels of protection from catastrophic events. Our management team combines decades of insurance industry experience across specialty underwriting, reinsurance, program administration, distribution, and analytics.</w:t>
      </w:r>
    </w:p>
    <w:p>
      <w:pPr>
        <w:spacing w:after="0" w:line="150"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Founded in 2014, we have significantly grown our business and have generated attractive returns. We have organically increased gross written premiums from $16.6 million in our first year of operations to $2.0 billion for the year ended December 31, 2025, which reflects a compound annual growth rate of approximately 55%. We have also been profitable since 2016 and our net income growth since 2016 reflects a compound annual growth rate of 46%.</w:t>
      </w:r>
    </w:p>
    <w:p>
      <w:pPr>
        <w:spacing w:after="0" w:line="150"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We seek to continuously grow our income by developing product offerings for lines of business that harness our core competencies and where we believe we can generate attractive risk adjusted returns. In recent years, we have introduced several new products including Crop, E&amp;S Casualty, Surety and Environmental Liability. These new products diversify our book of business and broaden our product portfolio. We believe that our market opportunity, distinctive products, and differentiated business model position us to grow our business profitably.</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successfully closed a 144A catastrophe bond transaction during the second quarter of 2026.</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Written Premiums</w:t>
      </w:r>
    </w:p>
    <w:p>
      <w:pPr>
        <w:spacing w:after="0" w:line="175"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Gross written premiums are the amounts received or to be received for insurance policies written or assumed by us during a specific period of time without reduction for policy acquisition costs, reinsurance costs or other deductions. The volume of our gross written premiums in any given period is generally influenced by:</w:t>
      </w:r>
    </w:p>
    <w:p>
      <w:pPr>
        <w:spacing w:after="0" w:line="142" w:lineRule="exact"/>
        <w:rPr>
          <w:sz w:val="20"/>
          <w:szCs w:val="20"/>
          <w:color w:val="auto"/>
        </w:rPr>
      </w:pPr>
    </w:p>
    <w:p>
      <w:pPr>
        <w:ind w:left="1500" w:hanging="743"/>
        <w:spacing w:after="0"/>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of new business submissions in existing products or partnerships;</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of new business submissions in existing products or partnerships into policies;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into new partnerships or the offering of new types of insurance products;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Exits from existing partnerships or reducing or ceasing to offer existing insurance products;</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 rates of existing policies; and</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size and premium rate of bound policies.</w:t>
      </w:r>
    </w:p>
    <w:p>
      <w:pPr>
        <w:spacing w:after="0" w:line="171" w:lineRule="exact"/>
        <w:rPr>
          <w:sz w:val="20"/>
          <w:szCs w:val="20"/>
          <w:color w:val="auto"/>
        </w:rPr>
      </w:pPr>
    </w:p>
    <w:p>
      <w:pPr>
        <w:ind w:right="140" w:firstLine="749"/>
        <w:spacing w:after="0" w:line="268" w:lineRule="auto"/>
        <w:rPr>
          <w:sz w:val="20"/>
          <w:szCs w:val="20"/>
          <w:color w:val="auto"/>
        </w:rPr>
      </w:pPr>
      <w:r>
        <w:rPr>
          <w:rFonts w:ascii="Times New Roman" w:cs="Times New Roman" w:eastAsia="Times New Roman" w:hAnsi="Times New Roman"/>
          <w:sz w:val="17"/>
          <w:szCs w:val="17"/>
          <w:color w:val="auto"/>
        </w:rPr>
        <w:t>Our gross written premiums are also impacted when we assume unearned in-force premiums due to new partnerships or other business reasons. In periods where we assume a large volume of unearned premiums, our gross written premiums may increase significantly compared to prior periods and the increase may not be indicative of future trends. The majority of our Crop written premiums are recognized in the third quarter, as we receive the requisite reporting from insureds at that time. This pattern reflects the seasonal nature of the Crop business, which typically results in a disproportionate amount of Crop premiums being recognized in the third quarter. As such, our interim results may not be indicative of full-year performance.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Written Premiums</w:t>
      </w:r>
    </w:p>
    <w:p>
      <w:pPr>
        <w:spacing w:after="0" w:line="189" w:lineRule="exact"/>
        <w:rPr>
          <w:sz w:val="20"/>
          <w:szCs w:val="20"/>
          <w:color w:val="auto"/>
        </w:rPr>
      </w:pPr>
    </w:p>
    <w:p>
      <w:pPr>
        <w:ind w:right="40" w:firstLine="749"/>
        <w:spacing w:after="0" w:line="247" w:lineRule="auto"/>
        <w:rPr>
          <w:sz w:val="20"/>
          <w:szCs w:val="20"/>
          <w:color w:val="auto"/>
        </w:rPr>
      </w:pPr>
      <w:r>
        <w:rPr>
          <w:rFonts w:ascii="Times New Roman" w:cs="Times New Roman" w:eastAsia="Times New Roman" w:hAnsi="Times New Roman"/>
          <w:sz w:val="18"/>
          <w:szCs w:val="18"/>
          <w:color w:val="auto"/>
        </w:rPr>
        <w:t>Ceded written premiums are the amount of gross written premiums ceded to reinsurers. We enter into reinsurance contracts to limit our exposure to potential losses and to provide additional capacity for growth. We cede premiums through excess of loss (“XOL”) agreements, quota share agreements, and fronting agreements. Ceded written premiums are earned pro-rata over the period of risk covered. The volume of our ceded written premiums is impacted by the amount of our gross written premiums and our decisions to increase or decrease limits or retention levels in our XOL agreements and co-participation levels in our quota share agreements. The volume of ceded written premiums is also impacted by the amount of premium we write under fronting agreements.</w:t>
      </w:r>
    </w:p>
    <w:p>
      <w:pPr>
        <w:spacing w:after="0" w:line="139"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18"/>
          <w:szCs w:val="18"/>
          <w:color w:val="auto"/>
        </w:rPr>
        <w:t>Our ceded written premiums can be impacted significantly in certain periods due to changes in quota share agreements. In periods where we modify a quota share agreement, ceded written premiums may increase or decrease significantly compared to prior periods and these fluctuations may not be indicative of future trends. Our XOL costs as a percentage of gross earned premiums also may vary each period due to changes in cost of XOL between contract periods, changes of premium in-force during the XOL contract period, or due to acceleration of XOL charges or the need to purchase additional XOL reinsurance due to losses.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Earned Premiums</w:t>
      </w:r>
    </w:p>
    <w:p>
      <w:pPr>
        <w:spacing w:after="0" w:line="189"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18"/>
          <w:szCs w:val="18"/>
          <w:color w:val="auto"/>
        </w:rPr>
        <w:t>Net earned premiums represent the earned portion of our gross written premiums, less the earned portion that is ceded to third-party reinsurers under our reinsurance agreements. The majority of our insurance policies have a term of one year and premiums are earned pro rata over the terms of the policies. Crop premiums are earned ratably over the risk period. The requisite reporting of Crop premiums is primarily received in the third quarter, after the start of the risk period, and earned premium is caught up to cover the period between the start of the risk period and receipt of reporting. Generally, this process results in a significant amount of the Crop earned premiums being recognized in the third quarter of each year.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Other Income</w:t>
      </w:r>
    </w:p>
    <w:p>
      <w:pPr>
        <w:spacing w:after="0" w:line="17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Commission and other income consist of commissions earned on policies written on behalf of third-party insurance companies where we have no exposure to the insured risk and certain fees earned in conjunction with underwriting policies. Commission and other income are earned on the effective date of the underlying policy.</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189"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18"/>
          <w:szCs w:val="18"/>
          <w:color w:val="auto"/>
        </w:rPr>
        <w:t>Losses and loss adjustment expenses represent the costs incurred for losses, net of any losses ceded to reinsurers. These expenses are a function of the size and term of the insurance policies we write and the loss experience associated with the underlying coverage. Certain policies we write subject us to attritional losses such as building fires or casualty claims. In addition, many of the policies we write subject us to catastrophe losses. Catastrophe losses are certain losses resulting from events involving multiple claims and policyholders, including earthquakes, hurricanes, floods, droughts, convective storms, terrorist acts or other aggregating events. Our losses and loss adjustment expenses are generally affected by:</w:t>
      </w:r>
    </w:p>
    <w:p>
      <w:pPr>
        <w:spacing w:after="0" w:line="154" w:lineRule="exact"/>
        <w:rPr>
          <w:sz w:val="20"/>
          <w:szCs w:val="20"/>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frequency, and severity of catastrophe events in the areas where we underwrite policies relating to these perils;</w:t>
      </w:r>
    </w:p>
    <w:p>
      <w:pPr>
        <w:spacing w:after="0" w:line="130" w:lineRule="exact"/>
        <w:rPr>
          <w:rFonts w:ascii="Times New Roman" w:cs="Times New Roman" w:eastAsia="Times New Roman" w:hAnsi="Times New Roman"/>
          <w:sz w:val="18"/>
          <w:szCs w:val="18"/>
          <w:color w:val="auto"/>
        </w:rPr>
      </w:pPr>
    </w:p>
    <w:p>
      <w:pPr>
        <w:ind w:left="1500" w:hanging="743"/>
        <w:spacing w:after="0" w:line="207" w:lineRule="exact"/>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frequency, and severity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catastrophe attritional losses;</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business written by us;</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reinsurance agreements we have in place at the time of a loss;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location and characteristics of the policies we underwrite;</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legal or regulatory environment related to the business we write;</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legal defense costs;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 housing and construction costs; and</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amounts awarded by courts and juries.</w:t>
      </w:r>
    </w:p>
    <w:p>
      <w:pPr>
        <w:spacing w:after="0" w:line="171"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Losses and loss adjustment expenses are based on an actuarial analysis of the estimated losses, including losses incurred during the period and changes in estimates from prior periods. Losses and loss adjustment expenses may be paid out over multiple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Expenses</w:t>
      </w:r>
    </w:p>
    <w:p>
      <w:pPr>
        <w:spacing w:after="0" w:line="189" w:lineRule="exact"/>
        <w:rPr>
          <w:sz w:val="20"/>
          <w:szCs w:val="20"/>
          <w:color w:val="auto"/>
        </w:rPr>
      </w:pPr>
    </w:p>
    <w:p>
      <w:pPr>
        <w:ind w:right="200" w:firstLine="749"/>
        <w:spacing w:after="0" w:line="214" w:lineRule="exact"/>
        <w:rPr>
          <w:sz w:val="20"/>
          <w:szCs w:val="20"/>
          <w:color w:val="auto"/>
        </w:rPr>
      </w:pPr>
      <w:r>
        <w:rPr>
          <w:rFonts w:ascii="Times New Roman" w:cs="Times New Roman" w:eastAsia="Times New Roman" w:hAnsi="Times New Roman"/>
          <w:sz w:val="18"/>
          <w:szCs w:val="18"/>
          <w:color w:val="auto"/>
        </w:rPr>
        <w:t>Acquisition expenses are principally comprised of the commissions we pay retail agents, program administrators and wholesale brokers, net of ceding commissions and fronting fees we receive on business ceded under quota share and fronting reinsurance agreements. In addition, acquisition expenses include premium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taxes and other fees. Acquisition expenses related to each policy we write are deferred and expensed pro rata over the term of the policy.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Expenses</w:t>
      </w:r>
    </w:p>
    <w:p>
      <w:pPr>
        <w:spacing w:after="0" w:line="175"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Other underwriting expenses represent the general and administrative expenses of our insurance operations including employee salaries and benefits, software and technology costs, office rent, stock-based compensation, licenses and fees, and professional services fees such as legal, accounting, and actuarial services.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Interest expense consists of interest incurred on borrowings from our U.S. Bank credit agreement and FHLB line of credit and the unused line fee and amortization of the commitment fee on our U.S. Bank credit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189"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18"/>
          <w:szCs w:val="18"/>
          <w:color w:val="auto"/>
        </w:rPr>
        <w:t>We earn investment income on our portfolio of invested assets. We invest primarily in investment grade fixed maturity securities, including U.S. government issues, state government issues, mortgage and asset-backed obligations, and corporate bonds with a small portion of our portfolio in equity securities and cash and cash equivalents. The principal factors that influence net investment income are the size of our investment portfolio, the yield on that portfolio, and investment management expenses. As measured by amortized cost, which excludes fair value fluctuations from changes in interest rates or other factors, the size of our investment portfolio is mainly a function of our invested capital along with premium we receive from our insureds, less payments on policyholder claims and other operating expenses.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and Unrealized Gains and Losses on Investments</w:t>
      </w:r>
    </w:p>
    <w:p>
      <w:pPr>
        <w:spacing w:after="0" w:line="189"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Net realized and unrealized gains and losses on investments are a function of the difference between the amount received by us on the sale of a security and the security’s cost-basis, mark-to-market adjustments, credit losses recognized in earnings, and unrealized gains and losses on equity securities and equity method investments. Unrealized gains and losses on fixed maturity securities are recognized as a component of other comprehensive income and do not impact our net income.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8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Currently our income tax expense consists mainly of federal income taxes imposed on our operations. Our effective tax rates are dependent upon the components of pretax earnings and the related tax effects.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and Operating Metrics</w:t>
      </w:r>
    </w:p>
    <w:p>
      <w:pPr>
        <w:spacing w:after="0" w:line="175" w:lineRule="exact"/>
        <w:rPr>
          <w:sz w:val="20"/>
          <w:szCs w:val="20"/>
          <w:color w:val="auto"/>
        </w:rPr>
      </w:pPr>
    </w:p>
    <w:p>
      <w:pPr>
        <w:ind w:right="820" w:firstLine="749"/>
        <w:spacing w:after="0" w:line="282" w:lineRule="auto"/>
        <w:rPr>
          <w:sz w:val="20"/>
          <w:szCs w:val="20"/>
          <w:color w:val="auto"/>
        </w:rPr>
      </w:pPr>
      <w:r>
        <w:rPr>
          <w:rFonts w:ascii="Times New Roman" w:cs="Times New Roman" w:eastAsia="Times New Roman" w:hAnsi="Times New Roman"/>
          <w:sz w:val="18"/>
          <w:szCs w:val="18"/>
          <w:color w:val="auto"/>
        </w:rPr>
        <w:t>We discuss certain key financial and operating metrics, described below, which provide useful information about our business and the operational factors underlying our financial performance.</w:t>
      </w:r>
    </w:p>
    <w:p>
      <w:pPr>
        <w:spacing w:after="0" w:line="67" w:lineRule="exact"/>
        <w:rPr>
          <w:sz w:val="20"/>
          <w:szCs w:val="20"/>
          <w:color w:val="auto"/>
        </w:rPr>
      </w:pPr>
    </w:p>
    <w:p>
      <w:pPr>
        <w:ind w:right="440" w:firstLine="749"/>
        <w:spacing w:after="0" w:line="232" w:lineRule="exact"/>
        <w:rPr>
          <w:sz w:val="20"/>
          <w:szCs w:val="20"/>
          <w:color w:val="auto"/>
        </w:rPr>
      </w:pPr>
      <w:r>
        <w:rPr>
          <w:rFonts w:ascii="Times New Roman" w:cs="Times New Roman" w:eastAsia="Times New Roman" w:hAnsi="Times New Roman"/>
          <w:sz w:val="18"/>
          <w:szCs w:val="18"/>
          <w:i w:val="1"/>
          <w:iCs w:val="1"/>
          <w:color w:val="auto"/>
        </w:rPr>
        <w:t xml:space="preserve">Underwriting revenue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total revenue, excluding net investment income and net realized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unrealized gains and losses on investments.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total revenue calculated in accordance with GAAP to underwriting revenue.</w:t>
      </w:r>
    </w:p>
    <w:p>
      <w:pPr>
        <w:spacing w:after="0" w:line="117" w:lineRule="exact"/>
        <w:rPr>
          <w:sz w:val="20"/>
          <w:szCs w:val="20"/>
          <w:color w:val="auto"/>
        </w:rPr>
      </w:pPr>
    </w:p>
    <w:p>
      <w:pPr>
        <w:ind w:right="260" w:firstLine="749"/>
        <w:spacing w:after="0" w:line="226" w:lineRule="exact"/>
        <w:rPr>
          <w:sz w:val="20"/>
          <w:szCs w:val="20"/>
          <w:color w:val="auto"/>
        </w:rPr>
      </w:pPr>
      <w:r>
        <w:rPr>
          <w:rFonts w:ascii="Times New Roman" w:cs="Times New Roman" w:eastAsia="Times New Roman" w:hAnsi="Times New Roman"/>
          <w:sz w:val="18"/>
          <w:szCs w:val="18"/>
          <w:i w:val="1"/>
          <w:iCs w:val="1"/>
          <w:color w:val="auto"/>
        </w:rPr>
        <w:t xml:space="preserve">Underwriting income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income before income taxes excluding net investment income, net realized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unrealized gains and losses on investments, and interest expense.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income before income taxes calculated in accordance with GAAP to underwriting income.</w:t>
      </w:r>
    </w:p>
    <w:p>
      <w:pPr>
        <w:spacing w:after="0" w:line="119" w:lineRule="exact"/>
        <w:rPr>
          <w:sz w:val="20"/>
          <w:szCs w:val="20"/>
          <w:color w:val="auto"/>
        </w:rPr>
      </w:pPr>
    </w:p>
    <w:p>
      <w:pPr>
        <w:ind w:right="100" w:firstLine="749"/>
        <w:spacing w:after="0" w:line="231" w:lineRule="exact"/>
        <w:rPr>
          <w:sz w:val="20"/>
          <w:szCs w:val="20"/>
          <w:color w:val="auto"/>
        </w:rPr>
      </w:pPr>
      <w:r>
        <w:rPr>
          <w:rFonts w:ascii="Times New Roman" w:cs="Times New Roman" w:eastAsia="Times New Roman" w:hAnsi="Times New Roman"/>
          <w:sz w:val="18"/>
          <w:szCs w:val="18"/>
          <w:i w:val="1"/>
          <w:iCs w:val="1"/>
          <w:color w:val="auto"/>
        </w:rPr>
        <w:t xml:space="preserve">Adjusted net income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net income excluding the impact of certain items that may not be indicative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business trends, operating results, or future outlook, net of tax impact. We calculate the tax impact only on adjustments which would be included in calculating our income tax expense using the estimated tax rate at which we received a deduction for these adjustments.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net income calculated in accordance with GAAP to adjusted net income.</w:t>
      </w:r>
    </w:p>
    <w:p>
      <w:pPr>
        <w:spacing w:after="0" w:line="130" w:lineRule="exact"/>
        <w:rPr>
          <w:sz w:val="20"/>
          <w:szCs w:val="20"/>
          <w:color w:val="auto"/>
        </w:rPr>
      </w:pPr>
    </w:p>
    <w:p>
      <w:pPr>
        <w:ind w:right="480" w:firstLine="74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Annualized return on equity </w:t>
      </w:r>
      <w:r>
        <w:rPr>
          <w:rFonts w:ascii="Times New Roman" w:cs="Times New Roman" w:eastAsia="Times New Roman" w:hAnsi="Times New Roman"/>
          <w:sz w:val="18"/>
          <w:szCs w:val="18"/>
          <w:color w:val="auto"/>
        </w:rPr>
        <w:t>is net income expressed on an annualized basis as a percentage of average beginning and ending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during the period.</w:t>
      </w:r>
    </w:p>
    <w:p>
      <w:pPr>
        <w:spacing w:after="0" w:line="93" w:lineRule="exact"/>
        <w:rPr>
          <w:sz w:val="20"/>
          <w:szCs w:val="20"/>
          <w:color w:val="auto"/>
        </w:rPr>
      </w:pPr>
    </w:p>
    <w:p>
      <w:pPr>
        <w:ind w:right="320" w:firstLine="749"/>
        <w:spacing w:after="0" w:line="226" w:lineRule="exact"/>
        <w:rPr>
          <w:sz w:val="20"/>
          <w:szCs w:val="20"/>
          <w:color w:val="auto"/>
        </w:rPr>
      </w:pPr>
      <w:r>
        <w:rPr>
          <w:rFonts w:ascii="Times New Roman" w:cs="Times New Roman" w:eastAsia="Times New Roman" w:hAnsi="Times New Roman"/>
          <w:sz w:val="18"/>
          <w:szCs w:val="18"/>
          <w:i w:val="1"/>
          <w:iCs w:val="1"/>
          <w:color w:val="auto"/>
        </w:rPr>
        <w:t xml:space="preserve">Annualized adjusted return on equity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adjusted net income expressed on an annualized basis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average beginning and ending stockholders’ equity during the period.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return on equity calculated using unadjusted GAAP numbers to adjusted return on equity.</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Loss ratio</w:t>
      </w:r>
      <w:r>
        <w:rPr>
          <w:rFonts w:ascii="Times New Roman" w:cs="Times New Roman" w:eastAsia="Times New Roman" w:hAnsi="Times New Roman"/>
          <w:sz w:val="18"/>
          <w:szCs w:val="18"/>
          <w:color w:val="auto"/>
        </w:rPr>
        <w:t>, expressed as a percentage, is the ratio of losses and loss adjustment expenses, to net earned premiums.</w:t>
      </w:r>
    </w:p>
    <w:p>
      <w:pPr>
        <w:spacing w:after="0" w:line="171" w:lineRule="exact"/>
        <w:rPr>
          <w:sz w:val="20"/>
          <w:szCs w:val="20"/>
          <w:color w:val="auto"/>
        </w:rPr>
      </w:pPr>
    </w:p>
    <w:p>
      <w:pPr>
        <w:ind w:right="12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Expense ratio, </w:t>
      </w:r>
      <w:r>
        <w:rPr>
          <w:rFonts w:ascii="Times New Roman" w:cs="Times New Roman" w:eastAsia="Times New Roman" w:hAnsi="Times New Roman"/>
          <w:sz w:val="18"/>
          <w:szCs w:val="18"/>
          <w:color w:val="auto"/>
        </w:rPr>
        <w:t>expressed as a percentage, is the ratio of acquisition and other underwriting expenses, net of commission and other income to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earned premiums.</w:t>
      </w:r>
    </w:p>
    <w:p>
      <w:pPr>
        <w:spacing w:after="0" w:line="104" w:lineRule="exact"/>
        <w:rPr>
          <w:sz w:val="20"/>
          <w:szCs w:val="20"/>
          <w:color w:val="auto"/>
        </w:rPr>
      </w:pPr>
    </w:p>
    <w:p>
      <w:pPr>
        <w:ind w:right="20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Combined ratio </w:t>
      </w:r>
      <w:r>
        <w:rPr>
          <w:rFonts w:ascii="Times New Roman" w:cs="Times New Roman" w:eastAsia="Times New Roman" w:hAnsi="Times New Roman"/>
          <w:sz w:val="18"/>
          <w:szCs w:val="18"/>
          <w:color w:val="auto"/>
        </w:rPr>
        <w:t>is defined as the sum of the loss ratio and the expense ratio. A combined ratio under 100% generally indicates an underwriting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 A combined ratio over 100% generally indicates an underwriting loss.</w:t>
      </w:r>
    </w:p>
    <w:p>
      <w:pPr>
        <w:spacing w:after="0" w:line="65" w:lineRule="exact"/>
        <w:rPr>
          <w:sz w:val="20"/>
          <w:szCs w:val="20"/>
          <w:color w:val="auto"/>
        </w:rPr>
      </w:pPr>
    </w:p>
    <w:p>
      <w:pPr>
        <w:jc w:val="both"/>
        <w:ind w:right="280" w:firstLine="749"/>
        <w:spacing w:after="0" w:line="232" w:lineRule="exact"/>
        <w:rPr>
          <w:sz w:val="20"/>
          <w:szCs w:val="20"/>
          <w:color w:val="auto"/>
        </w:rPr>
      </w:pPr>
      <w:r>
        <w:rPr>
          <w:rFonts w:ascii="Times New Roman" w:cs="Times New Roman" w:eastAsia="Times New Roman" w:hAnsi="Times New Roman"/>
          <w:sz w:val="18"/>
          <w:szCs w:val="18"/>
          <w:i w:val="1"/>
          <w:iCs w:val="1"/>
          <w:color w:val="auto"/>
        </w:rPr>
        <w:t xml:space="preserve">Adjusted combined ratio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the sum of the loss ratio and the expense ratio calculated excluding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certain items that may not be indicative of underlying business trends, operating results, or future outlook.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combined ratio calculated using unadjusted GAAP numbers to adjusted combined ratio.</w:t>
      </w:r>
    </w:p>
    <w:p>
      <w:pPr>
        <w:spacing w:after="0" w:line="117" w:lineRule="exact"/>
        <w:rPr>
          <w:sz w:val="20"/>
          <w:szCs w:val="20"/>
          <w:color w:val="auto"/>
        </w:rPr>
      </w:pPr>
    </w:p>
    <w:p>
      <w:pPr>
        <w:ind w:right="60" w:firstLine="749"/>
        <w:spacing w:after="0" w:line="224" w:lineRule="exact"/>
        <w:rPr>
          <w:sz w:val="20"/>
          <w:szCs w:val="20"/>
          <w:color w:val="auto"/>
        </w:rPr>
      </w:pPr>
      <w:r>
        <w:rPr>
          <w:rFonts w:ascii="Times New Roman" w:cs="Times New Roman" w:eastAsia="Times New Roman" w:hAnsi="Times New Roman"/>
          <w:sz w:val="18"/>
          <w:szCs w:val="18"/>
          <w:i w:val="1"/>
          <w:iCs w:val="1"/>
          <w:color w:val="auto"/>
        </w:rPr>
        <w:t xml:space="preserve">Diluted adjusted earnings per share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financial measure defined as adjusted net income divided by the weighted-average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outstanding for the period, reflecting the dilution which could occur if equity-based awards are converted into common share equivalents as calculated using the treasury stock method.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diluted earnings per share calculated in accordance with GAAP to diluted adjusted earnings per share.</w:t>
      </w:r>
    </w:p>
    <w:p>
      <w:pPr>
        <w:spacing w:after="0" w:line="106" w:lineRule="exact"/>
        <w:rPr>
          <w:sz w:val="20"/>
          <w:szCs w:val="20"/>
          <w:color w:val="auto"/>
        </w:rPr>
      </w:pPr>
    </w:p>
    <w:p>
      <w:pPr>
        <w:ind w:right="180" w:firstLine="749"/>
        <w:spacing w:after="0" w:line="253" w:lineRule="exact"/>
        <w:rPr>
          <w:sz w:val="20"/>
          <w:szCs w:val="20"/>
          <w:color w:val="auto"/>
        </w:rPr>
      </w:pPr>
      <w:r>
        <w:rPr>
          <w:rFonts w:ascii="Times New Roman" w:cs="Times New Roman" w:eastAsia="Times New Roman" w:hAnsi="Times New Roman"/>
          <w:sz w:val="18"/>
          <w:szCs w:val="18"/>
          <w:i w:val="1"/>
          <w:iCs w:val="1"/>
          <w:color w:val="auto"/>
        </w:rPr>
        <w:t xml:space="preserve">Catastrophe loss ratio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the ratio of catastrophe losses to net earned premiums. See “Reconciliation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loss ratio calculated using unadjusted GAAP numbers to catastrophe loss ratio.</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749"/>
        <w:spacing w:after="0" w:line="232" w:lineRule="exact"/>
        <w:rPr>
          <w:sz w:val="20"/>
          <w:szCs w:val="20"/>
          <w:color w:val="auto"/>
        </w:rPr>
      </w:pPr>
      <w:r>
        <w:rPr>
          <w:rFonts w:ascii="Times New Roman" w:cs="Times New Roman" w:eastAsia="Times New Roman" w:hAnsi="Times New Roman"/>
          <w:sz w:val="18"/>
          <w:szCs w:val="18"/>
          <w:i w:val="1"/>
          <w:iCs w:val="1"/>
          <w:color w:val="auto"/>
        </w:rPr>
        <w:t xml:space="preserve">Adjusted combined ratio excluding catastrophe losses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adjusted combined ratio excluding the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catastrophe losses.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combined ratio calculated using unadjusted GAAP numbers to adjusted combined ratio excluding catastrophe losses.</w:t>
      </w:r>
    </w:p>
    <w:p>
      <w:pPr>
        <w:spacing w:after="0" w:line="142" w:lineRule="exact"/>
        <w:rPr>
          <w:sz w:val="20"/>
          <w:szCs w:val="20"/>
          <w:color w:val="auto"/>
        </w:rPr>
      </w:pPr>
    </w:p>
    <w:p>
      <w:pPr>
        <w:ind w:right="100" w:firstLine="74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Adjusted underwriting income </w:t>
      </w:r>
      <w:r>
        <w:rPr>
          <w:rFonts w:ascii="Times New Roman" w:cs="Times New Roman" w:eastAsia="Times New Roman" w:hAnsi="Times New Roman"/>
          <w:sz w:val="18"/>
          <w:szCs w:val="18"/>
          <w:color w:val="auto"/>
        </w:rPr>
        <w:t>is a non-GAAP financial measure defined as underwriting income excluding the impact of certain items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indicative of underlying business trends, operating results, or future outlook. See “Reconciliation of Non-GAAP Financial Measures” for a reconciliation of income before income taxes calculated in accordance with GAAP to adjusted underwriting income.</w:t>
      </w:r>
    </w:p>
    <w:p>
      <w:pPr>
        <w:spacing w:after="0" w:line="101" w:lineRule="exact"/>
        <w:rPr>
          <w:sz w:val="20"/>
          <w:szCs w:val="20"/>
          <w:color w:val="auto"/>
        </w:rPr>
      </w:pPr>
    </w:p>
    <w:p>
      <w:pPr>
        <w:ind w:right="300" w:firstLine="749"/>
        <w:spacing w:after="0" w:line="253" w:lineRule="exact"/>
        <w:rPr>
          <w:sz w:val="20"/>
          <w:szCs w:val="20"/>
          <w:color w:val="auto"/>
        </w:rPr>
      </w:pPr>
      <w:r>
        <w:rPr>
          <w:rFonts w:ascii="Times New Roman" w:cs="Times New Roman" w:eastAsia="Times New Roman" w:hAnsi="Times New Roman"/>
          <w:sz w:val="18"/>
          <w:szCs w:val="18"/>
          <w:i w:val="1"/>
          <w:iCs w:val="1"/>
          <w:color w:val="auto"/>
        </w:rPr>
        <w:t>Tangible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equity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stockholders’ equity less intangible assets. See “Reconciliation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stockholders’ equity calculated in accordance with GAAP to tangible stockholders’ equity.</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9"/>
              </w:rPr>
              <w:t>Table of Contents</w:t>
            </w:r>
          </w:p>
        </w:tc>
        <w:tc>
          <w:tcPr>
            <w:tcW w:w="3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5"/>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4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compared to three months ended March 31, 2025</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80" w:type="dxa"/>
            <w:vAlign w:val="bottom"/>
            <w:gridSpan w:val="7"/>
          </w:tcPr>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for the three months ended March 31, 2026 and 2025:</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3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3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9"/>
                <w:szCs w:val="19"/>
                <w:color w:val="auto"/>
              </w:rPr>
            </w:pPr>
          </w:p>
        </w:tc>
        <w:tc>
          <w:tcPr>
            <w:tcW w:w="16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80" w:type="dxa"/>
            <w:vAlign w:val="bottom"/>
            <w:gridSpan w:val="5"/>
          </w:tcPr>
          <w:p>
            <w:pPr>
              <w:jc w:val="right"/>
              <w:ind w:right="11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Gross written premiums</w:t>
            </w:r>
          </w:p>
        </w:tc>
        <w:tc>
          <w:tcPr>
            <w:tcW w:w="28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629,828</w:t>
            </w: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442,163</w:t>
            </w:r>
          </w:p>
        </w:tc>
        <w:tc>
          <w:tcPr>
            <w:tcW w:w="380" w:type="dxa"/>
            <w:vAlign w:val="bottom"/>
            <w:gridSpan w:val="2"/>
            <w:shd w:val="clear" w:color="auto" w:fill="CFF0FC"/>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187,665</w:t>
            </w:r>
          </w:p>
        </w:tc>
        <w:tc>
          <w:tcPr>
            <w:tcW w:w="17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189"/>
        </w:trPr>
        <w:tc>
          <w:tcPr>
            <w:tcW w:w="48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Ceded written premiums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(291,913)</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(230,745)</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(61,168)</w:t>
            </w:r>
          </w:p>
        </w:tc>
        <w:tc>
          <w:tcPr>
            <w:tcW w:w="17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183"/>
        </w:trPr>
        <w:tc>
          <w:tcPr>
            <w:tcW w:w="4840" w:type="dxa"/>
            <w:vAlign w:val="bottom"/>
            <w:gridSpan w:val="2"/>
            <w:shd w:val="clear" w:color="auto" w:fill="CFF0FC"/>
          </w:tcPr>
          <w:p>
            <w:pPr>
              <w:ind w:left="100"/>
              <w:spacing w:after="0" w:line="182" w:lineRule="exact"/>
              <w:rPr>
                <w:sz w:val="20"/>
                <w:szCs w:val="20"/>
                <w:color w:val="auto"/>
              </w:rPr>
            </w:pPr>
            <w:r>
              <w:rPr>
                <w:rFonts w:ascii="Times New Roman" w:cs="Times New Roman" w:eastAsia="Times New Roman" w:hAnsi="Times New Roman"/>
                <w:sz w:val="18"/>
                <w:szCs w:val="18"/>
                <w:color w:val="auto"/>
              </w:rPr>
              <w:t>Net written premiums</w:t>
            </w:r>
          </w:p>
        </w:tc>
        <w:tc>
          <w:tcPr>
            <w:tcW w:w="28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337,915</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211,418</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126,497</w:t>
            </w:r>
          </w:p>
        </w:tc>
        <w:tc>
          <w:tcPr>
            <w:tcW w:w="170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157"/>
        </w:trPr>
        <w:tc>
          <w:tcPr>
            <w:tcW w:w="484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Net earned premiums</w:t>
            </w:r>
          </w:p>
        </w:tc>
        <w:tc>
          <w:tcPr>
            <w:tcW w:w="280" w:type="dxa"/>
            <w:vAlign w:val="bottom"/>
          </w:tcPr>
          <w:p>
            <w:pPr>
              <w:spacing w:after="0"/>
              <w:rPr>
                <w:sz w:val="13"/>
                <w:szCs w:val="13"/>
                <w:color w:val="auto"/>
              </w:rPr>
            </w:pPr>
          </w:p>
        </w:tc>
        <w:tc>
          <w:tcPr>
            <w:tcW w:w="1200" w:type="dxa"/>
            <w:vAlign w:val="bottom"/>
          </w:tcPr>
          <w:p>
            <w:pPr>
              <w:jc w:val="right"/>
              <w:ind w:right="110"/>
              <w:spacing w:after="0" w:line="157" w:lineRule="exact"/>
              <w:rPr>
                <w:sz w:val="20"/>
                <w:szCs w:val="20"/>
                <w:color w:val="auto"/>
              </w:rPr>
            </w:pPr>
            <w:r>
              <w:rPr>
                <w:rFonts w:ascii="Times New Roman" w:cs="Times New Roman" w:eastAsia="Times New Roman" w:hAnsi="Times New Roman"/>
                <w:sz w:val="18"/>
                <w:szCs w:val="18"/>
                <w:color w:val="auto"/>
              </w:rPr>
              <w:t>261,438</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150"/>
              <w:spacing w:after="0" w:line="157" w:lineRule="exact"/>
              <w:rPr>
                <w:sz w:val="20"/>
                <w:szCs w:val="20"/>
                <w:color w:val="auto"/>
              </w:rPr>
            </w:pPr>
            <w:r>
              <w:rPr>
                <w:rFonts w:ascii="Times New Roman" w:cs="Times New Roman" w:eastAsia="Times New Roman" w:hAnsi="Times New Roman"/>
                <w:sz w:val="18"/>
                <w:szCs w:val="18"/>
                <w:color w:val="auto"/>
              </w:rPr>
              <w:t>164,070</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30"/>
              <w:spacing w:after="0" w:line="157" w:lineRule="exact"/>
              <w:rPr>
                <w:sz w:val="20"/>
                <w:szCs w:val="20"/>
                <w:color w:val="auto"/>
              </w:rPr>
            </w:pPr>
            <w:r>
              <w:rPr>
                <w:rFonts w:ascii="Times New Roman" w:cs="Times New Roman" w:eastAsia="Times New Roman" w:hAnsi="Times New Roman"/>
                <w:sz w:val="18"/>
                <w:szCs w:val="18"/>
                <w:color w:val="auto"/>
              </w:rPr>
              <w:t>97,368</w:t>
            </w:r>
          </w:p>
        </w:tc>
        <w:tc>
          <w:tcPr>
            <w:tcW w:w="17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194"/>
        </w:trPr>
        <w:tc>
          <w:tcPr>
            <w:tcW w:w="48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Commission and other income</w:t>
            </w:r>
          </w:p>
        </w:tc>
        <w:tc>
          <w:tcPr>
            <w:tcW w:w="280" w:type="dxa"/>
            <w:vAlign w:val="bottom"/>
          </w:tcPr>
          <w:p>
            <w:pPr>
              <w:spacing w:after="0"/>
              <w:rPr>
                <w:sz w:val="16"/>
                <w:szCs w:val="16"/>
                <w:color w:val="auto"/>
              </w:rPr>
            </w:pPr>
          </w:p>
        </w:tc>
        <w:tc>
          <w:tcPr>
            <w:tcW w:w="120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color w:val="auto"/>
              </w:rPr>
              <w:t>1,410</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color w:val="auto"/>
              </w:rPr>
              <w:t>830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rPr>
              <w:t>580</w:t>
            </w:r>
          </w:p>
        </w:tc>
        <w:tc>
          <w:tcPr>
            <w:tcW w:w="170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7"/>
        </w:trPr>
        <w:tc>
          <w:tcPr>
            <w:tcW w:w="4840" w:type="dxa"/>
            <w:vAlign w:val="bottom"/>
            <w:gridSpan w:val="2"/>
            <w:vMerge w:val="restart"/>
          </w:tcPr>
          <w:p>
            <w:pPr>
              <w:ind w:left="100"/>
              <w:spacing w:after="0" w:line="229" w:lineRule="exact"/>
              <w:rPr>
                <w:sz w:val="20"/>
                <w:szCs w:val="20"/>
                <w:color w:val="auto"/>
              </w:rPr>
            </w:pPr>
            <w:r>
              <w:rPr>
                <w:rFonts w:ascii="Times New Roman" w:cs="Times New Roman" w:eastAsia="Times New Roman" w:hAnsi="Times New Roman"/>
                <w:sz w:val="18"/>
                <w:szCs w:val="18"/>
                <w:color w:val="auto"/>
              </w:rPr>
              <w:t xml:space="preserve">Total underwriting revenue </w:t>
            </w:r>
            <w:r>
              <w:rPr>
                <w:rFonts w:ascii="Times New Roman" w:cs="Times New Roman" w:eastAsia="Times New Roman" w:hAnsi="Times New Roman"/>
                <w:sz w:val="24"/>
                <w:szCs w:val="24"/>
                <w:color w:val="auto"/>
                <w:vertAlign w:val="superscript"/>
              </w:rPr>
              <w:t>(1)</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183"/>
        </w:trPr>
        <w:tc>
          <w:tcPr>
            <w:tcW w:w="48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262,848</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164,900</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97,948</w:t>
            </w:r>
          </w:p>
        </w:tc>
        <w:tc>
          <w:tcPr>
            <w:tcW w:w="1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Losses and loss adjustment expenses</w:t>
            </w:r>
          </w:p>
        </w:tc>
        <w:tc>
          <w:tcPr>
            <w:tcW w:w="28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87,097</w:t>
            </w: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38,743</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48,354</w:t>
            </w:r>
          </w:p>
        </w:tc>
        <w:tc>
          <w:tcPr>
            <w:tcW w:w="17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157"/>
        </w:trPr>
        <w:tc>
          <w:tcPr>
            <w:tcW w:w="484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Acquisition expenses, net of ceding commissions and fronting</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8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fees</w:t>
            </w:r>
          </w:p>
        </w:tc>
        <w:tc>
          <w:tcPr>
            <w:tcW w:w="280" w:type="dxa"/>
            <w:vAlign w:val="bottom"/>
          </w:tcPr>
          <w:p>
            <w:pPr>
              <w:spacing w:after="0"/>
              <w:rPr>
                <w:sz w:val="16"/>
                <w:szCs w:val="16"/>
                <w:color w:val="auto"/>
              </w:rPr>
            </w:pPr>
          </w:p>
        </w:tc>
        <w:tc>
          <w:tcPr>
            <w:tcW w:w="120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70,315</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46,359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23,956</w:t>
            </w:r>
          </w:p>
        </w:tc>
        <w:tc>
          <w:tcPr>
            <w:tcW w:w="17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194"/>
        </w:trPr>
        <w:tc>
          <w:tcPr>
            <w:tcW w:w="48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Other underwriting expenses</w:t>
            </w:r>
          </w:p>
        </w:tc>
        <w:tc>
          <w:tcPr>
            <w:tcW w:w="280" w:type="dxa"/>
            <w:vAlign w:val="bottom"/>
          </w:tcPr>
          <w:p>
            <w:pPr>
              <w:spacing w:after="0"/>
              <w:rPr>
                <w:sz w:val="16"/>
                <w:szCs w:val="16"/>
                <w:color w:val="auto"/>
              </w:rPr>
            </w:pPr>
          </w:p>
        </w:tc>
        <w:tc>
          <w:tcPr>
            <w:tcW w:w="120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color w:val="auto"/>
              </w:rPr>
              <w:t>64,907</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color w:val="auto"/>
              </w:rPr>
              <w:t>35,733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rPr>
              <w:t>29,174</w:t>
            </w:r>
          </w:p>
        </w:tc>
        <w:tc>
          <w:tcPr>
            <w:tcW w:w="170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7"/>
        </w:trPr>
        <w:tc>
          <w:tcPr>
            <w:tcW w:w="4840" w:type="dxa"/>
            <w:vAlign w:val="bottom"/>
            <w:gridSpan w:val="2"/>
            <w:vMerge w:val="restart"/>
          </w:tcPr>
          <w:p>
            <w:pPr>
              <w:ind w:left="100"/>
              <w:spacing w:after="0" w:line="229" w:lineRule="exact"/>
              <w:rPr>
                <w:sz w:val="20"/>
                <w:szCs w:val="20"/>
                <w:color w:val="auto"/>
              </w:rPr>
            </w:pPr>
            <w:r>
              <w:rPr>
                <w:rFonts w:ascii="Times New Roman" w:cs="Times New Roman" w:eastAsia="Times New Roman" w:hAnsi="Times New Roman"/>
                <w:sz w:val="18"/>
                <w:szCs w:val="18"/>
                <w:color w:val="auto"/>
              </w:rPr>
              <w:t xml:space="preserve">Underwriting income </w:t>
            </w:r>
            <w:r>
              <w:rPr>
                <w:rFonts w:ascii="Times New Roman" w:cs="Times New Roman" w:eastAsia="Times New Roman" w:hAnsi="Times New Roman"/>
                <w:sz w:val="24"/>
                <w:szCs w:val="24"/>
                <w:color w:val="auto"/>
                <w:vertAlign w:val="superscript"/>
              </w:rPr>
              <w:t>(1)</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83"/>
        </w:trPr>
        <w:tc>
          <w:tcPr>
            <w:tcW w:w="48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40,529</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44,065</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(3,536)</w:t>
            </w:r>
          </w:p>
        </w:tc>
        <w:tc>
          <w:tcPr>
            <w:tcW w:w="1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(3,158)</w:t>
            </w: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(3,073)</w:t>
            </w:r>
          </w:p>
        </w:tc>
        <w:tc>
          <w:tcPr>
            <w:tcW w:w="100" w:type="dxa"/>
            <w:vAlign w:val="bottom"/>
            <w:shd w:val="clear" w:color="auto" w:fill="CFF0FC"/>
          </w:tcPr>
          <w:p>
            <w:pPr>
              <w:spacing w:after="0"/>
              <w:rPr>
                <w:sz w:val="16"/>
                <w:szCs w:val="16"/>
                <w:color w:val="auto"/>
              </w:rPr>
            </w:pPr>
          </w:p>
        </w:tc>
        <w:tc>
          <w:tcPr>
            <w:tcW w:w="1600" w:type="dxa"/>
            <w:vAlign w:val="bottom"/>
            <w:shd w:val="clear" w:color="auto" w:fill="CFF0FC"/>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89"/>
        </w:trPr>
        <w:tc>
          <w:tcPr>
            <w:tcW w:w="48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Net investment income</w:t>
            </w:r>
          </w:p>
        </w:tc>
        <w:tc>
          <w:tcPr>
            <w:tcW w:w="280" w:type="dxa"/>
            <w:vAlign w:val="bottom"/>
          </w:tcPr>
          <w:p>
            <w:pPr>
              <w:spacing w:after="0"/>
              <w:rPr>
                <w:sz w:val="16"/>
                <w:szCs w:val="16"/>
                <w:color w:val="auto"/>
              </w:rPr>
            </w:pPr>
          </w:p>
        </w:tc>
        <w:tc>
          <w:tcPr>
            <w:tcW w:w="120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17,984</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12,071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5,913</w:t>
            </w:r>
          </w:p>
        </w:tc>
        <w:tc>
          <w:tcPr>
            <w:tcW w:w="17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189"/>
        </w:trPr>
        <w:tc>
          <w:tcPr>
            <w:tcW w:w="484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realized and unrealized losses on investments</w:t>
            </w:r>
          </w:p>
        </w:tc>
        <w:tc>
          <w:tcPr>
            <w:tcW w:w="28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(1,894)</w:t>
            </w:r>
          </w:p>
        </w:tc>
        <w:tc>
          <w:tcPr>
            <w:tcW w:w="14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(2,338)</w:t>
            </w:r>
          </w:p>
        </w:tc>
        <w:tc>
          <w:tcPr>
            <w:tcW w:w="1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444</w:t>
            </w:r>
          </w:p>
        </w:tc>
        <w:tc>
          <w:tcPr>
            <w:tcW w:w="1700" w:type="dxa"/>
            <w:vAlign w:val="bottom"/>
            <w:tcBorders>
              <w:bottom w:val="single" w:sz="8" w:color="CFF0FC"/>
            </w:tcBorders>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183"/>
        </w:trPr>
        <w:tc>
          <w:tcPr>
            <w:tcW w:w="484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5"/>
                <w:szCs w:val="15"/>
                <w:color w:val="auto"/>
              </w:rPr>
            </w:pPr>
          </w:p>
        </w:tc>
        <w:tc>
          <w:tcPr>
            <w:tcW w:w="120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53,461</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53,713</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(252)</w:t>
            </w:r>
          </w:p>
        </w:tc>
        <w:tc>
          <w:tcPr>
            <w:tcW w:w="17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89"/>
        </w:trPr>
        <w:tc>
          <w:tcPr>
            <w:tcW w:w="484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10,514</w:t>
            </w:r>
          </w:p>
        </w:tc>
        <w:tc>
          <w:tcPr>
            <w:tcW w:w="14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10,791</w:t>
            </w:r>
          </w:p>
        </w:tc>
        <w:tc>
          <w:tcPr>
            <w:tcW w:w="1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(277)</w:t>
            </w:r>
          </w:p>
        </w:tc>
        <w:tc>
          <w:tcPr>
            <w:tcW w:w="1700" w:type="dxa"/>
            <w:vAlign w:val="bottom"/>
            <w:tcBorders>
              <w:bottom w:val="single" w:sz="8" w:color="CFF0FC"/>
            </w:tcBorders>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83"/>
        </w:trPr>
        <w:tc>
          <w:tcPr>
            <w:tcW w:w="484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42,947</w:t>
            </w:r>
          </w:p>
        </w:tc>
        <w:tc>
          <w:tcPr>
            <w:tcW w:w="140" w:type="dxa"/>
            <w:vAlign w:val="bottom"/>
          </w:tcPr>
          <w:p>
            <w:pPr>
              <w:spacing w:after="0"/>
              <w:rPr>
                <w:sz w:val="15"/>
                <w:szCs w:val="15"/>
                <w:color w:val="auto"/>
              </w:rPr>
            </w:pPr>
          </w:p>
        </w:tc>
        <w:tc>
          <w:tcPr>
            <w:tcW w:w="34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42,922</w:t>
            </w:r>
          </w:p>
        </w:tc>
        <w:tc>
          <w:tcPr>
            <w:tcW w:w="380" w:type="dxa"/>
            <w:vAlign w:val="bottom"/>
            <w:gridSpan w:val="2"/>
          </w:tcPr>
          <w:p>
            <w:pPr>
              <w:jc w:val="right"/>
              <w:ind w:right="56"/>
              <w:spacing w:after="0" w:line="16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25</w:t>
            </w:r>
          </w:p>
        </w:tc>
        <w:tc>
          <w:tcPr>
            <w:tcW w:w="17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40" w:type="dxa"/>
            <w:vAlign w:val="bottom"/>
            <w:gridSpan w:val="2"/>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Adjustments:</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Net realized and unrealized losses on investments</w:t>
            </w:r>
          </w:p>
        </w:tc>
        <w:tc>
          <w:tcPr>
            <w:tcW w:w="280" w:type="dxa"/>
            <w:vAlign w:val="bottom"/>
          </w:tcPr>
          <w:p>
            <w:pPr>
              <w:spacing w:after="0"/>
              <w:rPr>
                <w:sz w:val="16"/>
                <w:szCs w:val="16"/>
                <w:color w:val="auto"/>
              </w:rPr>
            </w:pPr>
          </w:p>
        </w:tc>
        <w:tc>
          <w:tcPr>
            <w:tcW w:w="120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1,894</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2,338</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(444)</w:t>
            </w:r>
          </w:p>
        </w:tc>
        <w:tc>
          <w:tcPr>
            <w:tcW w:w="17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189"/>
        </w:trPr>
        <w:tc>
          <w:tcPr>
            <w:tcW w:w="48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Expenses associated with transactions</w:t>
            </w:r>
          </w:p>
        </w:tc>
        <w:tc>
          <w:tcPr>
            <w:tcW w:w="28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7,406</w:t>
            </w: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2,088</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5,318</w:t>
            </w:r>
          </w:p>
        </w:tc>
        <w:tc>
          <w:tcPr>
            <w:tcW w:w="17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254.7%</w:t>
            </w:r>
          </w:p>
        </w:tc>
        <w:tc>
          <w:tcPr>
            <w:tcW w:w="0" w:type="dxa"/>
            <w:vAlign w:val="bottom"/>
          </w:tcPr>
          <w:p>
            <w:pPr>
              <w:spacing w:after="0"/>
              <w:rPr>
                <w:sz w:val="1"/>
                <w:szCs w:val="1"/>
                <w:color w:val="auto"/>
              </w:rPr>
            </w:pPr>
          </w:p>
        </w:tc>
      </w:tr>
      <w:tr>
        <w:trPr>
          <w:trHeight w:val="189"/>
        </w:trPr>
        <w:tc>
          <w:tcPr>
            <w:tcW w:w="48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6"/>
                <w:szCs w:val="16"/>
                <w:color w:val="auto"/>
              </w:rPr>
            </w:pPr>
          </w:p>
        </w:tc>
        <w:tc>
          <w:tcPr>
            <w:tcW w:w="120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8,786</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4,745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4,041</w:t>
            </w:r>
          </w:p>
        </w:tc>
        <w:tc>
          <w:tcPr>
            <w:tcW w:w="17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189"/>
        </w:trPr>
        <w:tc>
          <w:tcPr>
            <w:tcW w:w="48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6,055</w:t>
            </w: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707</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5,348</w:t>
            </w:r>
          </w:p>
        </w:tc>
        <w:tc>
          <w:tcPr>
            <w:tcW w:w="100" w:type="dxa"/>
            <w:vAlign w:val="bottom"/>
            <w:shd w:val="clear" w:color="auto" w:fill="CFF0FC"/>
          </w:tcPr>
          <w:p>
            <w:pPr>
              <w:spacing w:after="0"/>
              <w:rPr>
                <w:sz w:val="16"/>
                <w:szCs w:val="16"/>
                <w:color w:val="auto"/>
              </w:rPr>
            </w:pPr>
          </w:p>
        </w:tc>
        <w:tc>
          <w:tcPr>
            <w:tcW w:w="1600" w:type="dxa"/>
            <w:vAlign w:val="bottom"/>
            <w:shd w:val="clear" w:color="auto" w:fill="CFF0FC"/>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62"/>
        </w:trPr>
        <w:tc>
          <w:tcPr>
            <w:tcW w:w="4840" w:type="dxa"/>
            <w:vAlign w:val="bottom"/>
            <w:gridSpan w:val="2"/>
          </w:tcPr>
          <w:p>
            <w:pPr>
              <w:spacing w:after="0" w:line="162" w:lineRule="exact"/>
              <w:rPr>
                <w:sz w:val="20"/>
                <w:szCs w:val="20"/>
                <w:color w:val="auto"/>
              </w:rPr>
            </w:pPr>
            <w:r>
              <w:rPr>
                <w:rFonts w:ascii="Times New Roman" w:cs="Times New Roman" w:eastAsia="Times New Roman" w:hAnsi="Times New Roman"/>
                <w:sz w:val="18"/>
                <w:szCs w:val="18"/>
                <w:color w:val="auto"/>
              </w:rPr>
              <w:t>Tax impact</w:t>
            </w:r>
          </w:p>
        </w:tc>
        <w:tc>
          <w:tcPr>
            <w:tcW w:w="280" w:type="dxa"/>
            <w:vAlign w:val="bottom"/>
          </w:tcPr>
          <w:p>
            <w:pPr>
              <w:spacing w:after="0"/>
              <w:rPr>
                <w:sz w:val="14"/>
                <w:szCs w:val="14"/>
                <w:color w:val="auto"/>
              </w:rPr>
            </w:pPr>
          </w:p>
        </w:tc>
        <w:tc>
          <w:tcPr>
            <w:tcW w:w="1200" w:type="dxa"/>
            <w:vAlign w:val="bottom"/>
          </w:tcPr>
          <w:p>
            <w:pPr>
              <w:jc w:val="right"/>
              <w:ind w:right="30"/>
              <w:spacing w:after="0" w:line="162" w:lineRule="exact"/>
              <w:rPr>
                <w:sz w:val="20"/>
                <w:szCs w:val="20"/>
                <w:color w:val="auto"/>
              </w:rPr>
            </w:pPr>
            <w:r>
              <w:rPr>
                <w:rFonts w:ascii="Times New Roman" w:cs="Times New Roman" w:eastAsia="Times New Roman" w:hAnsi="Times New Roman"/>
                <w:sz w:val="18"/>
                <w:szCs w:val="18"/>
                <w:color w:val="auto"/>
              </w:rPr>
              <w:t>(3,951)</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70"/>
              <w:spacing w:after="0" w:line="162" w:lineRule="exact"/>
              <w:rPr>
                <w:sz w:val="20"/>
                <w:szCs w:val="20"/>
                <w:color w:val="auto"/>
              </w:rPr>
            </w:pPr>
            <w:r>
              <w:rPr>
                <w:rFonts w:ascii="Times New Roman" w:cs="Times New Roman" w:eastAsia="Times New Roman" w:hAnsi="Times New Roman"/>
                <w:sz w:val="18"/>
                <w:szCs w:val="18"/>
                <w:color w:val="auto"/>
              </w:rPr>
              <w:t>(1,494)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(2,457)</w:t>
            </w:r>
          </w:p>
        </w:tc>
        <w:tc>
          <w:tcPr>
            <w:tcW w:w="17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7"/>
        </w:trPr>
        <w:tc>
          <w:tcPr>
            <w:tcW w:w="4840" w:type="dxa"/>
            <w:vAlign w:val="bottom"/>
            <w:gridSpan w:val="2"/>
            <w:vMerge w:val="restart"/>
          </w:tcPr>
          <w:p>
            <w:pPr>
              <w:ind w:left="10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Adjusted net income </w:t>
            </w:r>
            <w:r>
              <w:rPr>
                <w:rFonts w:ascii="Times New Roman" w:cs="Times New Roman" w:eastAsia="Times New Roman" w:hAnsi="Times New Roman"/>
                <w:sz w:val="24"/>
                <w:szCs w:val="24"/>
                <w:b w:val="1"/>
                <w:bCs w:val="1"/>
                <w:color w:val="auto"/>
                <w:vertAlign w:val="superscript"/>
              </w:rPr>
              <w:t>(1)</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40" w:type="dxa"/>
            <w:vAlign w:val="bottom"/>
            <w:gridSpan w:val="2"/>
            <w:vMerge w:val="continue"/>
          </w:tcPr>
          <w:p>
            <w:pPr>
              <w:spacing w:after="0"/>
              <w:rPr>
                <w:sz w:val="15"/>
                <w:szCs w:val="15"/>
                <w:color w:val="auto"/>
              </w:rPr>
            </w:pPr>
          </w:p>
        </w:tc>
        <w:tc>
          <w:tcPr>
            <w:tcW w:w="280" w:type="dxa"/>
            <w:vAlign w:val="bottom"/>
            <w:tcBorders>
              <w:bottom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63,137</w:t>
            </w:r>
          </w:p>
        </w:tc>
        <w:tc>
          <w:tcPr>
            <w:tcW w:w="140" w:type="dxa"/>
            <w:vAlign w:val="bottom"/>
          </w:tcPr>
          <w:p>
            <w:pPr>
              <w:spacing w:after="0"/>
              <w:rPr>
                <w:sz w:val="15"/>
                <w:szCs w:val="15"/>
                <w:color w:val="auto"/>
              </w:rPr>
            </w:pPr>
          </w:p>
        </w:tc>
        <w:tc>
          <w:tcPr>
            <w:tcW w:w="340" w:type="dxa"/>
            <w:vAlign w:val="bottom"/>
            <w:tcBorders>
              <w:bottom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51,306</w:t>
            </w:r>
          </w:p>
        </w:tc>
        <w:tc>
          <w:tcPr>
            <w:tcW w:w="16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56"/>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11,831</w:t>
            </w:r>
          </w:p>
        </w:tc>
        <w:tc>
          <w:tcPr>
            <w:tcW w:w="17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line="177" w:lineRule="exact"/>
              <w:rPr>
                <w:sz w:val="20"/>
                <w:szCs w:val="20"/>
                <w:color w:val="auto"/>
              </w:rPr>
            </w:pPr>
            <w:r>
              <w:rPr>
                <w:rFonts w:ascii="Times New Roman" w:cs="Times New Roman" w:eastAsia="Times New Roman" w:hAnsi="Times New Roman"/>
                <w:sz w:val="18"/>
                <w:szCs w:val="18"/>
                <w:color w:val="auto"/>
              </w:rPr>
              <w:t>Key Financial and Operating Metrics</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8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8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Annualized return on equity</w:t>
            </w:r>
          </w:p>
        </w:tc>
        <w:tc>
          <w:tcPr>
            <w:tcW w:w="280" w:type="dxa"/>
            <w:vAlign w:val="bottom"/>
          </w:tcPr>
          <w:p>
            <w:pPr>
              <w:spacing w:after="0"/>
              <w:rPr>
                <w:sz w:val="15"/>
                <w:szCs w:val="15"/>
                <w:color w:val="auto"/>
              </w:rPr>
            </w:pPr>
          </w:p>
        </w:tc>
        <w:tc>
          <w:tcPr>
            <w:tcW w:w="1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18.1%</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22.6%</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line="229" w:lineRule="exact"/>
              <w:rPr>
                <w:sz w:val="20"/>
                <w:szCs w:val="20"/>
                <w:color w:val="auto"/>
              </w:rPr>
            </w:pPr>
            <w:r>
              <w:rPr>
                <w:rFonts w:ascii="Times New Roman" w:cs="Times New Roman" w:eastAsia="Times New Roman" w:hAnsi="Times New Roman"/>
                <w:sz w:val="18"/>
                <w:szCs w:val="18"/>
                <w:color w:val="auto"/>
              </w:rPr>
              <w:t xml:space="preserve">Annualized adjusted return on equity </w:t>
            </w:r>
            <w:r>
              <w:rPr>
                <w:rFonts w:ascii="Times New Roman" w:cs="Times New Roman" w:eastAsia="Times New Roman" w:hAnsi="Times New Roman"/>
                <w:sz w:val="24"/>
                <w:szCs w:val="24"/>
                <w:color w:val="auto"/>
                <w:vertAlign w:val="superscript"/>
              </w:rPr>
              <w:t>(1)</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8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Loss ratio</w:t>
            </w:r>
          </w:p>
        </w:tc>
        <w:tc>
          <w:tcPr>
            <w:tcW w:w="2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33.3%</w:t>
            </w: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23.6%</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84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Expense ratio</w:t>
            </w:r>
          </w:p>
        </w:tc>
        <w:tc>
          <w:tcPr>
            <w:tcW w:w="280" w:type="dxa"/>
            <w:vAlign w:val="bottom"/>
          </w:tcPr>
          <w:p>
            <w:pPr>
              <w:spacing w:after="0"/>
              <w:rPr>
                <w:sz w:val="13"/>
                <w:szCs w:val="13"/>
                <w:color w:val="auto"/>
              </w:rPr>
            </w:pPr>
          </w:p>
        </w:tc>
        <w:tc>
          <w:tcPr>
            <w:tcW w:w="120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51.2%</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49.5%</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8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Combined ratio</w:t>
            </w:r>
          </w:p>
        </w:tc>
        <w:tc>
          <w:tcPr>
            <w:tcW w:w="280" w:type="dxa"/>
            <w:vAlign w:val="bottom"/>
          </w:tcPr>
          <w:p>
            <w:pPr>
              <w:spacing w:after="0"/>
              <w:rPr>
                <w:sz w:val="15"/>
                <w:szCs w:val="15"/>
                <w:color w:val="auto"/>
              </w:rPr>
            </w:pPr>
          </w:p>
        </w:tc>
        <w:tc>
          <w:tcPr>
            <w:tcW w:w="1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84.5%</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73.1%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840" w:type="dxa"/>
            <w:vAlign w:val="bottom"/>
            <w:gridSpan w:val="2"/>
          </w:tcPr>
          <w:p>
            <w:pPr>
              <w:spacing w:after="0" w:line="198" w:lineRule="exact"/>
              <w:rPr>
                <w:sz w:val="20"/>
                <w:szCs w:val="20"/>
                <w:color w:val="auto"/>
              </w:rPr>
            </w:pPr>
            <w:r>
              <w:rPr>
                <w:rFonts w:ascii="Times New Roman" w:cs="Times New Roman" w:eastAsia="Times New Roman" w:hAnsi="Times New Roman"/>
                <w:sz w:val="17"/>
                <w:szCs w:val="17"/>
                <w:color w:val="auto"/>
              </w:rPr>
              <w:t xml:space="preserve">Adjusted combined ratio </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7"/>
                <w:szCs w:val="17"/>
                <w:color w:val="auto"/>
              </w:rPr>
            </w:pPr>
          </w:p>
        </w:tc>
        <w:tc>
          <w:tcPr>
            <w:tcW w:w="12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76.0%</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68.5%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8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Pr>
          <w:p>
            <w:pPr>
              <w:jc w:val="right"/>
              <w:ind w:right="90"/>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10"/>
              <w:spacing w:after="0" w:line="181" w:lineRule="exact"/>
              <w:rPr>
                <w:sz w:val="20"/>
                <w:szCs w:val="20"/>
                <w:color w:val="auto"/>
              </w:rPr>
            </w:pPr>
            <w:r>
              <w:rPr>
                <w:rFonts w:ascii="Times New Roman" w:cs="Times New Roman" w:eastAsia="Times New Roman" w:hAnsi="Times New Roman"/>
                <w:sz w:val="18"/>
                <w:szCs w:val="18"/>
                <w:color w:val="auto"/>
              </w:rPr>
              <w:t>1.57</w:t>
            </w:r>
          </w:p>
        </w:tc>
        <w:tc>
          <w:tcPr>
            <w:tcW w:w="140" w:type="dxa"/>
            <w:vAlign w:val="bottom"/>
          </w:tcPr>
          <w:p>
            <w:pPr>
              <w:spacing w:after="0"/>
              <w:rPr>
                <w:sz w:val="15"/>
                <w:szCs w:val="15"/>
                <w:color w:val="auto"/>
              </w:rPr>
            </w:pPr>
          </w:p>
        </w:tc>
        <w:tc>
          <w:tcPr>
            <w:tcW w:w="340" w:type="dxa"/>
            <w:vAlign w:val="bottom"/>
          </w:tcPr>
          <w:p>
            <w:pPr>
              <w:jc w:val="right"/>
              <w:ind w:right="150"/>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50"/>
              <w:spacing w:after="0" w:line="181" w:lineRule="exact"/>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840" w:type="dxa"/>
            <w:vAlign w:val="bottom"/>
            <w:gridSpan w:val="2"/>
          </w:tcPr>
          <w:p>
            <w:pPr>
              <w:spacing w:after="0" w:line="198" w:lineRule="exact"/>
              <w:rPr>
                <w:sz w:val="20"/>
                <w:szCs w:val="20"/>
                <w:color w:val="auto"/>
              </w:rPr>
            </w:pPr>
            <w:r>
              <w:rPr>
                <w:rFonts w:ascii="Times New Roman" w:cs="Times New Roman" w:eastAsia="Times New Roman" w:hAnsi="Times New Roman"/>
                <w:sz w:val="17"/>
                <w:szCs w:val="17"/>
                <w:color w:val="auto"/>
              </w:rPr>
              <w:t xml:space="preserve">Diluted adjusted earnings per share </w:t>
            </w:r>
            <w:r>
              <w:rPr>
                <w:rFonts w:ascii="Times New Roman" w:cs="Times New Roman" w:eastAsia="Times New Roman" w:hAnsi="Times New Roman"/>
                <w:sz w:val="22"/>
                <w:szCs w:val="22"/>
                <w:color w:val="auto"/>
                <w:vertAlign w:val="superscript"/>
              </w:rPr>
              <w:t>(1)</w:t>
            </w:r>
          </w:p>
        </w:tc>
        <w:tc>
          <w:tcPr>
            <w:tcW w:w="28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17"/>
                <w:szCs w:val="17"/>
                <w:color w:val="auto"/>
              </w:rPr>
            </w:pPr>
          </w:p>
        </w:tc>
        <w:tc>
          <w:tcPr>
            <w:tcW w:w="340" w:type="dxa"/>
            <w:vAlign w:val="bottom"/>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1.87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8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Catastrophe losses</w:t>
            </w:r>
          </w:p>
        </w:tc>
        <w:tc>
          <w:tcPr>
            <w:tcW w:w="280" w:type="dxa"/>
            <w:vAlign w:val="bottom"/>
          </w:tcPr>
          <w:p>
            <w:pPr>
              <w:jc w:val="right"/>
              <w:ind w:right="90"/>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10"/>
              <w:spacing w:after="0" w:line="181" w:lineRule="exact"/>
              <w:rPr>
                <w:sz w:val="20"/>
                <w:szCs w:val="20"/>
                <w:color w:val="auto"/>
              </w:rPr>
            </w:pPr>
            <w:r>
              <w:rPr>
                <w:rFonts w:ascii="Times New Roman" w:cs="Times New Roman" w:eastAsia="Times New Roman" w:hAnsi="Times New Roman"/>
                <w:sz w:val="18"/>
                <w:szCs w:val="18"/>
                <w:color w:val="auto"/>
              </w:rPr>
              <w:t>268</w:t>
            </w:r>
          </w:p>
        </w:tc>
        <w:tc>
          <w:tcPr>
            <w:tcW w:w="140" w:type="dxa"/>
            <w:vAlign w:val="bottom"/>
          </w:tcPr>
          <w:p>
            <w:pPr>
              <w:spacing w:after="0"/>
              <w:rPr>
                <w:sz w:val="15"/>
                <w:szCs w:val="15"/>
                <w:color w:val="auto"/>
              </w:rPr>
            </w:pPr>
          </w:p>
        </w:tc>
        <w:tc>
          <w:tcPr>
            <w:tcW w:w="340" w:type="dxa"/>
            <w:vAlign w:val="bottom"/>
          </w:tcPr>
          <w:p>
            <w:pPr>
              <w:jc w:val="right"/>
              <w:ind w:right="150"/>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70"/>
              <w:spacing w:after="0" w:line="181" w:lineRule="exact"/>
              <w:rPr>
                <w:sz w:val="20"/>
                <w:szCs w:val="20"/>
                <w:color w:val="auto"/>
              </w:rPr>
            </w:pPr>
            <w:r>
              <w:rPr>
                <w:rFonts w:ascii="Times New Roman" w:cs="Times New Roman" w:eastAsia="Times New Roman" w:hAnsi="Times New Roman"/>
                <w:sz w:val="18"/>
                <w:szCs w:val="18"/>
                <w:color w:val="auto"/>
              </w:rPr>
              <w:t>(542)</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40" w:type="dxa"/>
            <w:vAlign w:val="bottom"/>
            <w:gridSpan w:val="2"/>
          </w:tcPr>
          <w:p>
            <w:pPr>
              <w:spacing w:after="0" w:line="189" w:lineRule="exact"/>
              <w:rPr>
                <w:sz w:val="20"/>
                <w:szCs w:val="20"/>
                <w:color w:val="auto"/>
              </w:rPr>
            </w:pPr>
            <w:r>
              <w:rPr>
                <w:rFonts w:ascii="Times New Roman" w:cs="Times New Roman" w:eastAsia="Times New Roman" w:hAnsi="Times New Roman"/>
                <w:sz w:val="16"/>
                <w:szCs w:val="16"/>
                <w:color w:val="auto"/>
              </w:rPr>
              <w:t xml:space="preserve">Catastrophe loss ratio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40" w:type="dxa"/>
            <w:vAlign w:val="bottom"/>
            <w:gridSpan w:val="2"/>
          </w:tcPr>
          <w:p>
            <w:pPr>
              <w:spacing w:after="0" w:line="189" w:lineRule="exact"/>
              <w:rPr>
                <w:sz w:val="20"/>
                <w:szCs w:val="20"/>
                <w:color w:val="auto"/>
              </w:rPr>
            </w:pPr>
            <w:r>
              <w:rPr>
                <w:rFonts w:ascii="Times New Roman" w:cs="Times New Roman" w:eastAsia="Times New Roman" w:hAnsi="Times New Roman"/>
                <w:sz w:val="16"/>
                <w:szCs w:val="16"/>
                <w:color w:val="auto"/>
              </w:rPr>
              <w:t xml:space="preserve">Adjusted combined ratio excluding catastrophe losses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75.9%</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68.9%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840" w:type="dxa"/>
            <w:vAlign w:val="bottom"/>
            <w:gridSpan w:val="2"/>
          </w:tcPr>
          <w:p>
            <w:pPr>
              <w:spacing w:after="0" w:line="218" w:lineRule="exact"/>
              <w:rPr>
                <w:sz w:val="20"/>
                <w:szCs w:val="20"/>
                <w:color w:val="auto"/>
              </w:rPr>
            </w:pPr>
            <w:r>
              <w:rPr>
                <w:rFonts w:ascii="Times New Roman" w:cs="Times New Roman" w:eastAsia="Times New Roman" w:hAnsi="Times New Roman"/>
                <w:sz w:val="18"/>
                <w:szCs w:val="18"/>
                <w:color w:val="auto"/>
              </w:rPr>
              <w:t xml:space="preserve">Adjusted underwriting income </w:t>
            </w:r>
            <w:r>
              <w:rPr>
                <w:rFonts w:ascii="Times New Roman" w:cs="Times New Roman" w:eastAsia="Times New Roman" w:hAnsi="Times New Roman"/>
                <w:sz w:val="24"/>
                <w:szCs w:val="24"/>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62,776</w:t>
            </w:r>
          </w:p>
        </w:tc>
        <w:tc>
          <w:tcPr>
            <w:tcW w:w="1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51,605</w:t>
            </w:r>
          </w:p>
        </w:tc>
        <w:tc>
          <w:tcPr>
            <w:tcW w:w="3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11,171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-1431925</wp:posOffset>
            </wp:positionV>
            <wp:extent cx="7132320" cy="1200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-951865</wp:posOffset>
            </wp:positionV>
            <wp:extent cx="7132320" cy="1200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-711835</wp:posOffset>
            </wp:positionV>
            <wp:extent cx="7132320" cy="1200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200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200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-4046855</wp:posOffset>
            </wp:positionV>
            <wp:extent cx="7132320"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-3437890</wp:posOffset>
            </wp:positionV>
            <wp:extent cx="7132320"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-2829560</wp:posOffset>
            </wp:positionV>
            <wp:extent cx="939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-2829560</wp:posOffset>
            </wp:positionV>
            <wp:extent cx="939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-2829560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-2580640</wp:posOffset>
            </wp:positionV>
            <wp:extent cx="939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-2580640</wp:posOffset>
            </wp:positionV>
            <wp:extent cx="939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-2580640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-1697990</wp:posOffset>
            </wp:positionV>
            <wp:extent cx="7132320" cy="146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200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25" w:lineRule="exact"/>
        <w:rPr>
          <w:sz w:val="20"/>
          <w:szCs w:val="20"/>
          <w:color w:val="auto"/>
        </w:rPr>
      </w:pPr>
    </w:p>
    <w:p>
      <w:pPr>
        <w:ind w:left="1500" w:right="20" w:hanging="743"/>
        <w:spacing w:after="0" w:line="245" w:lineRule="exact"/>
        <w:tabs>
          <w:tab w:leader="none" w:pos="1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non-GAAP financial measure;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to their most directly comparable financial measures prepared in accordance with GAAP.</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Written Premiums</w:t>
      </w:r>
    </w:p>
    <w:p>
      <w:pPr>
        <w:spacing w:after="0" w:line="189" w:lineRule="exact"/>
        <w:rPr>
          <w:sz w:val="20"/>
          <w:szCs w:val="20"/>
          <w:color w:val="auto"/>
        </w:rPr>
      </w:pPr>
    </w:p>
    <w:p>
      <w:pPr>
        <w:ind w:right="180" w:firstLine="749"/>
        <w:spacing w:after="0" w:line="246" w:lineRule="auto"/>
        <w:rPr>
          <w:sz w:val="20"/>
          <w:szCs w:val="20"/>
          <w:color w:val="auto"/>
        </w:rPr>
      </w:pPr>
      <w:r>
        <w:rPr>
          <w:rFonts w:ascii="Times New Roman" w:cs="Times New Roman" w:eastAsia="Times New Roman" w:hAnsi="Times New Roman"/>
          <w:sz w:val="18"/>
          <w:szCs w:val="18"/>
          <w:color w:val="auto"/>
        </w:rPr>
        <w:t>Gross written premiums increased $187.7 million, or 42.4%, to $629.8 million for the three months ended March 31, 2026 compared to $442.2 million for the three months ended March 31, 2025. Premium growth was primarily due to an increased volume of policies in the majority of our lines of business, particularly in our Casualty and Inland Marine and Property lines, which was driven by new business generated with existing partners, strong premium retention rates for existing business, expansion of our distribution footprint, and new partnerships. The following table summarizes our gross written premiums by line of business and shows each line’s percentage of total gross written premiums for each period: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109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12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gridSpan w:val="2"/>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04"/>
        </w:trPr>
        <w:tc>
          <w:tcPr>
            <w:tcW w:w="3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3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vMerge w:val="continue"/>
          </w:tcPr>
          <w:p>
            <w:pPr>
              <w:spacing w:after="0"/>
              <w:rPr>
                <w:sz w:val="19"/>
                <w:szCs w:val="19"/>
                <w:color w:val="auto"/>
              </w:rPr>
            </w:pPr>
          </w:p>
        </w:tc>
        <w:tc>
          <w:tcPr>
            <w:tcW w:w="10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83"/>
        </w:trPr>
        <w:tc>
          <w:tcPr>
            <w:tcW w:w="33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Product (1)</w:t>
            </w:r>
          </w:p>
        </w:tc>
        <w:tc>
          <w:tcPr>
            <w:tcW w:w="1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Casualty</w:t>
            </w: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206,299</w:t>
            </w:r>
          </w:p>
        </w:tc>
        <w:tc>
          <w:tcPr>
            <w:tcW w:w="1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32.8%</w:t>
            </w: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133,102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30.1%</w:t>
            </w:r>
          </w:p>
        </w:tc>
        <w:tc>
          <w:tcPr>
            <w:tcW w:w="2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73,197</w:t>
            </w:r>
          </w:p>
        </w:tc>
        <w:tc>
          <w:tcPr>
            <w:tcW w:w="14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189"/>
        </w:trPr>
        <w:tc>
          <w:tcPr>
            <w:tcW w:w="332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Inland Marine and Property</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166,564</w:t>
            </w:r>
          </w:p>
        </w:tc>
        <w:tc>
          <w:tcPr>
            <w:tcW w:w="14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113,326</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53,238</w:t>
            </w:r>
          </w:p>
        </w:tc>
        <w:tc>
          <w:tcPr>
            <w:tcW w:w="14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189"/>
        </w:trPr>
        <w:tc>
          <w:tcPr>
            <w:tcW w:w="33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Earthquake</w:t>
            </w:r>
          </w:p>
        </w:tc>
        <w:tc>
          <w:tcPr>
            <w:tcW w:w="16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137,315</w:t>
            </w:r>
          </w:p>
        </w:tc>
        <w:tc>
          <w:tcPr>
            <w:tcW w:w="1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133,695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3,620</w:t>
            </w:r>
          </w:p>
        </w:tc>
        <w:tc>
          <w:tcPr>
            <w:tcW w:w="14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89"/>
        </w:trPr>
        <w:tc>
          <w:tcPr>
            <w:tcW w:w="332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Crop</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87,773</w:t>
            </w:r>
          </w:p>
        </w:tc>
        <w:tc>
          <w:tcPr>
            <w:tcW w:w="14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48,220</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39,553</w:t>
            </w:r>
          </w:p>
        </w:tc>
        <w:tc>
          <w:tcPr>
            <w:tcW w:w="14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189"/>
        </w:trPr>
        <w:tc>
          <w:tcPr>
            <w:tcW w:w="33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Surety &amp; Credit</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31,877</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13,820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18,057</w:t>
            </w:r>
          </w:p>
        </w:tc>
        <w:tc>
          <w:tcPr>
            <w:tcW w:w="14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ind w:left="40"/>
              <w:spacing w:after="0" w:line="169" w:lineRule="exact"/>
              <w:rPr>
                <w:sz w:val="20"/>
                <w:szCs w:val="20"/>
                <w:color w:val="auto"/>
              </w:rPr>
            </w:pPr>
            <w:r>
              <w:rPr>
                <w:rFonts w:ascii="Times New Roman" w:cs="Times New Roman" w:eastAsia="Times New Roman" w:hAnsi="Times New Roman"/>
                <w:sz w:val="18"/>
                <w:szCs w:val="18"/>
                <w:color w:val="auto"/>
              </w:rPr>
              <w:t>Total gross written premiums</w:t>
            </w:r>
          </w:p>
        </w:tc>
        <w:tc>
          <w:tcPr>
            <w:tcW w:w="1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629,828</w:t>
            </w: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442,163</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100.0%</w:t>
            </w:r>
          </w:p>
        </w:tc>
        <w:tc>
          <w:tcPr>
            <w:tcW w:w="260" w:type="dxa"/>
            <w:vAlign w:val="bottom"/>
            <w:gridSpan w:val="2"/>
            <w:shd w:val="clear" w:color="auto" w:fill="CFF0FC"/>
          </w:tcPr>
          <w:p>
            <w:pPr>
              <w:jc w:val="right"/>
              <w:ind w:right="6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187,665</w:t>
            </w:r>
          </w:p>
        </w:tc>
        <w:tc>
          <w:tcPr>
            <w:tcW w:w="142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77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left="760" w:right="280" w:hanging="752"/>
        <w:spacing w:after="0" w:line="25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2026, we updated the categorization of our products to align with management’s current strategy and view of the business. Prior year amounts have been reclassified for comparability purposes. The recategorization is for presentation purposes only and does not impact overall gross written premiums.</w:t>
      </w:r>
    </w:p>
    <w:p>
      <w:pPr>
        <w:spacing w:after="0" w:line="128"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our gross written premiums by insurance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-633730</wp:posOffset>
            </wp:positionV>
            <wp:extent cx="19030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109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12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gridSpan w:val="2"/>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04"/>
        </w:trPr>
        <w:tc>
          <w:tcPr>
            <w:tcW w:w="3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3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vMerge w:val="continue"/>
          </w:tcPr>
          <w:p>
            <w:pPr>
              <w:spacing w:after="0"/>
              <w:rPr>
                <w:sz w:val="19"/>
                <w:szCs w:val="19"/>
                <w:color w:val="auto"/>
              </w:rPr>
            </w:pPr>
          </w:p>
        </w:tc>
        <w:tc>
          <w:tcPr>
            <w:tcW w:w="10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83"/>
        </w:trPr>
        <w:tc>
          <w:tcPr>
            <w:tcW w:w="33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Subsidiary</w:t>
            </w:r>
          </w:p>
        </w:tc>
        <w:tc>
          <w:tcPr>
            <w:tcW w:w="1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PSIC</w:t>
            </w: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323,753</w:t>
            </w:r>
          </w:p>
        </w:tc>
        <w:tc>
          <w:tcPr>
            <w:tcW w:w="1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51.4%</w:t>
            </w: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230,917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52.2%</w:t>
            </w:r>
          </w:p>
        </w:tc>
        <w:tc>
          <w:tcPr>
            <w:tcW w:w="2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92,836</w:t>
            </w:r>
          </w:p>
        </w:tc>
        <w:tc>
          <w:tcPr>
            <w:tcW w:w="14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189"/>
        </w:trPr>
        <w:tc>
          <w:tcPr>
            <w:tcW w:w="332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PESIC</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270,070</w:t>
            </w:r>
          </w:p>
        </w:tc>
        <w:tc>
          <w:tcPr>
            <w:tcW w:w="14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42.9%</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190,786</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43.1%</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79,284</w:t>
            </w:r>
          </w:p>
        </w:tc>
        <w:tc>
          <w:tcPr>
            <w:tcW w:w="14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189"/>
        </w:trPr>
        <w:tc>
          <w:tcPr>
            <w:tcW w:w="33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Laulima</w:t>
            </w:r>
          </w:p>
        </w:tc>
        <w:tc>
          <w:tcPr>
            <w:tcW w:w="16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18,671</w:t>
            </w:r>
          </w:p>
        </w:tc>
        <w:tc>
          <w:tcPr>
            <w:tcW w:w="1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16,037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2,634</w:t>
            </w:r>
          </w:p>
        </w:tc>
        <w:tc>
          <w:tcPr>
            <w:tcW w:w="14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189"/>
        </w:trPr>
        <w:tc>
          <w:tcPr>
            <w:tcW w:w="332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PCSC</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12,421</w:t>
            </w:r>
          </w:p>
        </w:tc>
        <w:tc>
          <w:tcPr>
            <w:tcW w:w="14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80" w:type="dxa"/>
            <w:vAlign w:val="bottom"/>
            <w:gridSpan w:val="3"/>
            <w:shd w:val="clear" w:color="auto" w:fill="CFF0FC"/>
          </w:tcPr>
          <w:p>
            <w:pPr>
              <w:jc w:val="right"/>
              <w:ind w:right="4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12,421</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3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FIA</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4,913</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4,423</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490</w:t>
            </w:r>
          </w:p>
        </w:tc>
        <w:tc>
          <w:tcPr>
            <w:tcW w:w="14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ind w:left="40"/>
              <w:spacing w:after="0" w:line="169" w:lineRule="exact"/>
              <w:rPr>
                <w:sz w:val="20"/>
                <w:szCs w:val="20"/>
                <w:color w:val="auto"/>
              </w:rPr>
            </w:pPr>
            <w:r>
              <w:rPr>
                <w:rFonts w:ascii="Times New Roman" w:cs="Times New Roman" w:eastAsia="Times New Roman" w:hAnsi="Times New Roman"/>
                <w:sz w:val="18"/>
                <w:szCs w:val="18"/>
                <w:color w:val="auto"/>
              </w:rPr>
              <w:t>Total gross written premiums</w:t>
            </w:r>
          </w:p>
        </w:tc>
        <w:tc>
          <w:tcPr>
            <w:tcW w:w="1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629,828</w:t>
            </w: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442,163</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100.0%</w:t>
            </w:r>
          </w:p>
        </w:tc>
        <w:tc>
          <w:tcPr>
            <w:tcW w:w="260" w:type="dxa"/>
            <w:vAlign w:val="bottom"/>
            <w:gridSpan w:val="2"/>
            <w:shd w:val="clear" w:color="auto" w:fill="CFF0FC"/>
          </w:tcPr>
          <w:p>
            <w:pPr>
              <w:jc w:val="right"/>
              <w:ind w:right="6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187,665</w:t>
            </w:r>
          </w:p>
        </w:tc>
        <w:tc>
          <w:tcPr>
            <w:tcW w:w="142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Written Premiums</w:t>
      </w:r>
    </w:p>
    <w:p>
      <w:pPr>
        <w:spacing w:after="0" w:line="189" w:lineRule="exact"/>
        <w:rPr>
          <w:sz w:val="20"/>
          <w:szCs w:val="20"/>
          <w:color w:val="auto"/>
        </w:rPr>
      </w:pPr>
    </w:p>
    <w:p>
      <w:pPr>
        <w:jc w:val="both"/>
        <w:ind w:right="200" w:firstLine="749"/>
        <w:spacing w:after="0" w:line="258" w:lineRule="auto"/>
        <w:rPr>
          <w:sz w:val="20"/>
          <w:szCs w:val="20"/>
          <w:color w:val="auto"/>
        </w:rPr>
      </w:pPr>
      <w:r>
        <w:rPr>
          <w:rFonts w:ascii="Times New Roman" w:cs="Times New Roman" w:eastAsia="Times New Roman" w:hAnsi="Times New Roman"/>
          <w:sz w:val="18"/>
          <w:szCs w:val="18"/>
          <w:color w:val="auto"/>
        </w:rPr>
        <w:t>Ceded written premiums increased $61.2 million, or 26.5%, to $291.9 million for the three months ended March 31, 2026 from $230.7 million for the three months ended March 31, 2025. The increase in ceded written premium was primarily driven by growth in written premiums subject to quota share arrangements, such as those in Casualty and Inland Marine and Property lines.</w:t>
      </w:r>
    </w:p>
    <w:p>
      <w:pPr>
        <w:spacing w:after="0" w:line="129" w:lineRule="exact"/>
        <w:rPr>
          <w:sz w:val="20"/>
          <w:szCs w:val="20"/>
          <w:color w:val="auto"/>
        </w:rPr>
      </w:pPr>
    </w:p>
    <w:p>
      <w:pPr>
        <w:ind w:right="360" w:firstLine="749"/>
        <w:spacing w:after="0" w:line="250" w:lineRule="auto"/>
        <w:rPr>
          <w:sz w:val="20"/>
          <w:szCs w:val="20"/>
          <w:color w:val="auto"/>
        </w:rPr>
      </w:pPr>
      <w:r>
        <w:rPr>
          <w:rFonts w:ascii="Times New Roman" w:cs="Times New Roman" w:eastAsia="Times New Roman" w:hAnsi="Times New Roman"/>
          <w:sz w:val="18"/>
          <w:szCs w:val="18"/>
          <w:color w:val="auto"/>
        </w:rPr>
        <w:t>Although our volume of ceded written premiums increased, ceded written premiums as a percentage of gross written premiums decreased to 46.3% for the three months ended March 31, 2026 from 52.2% for the three months ended March 31, 2025. This percentage decrease was driven by changes in our composition of business whereby premiums written in the current period were subject to lower quota share or XOL cession percentages compared to premiums written in the prior period.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Written Premiums</w:t>
      </w:r>
    </w:p>
    <w:p>
      <w:pPr>
        <w:spacing w:after="0" w:line="175"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Net written premiums increased $126.5 million, or 59.8%, to $337.9 million for the three months ended March 31, 2026 from $211.4 million for the three months ended March 31, 2025. The increase was primarily due to an increase in gross written premiums, primarily in our Casualty and Inland Marine and Property lines, partially offset by increased ceded written premiums.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Earned Premiums</w:t>
      </w:r>
    </w:p>
    <w:p>
      <w:pPr>
        <w:spacing w:after="0" w:line="189"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8"/>
          <w:szCs w:val="18"/>
          <w:color w:val="auto"/>
        </w:rPr>
        <w:t>Net earned premiums increased $97.4 million, or 59.3%, to $261.4 million for the three months ended March 31, 2026 from $164.1 million for the three months ended March 31, 2025 due primarily to the earning of increased gross written premiums partially offset by the earning of ceded written premiums under reinsurance agreements. The following table shows the amount of premiums we earned on a gross and net basis and net earned premiums as a percentage of gross earned premiums in each period presented: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19"/>
                <w:szCs w:val="19"/>
                <w:color w:val="auto"/>
              </w:rPr>
            </w:pPr>
          </w:p>
        </w:tc>
        <w:tc>
          <w:tcPr>
            <w:tcW w:w="13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3"/>
        </w:trPr>
        <w:tc>
          <w:tcPr>
            <w:tcW w:w="5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gridSpan w:val="4"/>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Gross earned premiums</w:t>
            </w:r>
          </w:p>
        </w:tc>
        <w:tc>
          <w:tcPr>
            <w:tcW w:w="2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503,873</w:t>
            </w:r>
          </w:p>
        </w:tc>
        <w:tc>
          <w:tcPr>
            <w:tcW w:w="44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375,776</w:t>
            </w:r>
          </w:p>
        </w:tc>
        <w:tc>
          <w:tcPr>
            <w:tcW w:w="30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128,097</w:t>
            </w:r>
          </w:p>
        </w:tc>
        <w:tc>
          <w:tcPr>
            <w:tcW w:w="14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189"/>
        </w:trPr>
        <w:tc>
          <w:tcPr>
            <w:tcW w:w="5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Ceded earned premiums</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(242,435)</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(211,706)</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(30,729)</w:t>
            </w:r>
          </w:p>
        </w:tc>
        <w:tc>
          <w:tcPr>
            <w:tcW w:w="14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Net earned premiums</w:t>
            </w:r>
          </w:p>
        </w:tc>
        <w:tc>
          <w:tcPr>
            <w:tcW w:w="240" w:type="dxa"/>
            <w:vAlign w:val="bottom"/>
            <w:shd w:val="clear" w:color="auto" w:fill="CFF0FC"/>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261,438</w:t>
            </w:r>
          </w:p>
        </w:tc>
        <w:tc>
          <w:tcPr>
            <w:tcW w:w="440" w:type="dxa"/>
            <w:vAlign w:val="bottom"/>
            <w:gridSpan w:val="2"/>
            <w:shd w:val="clear" w:color="auto" w:fill="CFF0FC"/>
          </w:tcPr>
          <w:p>
            <w:pPr>
              <w:jc w:val="right"/>
              <w:ind w:right="2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164,070</w:t>
            </w:r>
          </w:p>
        </w:tc>
        <w:tc>
          <w:tcPr>
            <w:tcW w:w="300" w:type="dxa"/>
            <w:vAlign w:val="bottom"/>
            <w:gridSpan w:val="2"/>
            <w:shd w:val="clear" w:color="auto" w:fill="CFF0FC"/>
          </w:tcPr>
          <w:p>
            <w:pPr>
              <w:jc w:val="right"/>
              <w:ind w:right="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97,368</w:t>
            </w:r>
          </w:p>
        </w:tc>
        <w:tc>
          <w:tcPr>
            <w:tcW w:w="148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170"/>
        </w:trPr>
        <w:tc>
          <w:tcPr>
            <w:tcW w:w="570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3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earned premium ratio</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51.9%</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-264795</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-247650</wp:posOffset>
            </wp:positionV>
            <wp:extent cx="857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-264795</wp:posOffset>
            </wp:positionV>
            <wp:extent cx="85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-247650</wp:posOffset>
            </wp:positionV>
            <wp:extent cx="85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-264795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Our net earned premium ratio increased due to changes in our composition of business whereby premiums earned in the current period were subject to lower quota share or XOL cession percentages compared to premiums earned in the prior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Other Income</w:t>
      </w:r>
    </w:p>
    <w:p>
      <w:pPr>
        <w:spacing w:after="0" w:line="175" w:lineRule="exact"/>
        <w:rPr>
          <w:sz w:val="20"/>
          <w:szCs w:val="20"/>
          <w:color w:val="auto"/>
        </w:rPr>
      </w:pPr>
    </w:p>
    <w:p>
      <w:pPr>
        <w:ind w:right="120" w:firstLine="749"/>
        <w:spacing w:after="0" w:line="296" w:lineRule="auto"/>
        <w:rPr>
          <w:sz w:val="20"/>
          <w:szCs w:val="20"/>
          <w:color w:val="auto"/>
        </w:rPr>
      </w:pPr>
      <w:r>
        <w:rPr>
          <w:rFonts w:ascii="Times New Roman" w:cs="Times New Roman" w:eastAsia="Times New Roman" w:hAnsi="Times New Roman"/>
          <w:sz w:val="17"/>
          <w:szCs w:val="17"/>
          <w:color w:val="auto"/>
        </w:rPr>
        <w:t>Commission and other income increased $0.6 million to $1.4 million for the three months ended March 31, 2026 from $0.8 million for the three months ended March 31, 2025. The balance increased due to an increase in commissions and policy related fees driven by increased premiums written.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Losses and loss adjustment expenses increased $48.4 million, or 124.8%, to $87.1 million for the three months ended March 31, 2026 from $38.7 million for the three months ended March 31, 2025. Losses and loss adjustment expenses consisted of the following elements during the respective periods: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9"/>
                <w:szCs w:val="19"/>
                <w:color w:val="auto"/>
              </w:rPr>
            </w:pPr>
          </w:p>
        </w:tc>
        <w:tc>
          <w:tcPr>
            <w:tcW w:w="13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3"/>
        </w:trPr>
        <w:tc>
          <w:tcPr>
            <w:tcW w:w="4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4"/>
          </w:tcPr>
          <w:p>
            <w:pPr>
              <w:jc w:val="right"/>
              <w:ind w:right="710"/>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Catastrophe losses</w:t>
            </w:r>
          </w:p>
        </w:tc>
        <w:tc>
          <w:tcPr>
            <w:tcW w:w="156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268</w:t>
            </w:r>
          </w:p>
        </w:tc>
        <w:tc>
          <w:tcPr>
            <w:tcW w:w="44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(542)</w:t>
            </w:r>
          </w:p>
        </w:tc>
        <w:tc>
          <w:tcPr>
            <w:tcW w:w="300" w:type="dxa"/>
            <w:vAlign w:val="bottom"/>
            <w:gridSpan w:val="2"/>
            <w:shd w:val="clear" w:color="auto" w:fill="CFF0FC"/>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810</w:t>
            </w:r>
          </w:p>
        </w:tc>
        <w:tc>
          <w:tcPr>
            <w:tcW w:w="146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149.4%</w:t>
            </w:r>
          </w:p>
        </w:tc>
        <w:tc>
          <w:tcPr>
            <w:tcW w:w="0" w:type="dxa"/>
            <w:vAlign w:val="bottom"/>
          </w:tcPr>
          <w:p>
            <w:pPr>
              <w:spacing w:after="0"/>
              <w:rPr>
                <w:sz w:val="1"/>
                <w:szCs w:val="1"/>
                <w:color w:val="auto"/>
              </w:rPr>
            </w:pPr>
          </w:p>
        </w:tc>
      </w:tr>
      <w:tr>
        <w:trPr>
          <w:trHeight w:val="189"/>
        </w:trPr>
        <w:tc>
          <w:tcPr>
            <w:tcW w:w="4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Non-catastrophe losses</w:t>
            </w:r>
          </w:p>
        </w:tc>
        <w:tc>
          <w:tcPr>
            <w:tcW w:w="1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86,829</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39,285</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47,544</w:t>
            </w:r>
          </w:p>
        </w:tc>
        <w:tc>
          <w:tcPr>
            <w:tcW w:w="14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23"/>
        </w:trPr>
        <w:tc>
          <w:tcPr>
            <w:tcW w:w="434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Total losses and loss adjustment expenses</w:t>
            </w:r>
          </w:p>
        </w:tc>
        <w:tc>
          <w:tcPr>
            <w:tcW w:w="1560" w:type="dxa"/>
            <w:vAlign w:val="bottom"/>
            <w:gridSpan w:val="2"/>
            <w:shd w:val="clear" w:color="auto" w:fill="CFF0FC"/>
          </w:tcPr>
          <w:p>
            <w:pPr>
              <w:jc w:val="right"/>
              <w:ind w:right="1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87,097</w:t>
            </w:r>
          </w:p>
        </w:tc>
        <w:tc>
          <w:tcPr>
            <w:tcW w:w="440" w:type="dxa"/>
            <w:vAlign w:val="bottom"/>
            <w:gridSpan w:val="2"/>
            <w:shd w:val="clear" w:color="auto" w:fill="CFF0FC"/>
          </w:tcPr>
          <w:p>
            <w:pPr>
              <w:jc w:val="right"/>
              <w:ind w:right="2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38,743</w:t>
            </w:r>
          </w:p>
        </w:tc>
        <w:tc>
          <w:tcPr>
            <w:tcW w:w="300" w:type="dxa"/>
            <w:vAlign w:val="bottom"/>
            <w:gridSpan w:val="2"/>
            <w:shd w:val="clear" w:color="auto" w:fill="CFF0FC"/>
          </w:tcPr>
          <w:p>
            <w:pPr>
              <w:jc w:val="right"/>
              <w:ind w:right="6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48,354</w:t>
            </w:r>
          </w:p>
        </w:tc>
        <w:tc>
          <w:tcPr>
            <w:tcW w:w="146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170"/>
        </w:trPr>
        <w:tc>
          <w:tcPr>
            <w:tcW w:w="4340" w:type="dxa"/>
            <w:vAlign w:val="bottom"/>
            <w:tcBorders>
              <w:top w:val="single" w:sz="8" w:color="CFF0FC"/>
            </w:tcBorders>
          </w:tcPr>
          <w:p>
            <w:pPr>
              <w:spacing w:after="0"/>
              <w:rPr>
                <w:sz w:val="14"/>
                <w:szCs w:val="14"/>
                <w:color w:val="auto"/>
              </w:rPr>
            </w:pPr>
          </w:p>
        </w:tc>
        <w:tc>
          <w:tcPr>
            <w:tcW w:w="132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3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Catastrophe loss ratio</w:t>
            </w:r>
          </w:p>
        </w:tc>
        <w:tc>
          <w:tcPr>
            <w:tcW w:w="13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Non-catastrophe loss ratio</w:t>
            </w:r>
          </w:p>
        </w:tc>
        <w:tc>
          <w:tcPr>
            <w:tcW w:w="1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33.2%</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23.9%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4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loss ratio</w:t>
            </w:r>
          </w:p>
        </w:tc>
        <w:tc>
          <w:tcPr>
            <w:tcW w:w="1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33.3%</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23.6%</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-539115</wp:posOffset>
            </wp:positionV>
            <wp:extent cx="857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-521970</wp:posOffset>
            </wp:positionV>
            <wp:extent cx="857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-539115</wp:posOffset>
            </wp:positionV>
            <wp:extent cx="857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-521970</wp:posOffset>
            </wp:positionV>
            <wp:extent cx="857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-539115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-521970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857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857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857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4"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Catastrophe loss activity for the quarter ended March 31, 2026 was primarily related to Hawaii flood activity offset by favorable development on prior period catastrophe events.</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Catastrophe loss activity for the quarter ended March 31, 2025 was related to favorable development on prior period catastrophe events.</w:t>
      </w:r>
    </w:p>
    <w:p>
      <w:pPr>
        <w:spacing w:after="0" w:line="185" w:lineRule="exact"/>
        <w:rPr>
          <w:sz w:val="20"/>
          <w:szCs w:val="20"/>
          <w:color w:val="auto"/>
        </w:rPr>
      </w:pPr>
    </w:p>
    <w:p>
      <w:pPr>
        <w:jc w:val="both"/>
        <w:ind w:right="60" w:firstLine="749"/>
        <w:spacing w:after="0" w:line="250" w:lineRule="auto"/>
        <w:rPr>
          <w:sz w:val="20"/>
          <w:szCs w:val="20"/>
          <w:color w:val="auto"/>
        </w:rPr>
      </w:pPr>
      <w:r>
        <w:rPr>
          <w:rFonts w:ascii="Times New Roman" w:cs="Times New Roman" w:eastAsia="Times New Roman" w:hAnsi="Times New Roman"/>
          <w:sz w:val="18"/>
          <w:szCs w:val="18"/>
          <w:color w:val="auto"/>
        </w:rPr>
        <w:t>Non-catastrophe losses increased for the three months ended March 31, 2026 compared to the three months ended March 31, 2025 due mainly to higher attritional losses driven by premium growth on lines of business subject to attritional losses such as Casualty, Crop, and Inland Marine and Property and due to our decision to retain a higher percentage of premiums and losses on our Crop business in 2026.</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Expenses</w:t>
      </w:r>
    </w:p>
    <w:p>
      <w:pPr>
        <w:spacing w:after="0" w:line="189"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18"/>
          <w:szCs w:val="18"/>
          <w:color w:val="auto"/>
        </w:rPr>
        <w:t>Acquisition expenses increased $24.0 million, or 51.7%, to $70.3 million for the three months ended March 31, 2026 from $46.4 million for the three months ended March 31, 2025. The increase was primarily due to higher commissions and premium-related taxes resulting from higher gross earned premiums. Acquisition expenses as a percentage of gross earned premiums were 14.0% for the three months ended March 31, 2026 compared to 12.3% for the three months ended March 31, 2025. Acquisition expenses as a percentage of gross earned premiums increased due to higher commissions as a percentage of gross earned premiums due to changes in the composition of our business.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Expenses</w:t>
      </w:r>
    </w:p>
    <w:p>
      <w:pPr>
        <w:spacing w:after="0" w:line="175"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Other underwriting expenses increased $29.2 million, or 81.6%, to $64.9 million for the three months ended March 31, 2026 from $35.7 million for the three months ended March 31, 2025. The increase was primarily due to us incurring higher payroll, technology, and stock-based compensation expenses associated with general growth.</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underwriting expenses as a percentage of gross earned premiums were 12.9% for the three months ended March 31, 2026 compared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 for the three months ended March 31, 2025. Excluding the impact of expenses relating to transactions, stock-based compensation, and amortization of</w:t>
      </w:r>
    </w:p>
    <w:p>
      <w:pPr>
        <w:spacing w:after="0" w:line="234" w:lineRule="auto"/>
        <w:rPr>
          <w:sz w:val="20"/>
          <w:szCs w:val="20"/>
          <w:color w:val="auto"/>
        </w:rPr>
      </w:pPr>
      <w:r>
        <w:rPr>
          <w:rFonts w:ascii="Times New Roman" w:cs="Times New Roman" w:eastAsia="Times New Roman" w:hAnsi="Times New Roman"/>
          <w:sz w:val="18"/>
          <w:szCs w:val="18"/>
          <w:color w:val="auto"/>
        </w:rPr>
        <w:t>intangibles, other underwriting expenses as a percentage of gross earned premiums were 8.5% for the three months ended March 31, 2026 compared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 for the three months ended March 31, 2025. Other underwriting expenses as a percentage of gross earned premiums fluctuates period over period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timing of certain expenses relative to premium growth.</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 and Net Realized and Unrealized Gains (Losses) on Investments</w:t>
      </w:r>
    </w:p>
    <w:p>
      <w:pPr>
        <w:spacing w:after="0" w:line="189" w:lineRule="exact"/>
        <w:rPr>
          <w:sz w:val="20"/>
          <w:szCs w:val="20"/>
          <w:color w:val="auto"/>
        </w:rPr>
      </w:pPr>
    </w:p>
    <w:p>
      <w:pPr>
        <w:jc w:val="both"/>
        <w:ind w:right="80" w:firstLine="749"/>
        <w:spacing w:after="0" w:line="258" w:lineRule="auto"/>
        <w:rPr>
          <w:sz w:val="20"/>
          <w:szCs w:val="20"/>
          <w:color w:val="auto"/>
        </w:rPr>
      </w:pPr>
      <w:r>
        <w:rPr>
          <w:rFonts w:ascii="Times New Roman" w:cs="Times New Roman" w:eastAsia="Times New Roman" w:hAnsi="Times New Roman"/>
          <w:sz w:val="18"/>
          <w:szCs w:val="18"/>
          <w:color w:val="auto"/>
        </w:rPr>
        <w:t>Net investment income increased $5.9 million, or 49.0%, to $18.0 million for the three months ended March 31, 2026 from $12.1 million for the three months ended March 31, 2025. The increase was primarily due to a higher average balance of investments during the three months ended March 31, 2026 due to the investing of cash generated from operations and higher yields on invested assets versus the prior year.</w:t>
      </w:r>
    </w:p>
    <w:p>
      <w:pPr>
        <w:spacing w:after="0" w:line="129"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8"/>
          <w:szCs w:val="18"/>
          <w:color w:val="auto"/>
        </w:rPr>
        <w:t>We incurred $1.9 million of net realized and unrealized losses on investments for the three months ended March 31, 2026 compared to $2.3 million of net realized and unrealized losses for the three months ended March 31, 2025. In both periods, the balance was primarily driven by unrealized losses on our equity securities. Unrealized gains and losses on fixed maturity securities are recognized as a component of other comprehensive income and do not impact our net income. The following table summarizes the components of our investment income for each period presented: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9"/>
                <w:szCs w:val="19"/>
                <w:color w:val="auto"/>
              </w:rPr>
            </w:pPr>
          </w:p>
        </w:tc>
        <w:tc>
          <w:tcPr>
            <w:tcW w:w="14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3"/>
        </w:trPr>
        <w:tc>
          <w:tcPr>
            <w:tcW w:w="5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80" w:type="dxa"/>
            <w:vAlign w:val="bottom"/>
            <w:gridSpan w:val="4"/>
          </w:tcPr>
          <w:p>
            <w:pPr>
              <w:jc w:val="right"/>
              <w:ind w:right="650"/>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17,308</w:t>
            </w:r>
          </w:p>
        </w:tc>
        <w:tc>
          <w:tcPr>
            <w:tcW w:w="46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11,965</w:t>
            </w:r>
          </w:p>
        </w:tc>
        <w:tc>
          <w:tcPr>
            <w:tcW w:w="32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5,343</w:t>
            </w:r>
          </w:p>
        </w:tc>
        <w:tc>
          <w:tcPr>
            <w:tcW w:w="15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189"/>
        </w:trPr>
        <w:tc>
          <w:tcPr>
            <w:tcW w:w="5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Dividend income</w:t>
            </w:r>
          </w:p>
        </w:tc>
        <w:tc>
          <w:tcPr>
            <w:tcW w:w="24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970</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317</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653</w:t>
            </w:r>
          </w:p>
        </w:tc>
        <w:tc>
          <w:tcPr>
            <w:tcW w:w="15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189"/>
        </w:trPr>
        <w:tc>
          <w:tcPr>
            <w:tcW w:w="574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Investment management fees and expenses</w:t>
            </w:r>
          </w:p>
        </w:tc>
        <w:tc>
          <w:tcPr>
            <w:tcW w:w="2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(294)</w:t>
            </w:r>
          </w:p>
        </w:tc>
        <w:tc>
          <w:tcPr>
            <w:tcW w:w="14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1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(83)</w:t>
            </w:r>
          </w:p>
        </w:tc>
        <w:tc>
          <w:tcPr>
            <w:tcW w:w="1520" w:type="dxa"/>
            <w:vAlign w:val="bottom"/>
            <w:tcBorders>
              <w:bottom w:val="single" w:sz="8" w:color="CFF0FC"/>
            </w:tcBorders>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183"/>
        </w:trPr>
        <w:tc>
          <w:tcPr>
            <w:tcW w:w="57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17,984</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12,071</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5,913</w:t>
            </w:r>
          </w:p>
        </w:tc>
        <w:tc>
          <w:tcPr>
            <w:tcW w:w="152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183"/>
        </w:trPr>
        <w:tc>
          <w:tcPr>
            <w:tcW w:w="574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Net realized and unrealized losses on investments</w:t>
            </w:r>
          </w:p>
        </w:tc>
        <w:tc>
          <w:tcPr>
            <w:tcW w:w="2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(1,894)</w:t>
            </w:r>
          </w:p>
        </w:tc>
        <w:tc>
          <w:tcPr>
            <w:tcW w:w="1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(2,338)</w:t>
            </w: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444</w:t>
            </w:r>
          </w:p>
        </w:tc>
        <w:tc>
          <w:tcPr>
            <w:tcW w:w="15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183"/>
        </w:trPr>
        <w:tc>
          <w:tcPr>
            <w:tcW w:w="57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16,090</w:t>
            </w:r>
          </w:p>
        </w:tc>
        <w:tc>
          <w:tcPr>
            <w:tcW w:w="460" w:type="dxa"/>
            <w:vAlign w:val="bottom"/>
            <w:gridSpan w:val="2"/>
          </w:tcPr>
          <w:p>
            <w:pPr>
              <w:jc w:val="right"/>
              <w:ind w:right="2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9,733</w:t>
            </w:r>
          </w:p>
        </w:tc>
        <w:tc>
          <w:tcPr>
            <w:tcW w:w="320" w:type="dxa"/>
            <w:vAlign w:val="bottom"/>
            <w:gridSpan w:val="2"/>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6,357</w:t>
            </w:r>
          </w:p>
        </w:tc>
        <w:tc>
          <w:tcPr>
            <w:tcW w:w="152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-410845</wp:posOffset>
            </wp:positionV>
            <wp:extent cx="857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-410845</wp:posOffset>
            </wp:positionV>
            <wp:extent cx="857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-410845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-153670</wp:posOffset>
            </wp:positionV>
            <wp:extent cx="857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-153670</wp:posOffset>
            </wp:positionV>
            <wp:extent cx="857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-153670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89"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Income tax expense decreased $0.3 million to $10.5 million for the three months ended March 31, 2026 from $10.8 million for the three months ended March 31, 2025 due to lower pre-tax income for the period ended March 31, 2026. For the three months ended March 31, 2026 and 2025 our income tax rates of 19.7% and 20.1%, respectively, were lower than the statutory rate of 21% due primarily to the tax impact of the permanent component of employee stock option exercises, offset by non-deductible executive compensation expense.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GAAP Financial Measures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Revenue</w:t>
      </w:r>
    </w:p>
    <w:p>
      <w:pPr>
        <w:spacing w:after="0" w:line="175" w:lineRule="exact"/>
        <w:rPr>
          <w:sz w:val="20"/>
          <w:szCs w:val="20"/>
          <w:color w:val="auto"/>
        </w:rPr>
      </w:pPr>
    </w:p>
    <w:p>
      <w:pPr>
        <w:ind w:right="180" w:firstLine="749"/>
        <w:spacing w:after="0" w:line="250" w:lineRule="auto"/>
        <w:rPr>
          <w:sz w:val="20"/>
          <w:szCs w:val="20"/>
          <w:color w:val="auto"/>
        </w:rPr>
      </w:pPr>
      <w:r>
        <w:rPr>
          <w:rFonts w:ascii="Times New Roman" w:cs="Times New Roman" w:eastAsia="Times New Roman" w:hAnsi="Times New Roman"/>
          <w:sz w:val="18"/>
          <w:szCs w:val="18"/>
          <w:color w:val="auto"/>
        </w:rPr>
        <w:t>We define underwriting revenue as total revenue excluding net investment income and net realized and unrealized gains and losses on investments. Underwriting revenue represents revenue generated by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revenue should not be viewed as a substitute for total revenue calculated in accordance with GAAP, and other companies may define underwriting revenue differently.</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Total revenue calculated in accordance with GAAP reconciles to underwriting revenue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00" w:type="dxa"/>
            <w:vAlign w:val="bottom"/>
          </w:tcPr>
          <w:p>
            <w:pPr>
              <w:spacing w:after="0"/>
              <w:rPr>
                <w:sz w:val="17"/>
                <w:szCs w:val="17"/>
                <w:color w:val="auto"/>
              </w:rPr>
            </w:pPr>
          </w:p>
        </w:tc>
      </w:tr>
      <w:tr>
        <w:trPr>
          <w:trHeight w:val="225"/>
        </w:trPr>
        <w:tc>
          <w:tcPr>
            <w:tcW w:w="7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00" w:type="dxa"/>
            <w:vAlign w:val="bottom"/>
            <w:tcBorders>
              <w:bottom w:val="single" w:sz="8" w:color="auto"/>
            </w:tcBorders>
          </w:tcPr>
          <w:p>
            <w:pPr>
              <w:spacing w:after="0"/>
              <w:rPr>
                <w:sz w:val="19"/>
                <w:szCs w:val="19"/>
                <w:color w:val="auto"/>
              </w:rPr>
            </w:pPr>
          </w:p>
        </w:tc>
      </w:tr>
      <w:tr>
        <w:trPr>
          <w:trHeight w:val="18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5"/>
                <w:szCs w:val="15"/>
                <w:color w:val="auto"/>
              </w:rPr>
            </w:pPr>
          </w:p>
        </w:tc>
      </w:tr>
      <w:tr>
        <w:trPr>
          <w:trHeight w:val="18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b w:val="1"/>
                <w:bCs w:val="1"/>
                <w:color w:val="auto"/>
              </w:rPr>
              <w:t>($ in</w:t>
            </w:r>
          </w:p>
        </w:tc>
        <w:tc>
          <w:tcPr>
            <w:tcW w:w="1140" w:type="dxa"/>
            <w:vAlign w:val="bottom"/>
            <w:gridSpan w:val="2"/>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w w:val="73"/>
              </w:rPr>
              <w:t>thousands)</w:t>
            </w:r>
          </w:p>
        </w:tc>
        <w:tc>
          <w:tcPr>
            <w:tcW w:w="700" w:type="dxa"/>
            <w:vAlign w:val="bottom"/>
          </w:tcPr>
          <w:p>
            <w:pPr>
              <w:spacing w:after="0"/>
              <w:rPr>
                <w:sz w:val="15"/>
                <w:szCs w:val="15"/>
                <w:color w:val="auto"/>
              </w:rPr>
            </w:pPr>
          </w:p>
        </w:tc>
      </w:tr>
      <w:tr>
        <w:trPr>
          <w:trHeight w:val="189"/>
        </w:trPr>
        <w:tc>
          <w:tcPr>
            <w:tcW w:w="7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Total revenue</w:t>
            </w:r>
          </w:p>
        </w:tc>
        <w:tc>
          <w:tcPr>
            <w:tcW w:w="960" w:type="dxa"/>
            <w:vAlign w:val="bottom"/>
            <w:gridSpan w:val="2"/>
            <w:shd w:val="clear" w:color="auto" w:fill="CFF0FC"/>
          </w:tcPr>
          <w:p>
            <w:pPr>
              <w:jc w:val="right"/>
              <w:ind w:right="7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95"/>
              </w:rPr>
              <w:t>278,938</w:t>
            </w:r>
          </w:p>
        </w:tc>
        <w:tc>
          <w:tcPr>
            <w:tcW w:w="1140" w:type="dxa"/>
            <w:vAlign w:val="bottom"/>
            <w:gridSpan w:val="2"/>
            <w:shd w:val="clear" w:color="auto" w:fill="CFF0FC"/>
          </w:tcPr>
          <w:p>
            <w:pPr>
              <w:jc w:val="right"/>
              <w:ind w:right="7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95"/>
              </w:rPr>
              <w:t>174,633</w:t>
            </w: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investment income</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(17,984)</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(12,071)</w:t>
            </w:r>
          </w:p>
        </w:tc>
      </w:tr>
      <w:tr>
        <w:trPr>
          <w:trHeight w:val="189"/>
        </w:trPr>
        <w:tc>
          <w:tcPr>
            <w:tcW w:w="774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realized and unrealized losses on investments</w:t>
            </w:r>
          </w:p>
        </w:tc>
        <w:tc>
          <w:tcPr>
            <w:tcW w:w="2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1,894</w:t>
            </w:r>
          </w:p>
        </w:tc>
        <w:tc>
          <w:tcPr>
            <w:tcW w:w="18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2,338</w:t>
            </w:r>
          </w:p>
        </w:tc>
      </w:tr>
      <w:tr>
        <w:trPr>
          <w:trHeight w:val="183"/>
        </w:trPr>
        <w:tc>
          <w:tcPr>
            <w:tcW w:w="77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Underwriting revenue</w:t>
            </w:r>
          </w:p>
        </w:tc>
        <w:tc>
          <w:tcPr>
            <w:tcW w:w="960" w:type="dxa"/>
            <w:vAlign w:val="bottom"/>
            <w:gridSpan w:val="2"/>
          </w:tcPr>
          <w:p>
            <w:pPr>
              <w:jc w:val="right"/>
              <w:ind w:right="7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95"/>
              </w:rPr>
              <w:t>262,848</w:t>
            </w:r>
          </w:p>
        </w:tc>
        <w:tc>
          <w:tcPr>
            <w:tcW w:w="1140" w:type="dxa"/>
            <w:vAlign w:val="bottom"/>
            <w:gridSpan w:val="2"/>
          </w:tcPr>
          <w:p>
            <w:pPr>
              <w:jc w:val="right"/>
              <w:ind w:right="7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95"/>
              </w:rPr>
              <w:t>164,900</w:t>
            </w: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-153670</wp:posOffset>
            </wp:positionV>
            <wp:extent cx="1111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Income and Adjusted Underwriting Income</w:t>
      </w:r>
    </w:p>
    <w:p>
      <w:pPr>
        <w:spacing w:after="0" w:line="189" w:lineRule="exact"/>
        <w:rPr>
          <w:sz w:val="20"/>
          <w:szCs w:val="20"/>
          <w:color w:val="auto"/>
        </w:rPr>
      </w:pPr>
    </w:p>
    <w:p>
      <w:pPr>
        <w:ind w:right="40" w:firstLine="749"/>
        <w:spacing w:after="0" w:line="212" w:lineRule="exact"/>
        <w:rPr>
          <w:sz w:val="20"/>
          <w:szCs w:val="20"/>
          <w:color w:val="auto"/>
        </w:rPr>
      </w:pPr>
      <w:r>
        <w:rPr>
          <w:rFonts w:ascii="Times New Roman" w:cs="Times New Roman" w:eastAsia="Times New Roman" w:hAnsi="Times New Roman"/>
          <w:sz w:val="18"/>
          <w:szCs w:val="18"/>
          <w:color w:val="auto"/>
        </w:rPr>
        <w:t>We define underwriting income as income before income taxes excluding net investment income, net realized and unrealized gains and losses on investments, and interest expense. Underwriting income represents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profitability of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income should not be viewed as a substitute for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income calculated in accordance with GAAP, and other companies may define underwriting income differently.</w:t>
      </w:r>
    </w:p>
    <w:p>
      <w:pPr>
        <w:spacing w:after="0" w:line="159" w:lineRule="exact"/>
        <w:rPr>
          <w:sz w:val="20"/>
          <w:szCs w:val="20"/>
          <w:color w:val="auto"/>
        </w:rPr>
      </w:pPr>
    </w:p>
    <w:p>
      <w:pPr>
        <w:jc w:val="both"/>
        <w:ind w:right="100" w:firstLine="749"/>
        <w:spacing w:after="0" w:line="214" w:lineRule="exact"/>
        <w:rPr>
          <w:sz w:val="20"/>
          <w:szCs w:val="20"/>
          <w:color w:val="auto"/>
        </w:rPr>
      </w:pPr>
      <w:r>
        <w:rPr>
          <w:rFonts w:ascii="Times New Roman" w:cs="Times New Roman" w:eastAsia="Times New Roman" w:hAnsi="Times New Roman"/>
          <w:sz w:val="18"/>
          <w:szCs w:val="18"/>
          <w:color w:val="auto"/>
        </w:rPr>
        <w:t>We define adjusted underwriting income as underwriting income excluding the impact of certain items that may not be indicative of underlying business trends, operating results, or future outlook. We use this metric as we believe it gives our management and other users of our financial information useful insight into our underlying business performance. Adjusted underwriting income should not be viewed as a substitute for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income calculated in accordance with GAAP. Other companies may define adjusted underwriting income differently.</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Income before income taxes calculated in accordance with GAAP reconciles to underwriting income and adjusted underwriting income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0" w:type="dxa"/>
            <w:vAlign w:val="bottom"/>
            <w:gridSpan w:val="4"/>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00" w:type="dxa"/>
            <w:vAlign w:val="bottom"/>
          </w:tcPr>
          <w:p>
            <w:pPr>
              <w:spacing w:after="0"/>
              <w:rPr>
                <w:sz w:val="18"/>
                <w:szCs w:val="18"/>
                <w:color w:val="auto"/>
              </w:rPr>
            </w:pPr>
          </w:p>
        </w:tc>
      </w:tr>
      <w:tr>
        <w:trPr>
          <w:trHeight w:val="225"/>
        </w:trPr>
        <w:tc>
          <w:tcPr>
            <w:tcW w:w="45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00" w:type="dxa"/>
            <w:vAlign w:val="bottom"/>
            <w:tcBorders>
              <w:bottom w:val="single" w:sz="8" w:color="auto"/>
            </w:tcBorders>
          </w:tcPr>
          <w:p>
            <w:pPr>
              <w:spacing w:after="0"/>
              <w:rPr>
                <w:sz w:val="19"/>
                <w:szCs w:val="19"/>
                <w:color w:val="auto"/>
              </w:rPr>
            </w:pPr>
          </w:p>
        </w:tc>
      </w:tr>
      <w:tr>
        <w:trPr>
          <w:trHeight w:val="183"/>
        </w:trPr>
        <w:tc>
          <w:tcPr>
            <w:tcW w:w="45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9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5"/>
                <w:szCs w:val="15"/>
                <w:color w:val="auto"/>
              </w:rPr>
            </w:pPr>
          </w:p>
        </w:tc>
      </w:tr>
      <w:tr>
        <w:trPr>
          <w:trHeight w:val="182"/>
        </w:trPr>
        <w:tc>
          <w:tcPr>
            <w:tcW w:w="45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b w:val="1"/>
                <w:bCs w:val="1"/>
                <w:color w:val="auto"/>
              </w:rPr>
              <w:t>($ in</w:t>
            </w:r>
          </w:p>
        </w:tc>
        <w:tc>
          <w:tcPr>
            <w:tcW w:w="1140" w:type="dxa"/>
            <w:vAlign w:val="bottom"/>
            <w:gridSpan w:val="2"/>
          </w:tcPr>
          <w:p>
            <w:pPr>
              <w:jc w:val="right"/>
              <w:ind w:right="413"/>
              <w:spacing w:after="0" w:line="182" w:lineRule="exact"/>
              <w:rPr>
                <w:sz w:val="20"/>
                <w:szCs w:val="20"/>
                <w:color w:val="auto"/>
              </w:rPr>
            </w:pPr>
            <w:r>
              <w:rPr>
                <w:rFonts w:ascii="Times New Roman" w:cs="Times New Roman" w:eastAsia="Times New Roman" w:hAnsi="Times New Roman"/>
                <w:sz w:val="18"/>
                <w:szCs w:val="18"/>
                <w:b w:val="1"/>
                <w:bCs w:val="1"/>
                <w:color w:val="auto"/>
                <w:w w:val="73"/>
              </w:rPr>
              <w:t>thousands)</w:t>
            </w:r>
          </w:p>
        </w:tc>
        <w:tc>
          <w:tcPr>
            <w:tcW w:w="700" w:type="dxa"/>
            <w:vAlign w:val="bottom"/>
          </w:tcPr>
          <w:p>
            <w:pPr>
              <w:spacing w:after="0"/>
              <w:rPr>
                <w:sz w:val="15"/>
                <w:szCs w:val="15"/>
                <w:color w:val="auto"/>
              </w:rPr>
            </w:pPr>
          </w:p>
        </w:tc>
      </w:tr>
      <w:tr>
        <w:trPr>
          <w:trHeight w:val="189"/>
        </w:trPr>
        <w:tc>
          <w:tcPr>
            <w:tcW w:w="45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Income before income taxes</w:t>
            </w:r>
          </w:p>
        </w:tc>
        <w:tc>
          <w:tcPr>
            <w:tcW w:w="4160" w:type="dxa"/>
            <w:vAlign w:val="bottom"/>
            <w:gridSpan w:val="2"/>
            <w:shd w:val="clear" w:color="auto" w:fill="CFF0FC"/>
          </w:tcPr>
          <w:p>
            <w:pPr>
              <w:jc w:val="right"/>
              <w:ind w:right="7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53,461</w:t>
            </w:r>
          </w:p>
        </w:tc>
        <w:tc>
          <w:tcPr>
            <w:tcW w:w="1140" w:type="dxa"/>
            <w:vAlign w:val="bottom"/>
            <w:gridSpan w:val="2"/>
            <w:shd w:val="clear" w:color="auto" w:fill="CFF0FC"/>
          </w:tcPr>
          <w:p>
            <w:pPr>
              <w:jc w:val="right"/>
              <w:ind w:right="793"/>
              <w:spacing w:after="0" w:line="189"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53,713</w:t>
            </w:r>
          </w:p>
        </w:tc>
      </w:tr>
      <w:tr>
        <w:trPr>
          <w:trHeight w:val="189"/>
        </w:trPr>
        <w:tc>
          <w:tcPr>
            <w:tcW w:w="4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investment income</w:t>
            </w:r>
          </w:p>
        </w:tc>
        <w:tc>
          <w:tcPr>
            <w:tcW w:w="3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(17,984)</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(12,071)</w:t>
            </w:r>
          </w:p>
        </w:tc>
      </w:tr>
      <w:tr>
        <w:trPr>
          <w:trHeight w:val="189"/>
        </w:trPr>
        <w:tc>
          <w:tcPr>
            <w:tcW w:w="45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realized and unrealized losses on investments</w:t>
            </w:r>
          </w:p>
        </w:tc>
        <w:tc>
          <w:tcPr>
            <w:tcW w:w="3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1,894</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2,338</w:t>
            </w:r>
          </w:p>
        </w:tc>
      </w:tr>
      <w:tr>
        <w:trPr>
          <w:trHeight w:val="189"/>
        </w:trPr>
        <w:tc>
          <w:tcPr>
            <w:tcW w:w="4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31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3,158</w:t>
            </w:r>
          </w:p>
        </w:tc>
        <w:tc>
          <w:tcPr>
            <w:tcW w:w="1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85</w:t>
            </w:r>
          </w:p>
        </w:tc>
      </w:tr>
      <w:tr>
        <w:trPr>
          <w:trHeight w:val="223"/>
        </w:trPr>
        <w:tc>
          <w:tcPr>
            <w:tcW w:w="45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Underwriting income</w:t>
            </w:r>
          </w:p>
        </w:tc>
        <w:tc>
          <w:tcPr>
            <w:tcW w:w="4160" w:type="dxa"/>
            <w:vAlign w:val="bottom"/>
            <w:gridSpan w:val="2"/>
            <w:shd w:val="clear" w:color="auto" w:fill="CFF0FC"/>
          </w:tcPr>
          <w:p>
            <w:pPr>
              <w:jc w:val="right"/>
              <w:ind w:right="7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40,529</w:t>
            </w:r>
          </w:p>
        </w:tc>
        <w:tc>
          <w:tcPr>
            <w:tcW w:w="1140" w:type="dxa"/>
            <w:vAlign w:val="bottom"/>
            <w:gridSpan w:val="2"/>
            <w:shd w:val="clear" w:color="auto" w:fill="CFF0FC"/>
          </w:tcPr>
          <w:p>
            <w:pPr>
              <w:jc w:val="right"/>
              <w:ind w:right="793"/>
              <w:spacing w:after="0" w:line="18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44,065</w:t>
            </w:r>
          </w:p>
        </w:tc>
      </w:tr>
      <w:tr>
        <w:trPr>
          <w:trHeight w:val="169"/>
        </w:trPr>
        <w:tc>
          <w:tcPr>
            <w:tcW w:w="4560" w:type="dxa"/>
            <w:vAlign w:val="bottom"/>
            <w:tcBorders>
              <w:top w:val="single" w:sz="8" w:color="CFF0FC"/>
            </w:tcBorders>
          </w:tcPr>
          <w:p>
            <w:pPr>
              <w:spacing w:after="0" w:line="170" w:lineRule="exact"/>
              <w:rPr>
                <w:sz w:val="20"/>
                <w:szCs w:val="20"/>
                <w:color w:val="auto"/>
              </w:rPr>
            </w:pPr>
            <w:r>
              <w:rPr>
                <w:rFonts w:ascii="Times New Roman" w:cs="Times New Roman" w:eastAsia="Times New Roman" w:hAnsi="Times New Roman"/>
                <w:sz w:val="18"/>
                <w:szCs w:val="18"/>
                <w:color w:val="auto"/>
              </w:rPr>
              <w:t>Expenses associated with transactions</w:t>
            </w:r>
          </w:p>
        </w:tc>
        <w:tc>
          <w:tcPr>
            <w:tcW w:w="3180" w:type="dxa"/>
            <w:vAlign w:val="bottom"/>
            <w:tcBorders>
              <w:top w:val="single" w:sz="8" w:color="CFF0FC"/>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7,406</w:t>
            </w:r>
          </w:p>
        </w:tc>
        <w:tc>
          <w:tcPr>
            <w:tcW w:w="180" w:type="dxa"/>
            <w:vAlign w:val="bottom"/>
            <w:tcBorders>
              <w:top w:val="single" w:sz="8" w:color="CFF0FC"/>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2,088</w:t>
            </w:r>
          </w:p>
        </w:tc>
      </w:tr>
      <w:tr>
        <w:trPr>
          <w:trHeight w:val="189"/>
        </w:trPr>
        <w:tc>
          <w:tcPr>
            <w:tcW w:w="45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3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8,786</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4,745</w:t>
            </w:r>
          </w:p>
        </w:tc>
      </w:tr>
      <w:tr>
        <w:trPr>
          <w:trHeight w:val="189"/>
        </w:trPr>
        <w:tc>
          <w:tcPr>
            <w:tcW w:w="456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Amortization of intangibles</w:t>
            </w:r>
          </w:p>
        </w:tc>
        <w:tc>
          <w:tcPr>
            <w:tcW w:w="3180" w:type="dxa"/>
            <w:vAlign w:val="bottom"/>
            <w:tcBorders>
              <w:bottom w:val="single" w:sz="8" w:color="CFF0FC"/>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6,055</w:t>
            </w:r>
          </w:p>
        </w:tc>
        <w:tc>
          <w:tcPr>
            <w:tcW w:w="180" w:type="dxa"/>
            <w:vAlign w:val="bottom"/>
            <w:tcBorders>
              <w:bottom w:val="single" w:sz="8" w:color="CFF0FC"/>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707</w:t>
            </w:r>
          </w:p>
        </w:tc>
      </w:tr>
      <w:tr>
        <w:trPr>
          <w:trHeight w:val="223"/>
        </w:trPr>
        <w:tc>
          <w:tcPr>
            <w:tcW w:w="456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Adjusted underwriting income</w:t>
            </w:r>
          </w:p>
        </w:tc>
        <w:tc>
          <w:tcPr>
            <w:tcW w:w="31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62,776</w:t>
            </w:r>
          </w:p>
        </w:tc>
        <w:tc>
          <w:tcPr>
            <w:tcW w:w="1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93"/>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51,605</w:t>
            </w:r>
          </w:p>
        </w:tc>
      </w:tr>
      <w:tr>
        <w:trPr>
          <w:trHeight w:val="655"/>
        </w:trPr>
        <w:tc>
          <w:tcPr>
            <w:tcW w:w="4560" w:type="dxa"/>
            <w:vAlign w:val="bottom"/>
          </w:tcPr>
          <w:p>
            <w:pPr>
              <w:spacing w:after="0"/>
              <w:rPr>
                <w:sz w:val="24"/>
                <w:szCs w:val="24"/>
                <w:color w:val="auto"/>
              </w:rPr>
            </w:pPr>
          </w:p>
        </w:tc>
        <w:tc>
          <w:tcPr>
            <w:tcW w:w="318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32</w:t>
            </w: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750"/>
        </w:trPr>
        <w:tc>
          <w:tcPr>
            <w:tcW w:w="45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-1456690</wp:posOffset>
            </wp:positionV>
            <wp:extent cx="1111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-1439545</wp:posOffset>
            </wp:positionV>
            <wp:extent cx="1111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-942340</wp:posOffset>
            </wp:positionV>
            <wp:extent cx="1111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-925195</wp:posOffset>
            </wp:positionV>
            <wp:extent cx="1111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-1070610</wp:posOffset>
            </wp:positionV>
            <wp:extent cx="1111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175" w:lineRule="exact"/>
        <w:rPr>
          <w:sz w:val="20"/>
          <w:szCs w:val="20"/>
          <w:color w:val="auto"/>
        </w:rPr>
      </w:pPr>
    </w:p>
    <w:p>
      <w:pPr>
        <w:ind w:right="100" w:firstLine="749"/>
        <w:spacing w:after="0" w:line="247" w:lineRule="auto"/>
        <w:rPr>
          <w:sz w:val="20"/>
          <w:szCs w:val="20"/>
          <w:color w:val="auto"/>
        </w:rPr>
      </w:pPr>
      <w:r>
        <w:rPr>
          <w:rFonts w:ascii="Times New Roman" w:cs="Times New Roman" w:eastAsia="Times New Roman" w:hAnsi="Times New Roman"/>
          <w:sz w:val="18"/>
          <w:szCs w:val="18"/>
          <w:color w:val="auto"/>
        </w:rPr>
        <w:t>We define adjusted net income as net income excluding the impact of certain items that may not be indicative of underlying business trends, operating results, or future outlook, net of tax impact. We calculate the tax impact only on adjustments which would be included in calculating our income tax expense using the estimated tax rate at which we received a deduction for these adjustments. We use adjusted net income as an internal performance measure in the management of our operations because we believe it gives our management and financial statement users useful insight into our results of operations and our underlying business performance. Adjusted net income does not reflect the overall profitably of our business and should not be viewed as a substitute for net income calculated in accordance with GAAP. Other companies may define adjusted net income differently.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Net income calculated in accordance with GAAP reconciles to adjusted net income as follows: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42"/>
        </w:trPr>
        <w:tc>
          <w:tcPr>
            <w:tcW w:w="7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60" w:type="dxa"/>
            <w:vAlign w:val="bottom"/>
          </w:tcPr>
          <w:p>
            <w:pPr>
              <w:spacing w:after="0"/>
              <w:rPr>
                <w:sz w:val="24"/>
                <w:szCs w:val="24"/>
                <w:color w:val="auto"/>
              </w:rPr>
            </w:pPr>
          </w:p>
        </w:tc>
      </w:tr>
      <w:tr>
        <w:trPr>
          <w:trHeight w:val="225"/>
        </w:trPr>
        <w:tc>
          <w:tcPr>
            <w:tcW w:w="7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60" w:type="dxa"/>
            <w:vAlign w:val="bottom"/>
            <w:tcBorders>
              <w:bottom w:val="single" w:sz="8" w:color="auto"/>
            </w:tcBorders>
          </w:tcPr>
          <w:p>
            <w:pPr>
              <w:spacing w:after="0"/>
              <w:rPr>
                <w:sz w:val="19"/>
                <w:szCs w:val="19"/>
                <w:color w:val="auto"/>
              </w:rPr>
            </w:pPr>
          </w:p>
        </w:tc>
      </w:tr>
      <w:tr>
        <w:trPr>
          <w:trHeight w:val="18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5"/>
                <w:szCs w:val="15"/>
                <w:color w:val="auto"/>
              </w:rPr>
            </w:pPr>
          </w:p>
        </w:tc>
      </w:tr>
      <w:tr>
        <w:trPr>
          <w:trHeight w:val="18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b w:val="1"/>
                <w:bCs w:val="1"/>
                <w:color w:val="auto"/>
              </w:rPr>
              <w:t>($ in</w:t>
            </w:r>
          </w:p>
        </w:tc>
        <w:tc>
          <w:tcPr>
            <w:tcW w:w="1180" w:type="dxa"/>
            <w:vAlign w:val="bottom"/>
            <w:gridSpan w:val="2"/>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w w:val="73"/>
              </w:rPr>
              <w:t>thousands)</w:t>
            </w:r>
          </w:p>
        </w:tc>
        <w:tc>
          <w:tcPr>
            <w:tcW w:w="660" w:type="dxa"/>
            <w:vAlign w:val="bottom"/>
          </w:tcPr>
          <w:p>
            <w:pPr>
              <w:spacing w:after="0"/>
              <w:rPr>
                <w:sz w:val="15"/>
                <w:szCs w:val="15"/>
                <w:color w:val="auto"/>
              </w:rPr>
            </w:pPr>
          </w:p>
        </w:tc>
      </w:tr>
      <w:tr>
        <w:trPr>
          <w:trHeight w:val="189"/>
        </w:trPr>
        <w:tc>
          <w:tcPr>
            <w:tcW w:w="7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shd w:val="clear" w:color="auto" w:fill="CFF0FC"/>
          </w:tcPr>
          <w:p>
            <w:pPr>
              <w:jc w:val="right"/>
              <w:ind w:right="8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42,947</w:t>
            </w:r>
          </w:p>
        </w:tc>
        <w:tc>
          <w:tcPr>
            <w:tcW w:w="1180" w:type="dxa"/>
            <w:vAlign w:val="bottom"/>
            <w:gridSpan w:val="2"/>
            <w:shd w:val="clear" w:color="auto" w:fill="CFF0FC"/>
          </w:tcPr>
          <w:p>
            <w:pPr>
              <w:jc w:val="right"/>
              <w:ind w:right="8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42,922</w:t>
            </w: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Adjustments:</w:t>
            </w: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9"/>
        </w:trPr>
        <w:tc>
          <w:tcPr>
            <w:tcW w:w="7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realized and unrealized losses on investments</w:t>
            </w:r>
          </w:p>
        </w:tc>
        <w:tc>
          <w:tcPr>
            <w:tcW w:w="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1,894</w:t>
            </w: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2,338</w:t>
            </w: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Expenses associated with transactions</w:t>
            </w: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7,406</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2,088</w:t>
            </w:r>
          </w:p>
        </w:tc>
      </w:tr>
      <w:tr>
        <w:trPr>
          <w:trHeight w:val="189"/>
        </w:trPr>
        <w:tc>
          <w:tcPr>
            <w:tcW w:w="7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8,786</w:t>
            </w: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4,745</w:t>
            </w: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Amortization of intangibles</w:t>
            </w: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6,055</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707</w:t>
            </w:r>
          </w:p>
        </w:tc>
      </w:tr>
      <w:tr>
        <w:trPr>
          <w:trHeight w:val="189"/>
        </w:trPr>
        <w:tc>
          <w:tcPr>
            <w:tcW w:w="774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Tax impact</w:t>
            </w:r>
          </w:p>
        </w:tc>
        <w:tc>
          <w:tcPr>
            <w:tcW w:w="2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(3,951)</w:t>
            </w:r>
          </w:p>
        </w:tc>
        <w:tc>
          <w:tcPr>
            <w:tcW w:w="18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(1,494)</w:t>
            </w:r>
          </w:p>
        </w:tc>
      </w:tr>
      <w:tr>
        <w:trPr>
          <w:trHeight w:val="183"/>
        </w:trPr>
        <w:tc>
          <w:tcPr>
            <w:tcW w:w="77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Adjusted net income</w:t>
            </w:r>
          </w:p>
        </w:tc>
        <w:tc>
          <w:tcPr>
            <w:tcW w:w="1000" w:type="dxa"/>
            <w:vAlign w:val="bottom"/>
            <w:gridSpan w:val="2"/>
          </w:tcPr>
          <w:p>
            <w:pPr>
              <w:jc w:val="right"/>
              <w:ind w:right="8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63,137</w:t>
            </w:r>
          </w:p>
        </w:tc>
        <w:tc>
          <w:tcPr>
            <w:tcW w:w="1180" w:type="dxa"/>
            <w:vAlign w:val="bottom"/>
            <w:gridSpan w:val="2"/>
          </w:tcPr>
          <w:p>
            <w:pPr>
              <w:jc w:val="right"/>
              <w:ind w:right="8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51,306</w:t>
            </w: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-153670</wp:posOffset>
            </wp:positionV>
            <wp:extent cx="1111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Annualized Adjusted Return on Equity</w:t>
      </w:r>
    </w:p>
    <w:p>
      <w:pPr>
        <w:spacing w:after="0" w:line="189" w:lineRule="exact"/>
        <w:rPr>
          <w:sz w:val="20"/>
          <w:szCs w:val="20"/>
          <w:color w:val="auto"/>
        </w:rPr>
      </w:pPr>
    </w:p>
    <w:p>
      <w:pPr>
        <w:ind w:right="140" w:firstLine="749"/>
        <w:spacing w:after="0" w:line="246" w:lineRule="auto"/>
        <w:rPr>
          <w:sz w:val="20"/>
          <w:szCs w:val="20"/>
          <w:color w:val="auto"/>
        </w:rPr>
      </w:pPr>
      <w:r>
        <w:rPr>
          <w:rFonts w:ascii="Times New Roman" w:cs="Times New Roman" w:eastAsia="Times New Roman" w:hAnsi="Times New Roman"/>
          <w:sz w:val="18"/>
          <w:szCs w:val="18"/>
          <w:color w:val="auto"/>
        </w:rPr>
        <w:t>We define annualized adjusted return on equity as adjusted net income expressed on an annualized basis as a percentage of average beginning and ending stockholders’ equity during the period. We use annualized adjusted return on equity as an internal performance measure in the management of our operations because we believe it gives our management and financial statement users useful insight into our results of operations and our underlying business performance. Annualized adjusted return on equity should not be viewed as a substitute for return on equity calculated using unadjusted GAAP numbers, and other companies may define adjusted return on equity differently.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Annualized adjusted return on equity is calculated as follows:</w:t>
            </w: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56"/>
        </w:trPr>
        <w:tc>
          <w:tcPr>
            <w:tcW w:w="7620" w:type="dxa"/>
            <w:vAlign w:val="bottom"/>
          </w:tcPr>
          <w:p>
            <w:pPr>
              <w:spacing w:after="0"/>
              <w:rPr>
                <w:sz w:val="24"/>
                <w:szCs w:val="24"/>
                <w:color w:val="auto"/>
              </w:rPr>
            </w:pPr>
          </w:p>
        </w:tc>
        <w:tc>
          <w:tcPr>
            <w:tcW w:w="284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80" w:type="dxa"/>
            <w:vAlign w:val="bottom"/>
          </w:tcPr>
          <w:p>
            <w:pPr>
              <w:spacing w:after="0"/>
              <w:rPr>
                <w:sz w:val="24"/>
                <w:szCs w:val="24"/>
                <w:color w:val="auto"/>
              </w:rPr>
            </w:pPr>
          </w:p>
        </w:tc>
      </w:tr>
      <w:tr>
        <w:trPr>
          <w:trHeight w:val="225"/>
        </w:trPr>
        <w:tc>
          <w:tcPr>
            <w:tcW w:w="76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19"/>
                <w:szCs w:val="19"/>
                <w:color w:val="auto"/>
              </w:rPr>
            </w:pPr>
          </w:p>
        </w:tc>
      </w:tr>
      <w:tr>
        <w:trPr>
          <w:trHeight w:val="183"/>
        </w:trPr>
        <w:tc>
          <w:tcPr>
            <w:tcW w:w="762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5"/>
                <w:szCs w:val="15"/>
                <w:color w:val="auto"/>
              </w:rPr>
            </w:pPr>
          </w:p>
        </w:tc>
      </w:tr>
      <w:tr>
        <w:trPr>
          <w:trHeight w:val="183"/>
        </w:trPr>
        <w:tc>
          <w:tcPr>
            <w:tcW w:w="7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00" w:type="dxa"/>
            <w:vAlign w:val="bottom"/>
            <w:gridSpan w:val="3"/>
          </w:tcPr>
          <w:p>
            <w:pPr>
              <w:jc w:val="center"/>
              <w:ind w:right="250"/>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780" w:type="dxa"/>
            <w:vAlign w:val="bottom"/>
          </w:tcPr>
          <w:p>
            <w:pPr>
              <w:spacing w:after="0"/>
              <w:rPr>
                <w:sz w:val="15"/>
                <w:szCs w:val="15"/>
                <w:color w:val="auto"/>
              </w:rPr>
            </w:pPr>
          </w:p>
        </w:tc>
      </w:tr>
      <w:tr>
        <w:trPr>
          <w:trHeight w:val="189"/>
        </w:trPr>
        <w:tc>
          <w:tcPr>
            <w:tcW w:w="76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Annualized adjusted net income</w:t>
            </w:r>
          </w:p>
        </w:tc>
        <w:tc>
          <w:tcPr>
            <w:tcW w:w="940" w:type="dxa"/>
            <w:vAlign w:val="bottom"/>
            <w:shd w:val="clear" w:color="auto" w:fill="CFF0FC"/>
          </w:tcPr>
          <w:p>
            <w:pPr>
              <w:jc w:val="right"/>
              <w:ind w:right="7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w w:val="95"/>
              </w:rPr>
              <w:t>252,548</w:t>
            </w:r>
          </w:p>
        </w:tc>
        <w:tc>
          <w:tcPr>
            <w:tcW w:w="1120" w:type="dxa"/>
            <w:vAlign w:val="bottom"/>
            <w:gridSpan w:val="2"/>
            <w:shd w:val="clear" w:color="auto" w:fill="CFF0FC"/>
          </w:tcPr>
          <w:p>
            <w:pPr>
              <w:jc w:val="right"/>
              <w:ind w:right="7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w w:val="99"/>
              </w:rPr>
              <w:t>205,224</w:t>
            </w:r>
          </w:p>
        </w:tc>
      </w:tr>
      <w:tr>
        <w:trPr>
          <w:trHeight w:val="20"/>
        </w:trPr>
        <w:tc>
          <w:tcPr>
            <w:tcW w:w="76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83"/>
        </w:trPr>
        <w:tc>
          <w:tcPr>
            <w:tcW w:w="76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Average stockholders’ equity</w:t>
            </w:r>
          </w:p>
        </w:tc>
        <w:tc>
          <w:tcPr>
            <w:tcW w:w="940" w:type="dxa"/>
            <w:vAlign w:val="bottom"/>
          </w:tcPr>
          <w:p>
            <w:pPr>
              <w:jc w:val="right"/>
              <w:ind w:right="7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95"/>
              </w:rPr>
              <w:t>950,853</w:t>
            </w:r>
          </w:p>
        </w:tc>
        <w:tc>
          <w:tcPr>
            <w:tcW w:w="1120" w:type="dxa"/>
            <w:vAlign w:val="bottom"/>
            <w:gridSpan w:val="2"/>
          </w:tcPr>
          <w:p>
            <w:pPr>
              <w:jc w:val="right"/>
              <w:ind w:right="7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99"/>
              </w:rPr>
              <w:t>759,739</w:t>
            </w:r>
          </w:p>
        </w:tc>
      </w:tr>
      <w:tr>
        <w:trPr>
          <w:trHeight w:val="183"/>
        </w:trPr>
        <w:tc>
          <w:tcPr>
            <w:tcW w:w="76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Annualized adjusted return on equity</w:t>
            </w:r>
          </w:p>
        </w:tc>
        <w:tc>
          <w:tcPr>
            <w:tcW w:w="94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26.6%</w:t>
            </w:r>
          </w:p>
        </w:tc>
        <w:tc>
          <w:tcPr>
            <w:tcW w:w="18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-265430</wp:posOffset>
            </wp:positionV>
            <wp:extent cx="1111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1111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Combined Ratio</w:t>
      </w:r>
    </w:p>
    <w:p>
      <w:pPr>
        <w:spacing w:after="0" w:line="189"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18"/>
          <w:szCs w:val="18"/>
          <w:color w:val="auto"/>
        </w:rPr>
        <w:t>We define adjusted combined ratio as the sum of the loss ratio and the expense ratio calculated excluding the impact of certain items that may not be indicative of underlying business trends, operating results, or future outlook. We use adjusted combined ratio as an internal performance measure in the management of our operations because we believe it gives our management and financial statement users useful insight into our results of operations and our underlying business performance. Adjusted combined ratio should not be viewed as a substitute for combined ratio calculated using unadjusted GAAP numbers, and other companies may define adjusted combined ratio differently.</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9"/>
              </w:rPr>
              <w:t>Table of Contents</w:t>
            </w:r>
          </w:p>
        </w:tc>
        <w:tc>
          <w:tcPr>
            <w:tcW w:w="6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5"/>
        </w:trPr>
        <w:tc>
          <w:tcPr>
            <w:tcW w:w="76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Adjusted combined ratio is calculated as follows:</w:t>
            </w: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3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84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38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00" w:type="dxa"/>
            <w:vAlign w:val="bottom"/>
            <w:gridSpan w:val="3"/>
          </w:tcPr>
          <w:p>
            <w:pPr>
              <w:jc w:val="center"/>
              <w:ind w:right="250"/>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620" w:type="dxa"/>
            <w:vAlign w:val="bottom"/>
            <w:gridSpan w:val="2"/>
            <w:shd w:val="clear" w:color="auto" w:fill="CFF0FC"/>
          </w:tcPr>
          <w:p>
            <w:pPr>
              <w:spacing w:after="0" w:line="157" w:lineRule="exact"/>
              <w:rPr>
                <w:sz w:val="20"/>
                <w:szCs w:val="20"/>
                <w:color w:val="auto"/>
              </w:rPr>
            </w:pPr>
            <w:r>
              <w:rPr>
                <w:rFonts w:ascii="Times New Roman" w:cs="Times New Roman" w:eastAsia="Times New Roman" w:hAnsi="Times New Roman"/>
                <w:sz w:val="18"/>
                <w:szCs w:val="18"/>
                <w:color w:val="auto"/>
              </w:rPr>
              <w:t>Numerator: Sum of losses and loss adjustment expenses, acquisition expenses, and other underwriting</w:t>
            </w:r>
          </w:p>
        </w:tc>
        <w:tc>
          <w:tcPr>
            <w:tcW w:w="940" w:type="dxa"/>
            <w:vAlign w:val="bottom"/>
            <w:vMerge w:val="restart"/>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5"/>
              </w:rPr>
              <w:t>220,909</w:t>
            </w:r>
          </w:p>
        </w:tc>
        <w:tc>
          <w:tcPr>
            <w:tcW w:w="1120" w:type="dxa"/>
            <w:vAlign w:val="bottom"/>
            <w:gridSpan w:val="2"/>
            <w:vMerge w:val="restart"/>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120,005</w:t>
            </w:r>
          </w:p>
        </w:tc>
        <w:tc>
          <w:tcPr>
            <w:tcW w:w="0" w:type="dxa"/>
            <w:vAlign w:val="bottom"/>
          </w:tcPr>
          <w:p>
            <w:pPr>
              <w:spacing w:after="0"/>
              <w:rPr>
                <w:sz w:val="1"/>
                <w:szCs w:val="1"/>
                <w:color w:val="auto"/>
              </w:rPr>
            </w:pPr>
          </w:p>
        </w:tc>
      </w:tr>
      <w:tr>
        <w:trPr>
          <w:trHeight w:val="207"/>
        </w:trPr>
        <w:tc>
          <w:tcPr>
            <w:tcW w:w="7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 net of commission and other income</w:t>
            </w:r>
          </w:p>
        </w:tc>
        <w:tc>
          <w:tcPr>
            <w:tcW w:w="940" w:type="dxa"/>
            <w:vAlign w:val="bottom"/>
            <w:vMerge w:val="continue"/>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CFF0FC"/>
          </w:tcPr>
          <w:p>
            <w:pPr>
              <w:spacing w:after="0" w:line="20" w:lineRule="exact"/>
              <w:rPr>
                <w:sz w:val="1"/>
                <w:szCs w:val="1"/>
                <w:color w:val="auto"/>
              </w:rPr>
            </w:pPr>
          </w:p>
        </w:tc>
        <w:tc>
          <w:tcPr>
            <w:tcW w:w="62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6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Denominator: Net earned premiums</w:t>
            </w:r>
          </w:p>
        </w:tc>
        <w:tc>
          <w:tcPr>
            <w:tcW w:w="940" w:type="dxa"/>
            <w:vAlign w:val="bottom"/>
          </w:tcPr>
          <w:p>
            <w:pPr>
              <w:jc w:val="right"/>
              <w:ind w:right="7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95"/>
              </w:rPr>
              <w:t>261,438</w:t>
            </w:r>
          </w:p>
        </w:tc>
        <w:tc>
          <w:tcPr>
            <w:tcW w:w="1120" w:type="dxa"/>
            <w:vAlign w:val="bottom"/>
            <w:gridSpan w:val="2"/>
          </w:tcPr>
          <w:p>
            <w:pPr>
              <w:jc w:val="right"/>
              <w:ind w:right="7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99"/>
              </w:rPr>
              <w:t>164,070</w:t>
            </w:r>
          </w:p>
        </w:tc>
        <w:tc>
          <w:tcPr>
            <w:tcW w:w="0" w:type="dxa"/>
            <w:vAlign w:val="bottom"/>
          </w:tcPr>
          <w:p>
            <w:pPr>
              <w:spacing w:after="0"/>
              <w:rPr>
                <w:sz w:val="1"/>
                <w:szCs w:val="1"/>
                <w:color w:val="auto"/>
              </w:rPr>
            </w:pPr>
          </w:p>
        </w:tc>
      </w:tr>
      <w:tr>
        <w:trPr>
          <w:trHeight w:val="183"/>
        </w:trPr>
        <w:tc>
          <w:tcPr>
            <w:tcW w:w="7620" w:type="dxa"/>
            <w:vAlign w:val="bottom"/>
            <w:tcBorders>
              <w:bottom w:val="single" w:sz="8" w:color="CFF0FC"/>
            </w:tcBorders>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Combined ratio</w:t>
            </w:r>
          </w:p>
        </w:tc>
        <w:tc>
          <w:tcPr>
            <w:tcW w:w="94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84.5%</w:t>
            </w:r>
          </w:p>
        </w:tc>
        <w:tc>
          <w:tcPr>
            <w:tcW w:w="18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183"/>
        </w:trPr>
        <w:tc>
          <w:tcPr>
            <w:tcW w:w="76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Adjustments to numerator:</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2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Expenses associated with transactions</w:t>
            </w:r>
          </w:p>
        </w:tc>
        <w:tc>
          <w:tcPr>
            <w:tcW w:w="940" w:type="dxa"/>
            <w:vAlign w:val="bottom"/>
            <w:shd w:val="clear" w:color="auto" w:fill="CFF0FC"/>
          </w:tcPr>
          <w:p>
            <w:pPr>
              <w:jc w:val="right"/>
              <w:ind w:right="7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(7,406)</w:t>
            </w:r>
          </w:p>
        </w:tc>
        <w:tc>
          <w:tcPr>
            <w:tcW w:w="1120" w:type="dxa"/>
            <w:vAlign w:val="bottom"/>
            <w:gridSpan w:val="2"/>
            <w:shd w:val="clear" w:color="auto" w:fill="CFF0FC"/>
          </w:tcPr>
          <w:p>
            <w:pPr>
              <w:jc w:val="right"/>
              <w:ind w:right="7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189"/>
        </w:trPr>
        <w:tc>
          <w:tcPr>
            <w:tcW w:w="76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spacing w:after="0"/>
              <w:rPr>
                <w:sz w:val="16"/>
                <w:szCs w:val="16"/>
                <w:color w:val="auto"/>
              </w:rPr>
            </w:pPr>
          </w:p>
        </w:tc>
        <w:tc>
          <w:tcPr>
            <w:tcW w:w="7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(8,786)</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(4,745)</w:t>
            </w:r>
          </w:p>
        </w:tc>
        <w:tc>
          <w:tcPr>
            <w:tcW w:w="0" w:type="dxa"/>
            <w:vAlign w:val="bottom"/>
          </w:tcPr>
          <w:p>
            <w:pPr>
              <w:spacing w:after="0"/>
              <w:rPr>
                <w:sz w:val="1"/>
                <w:szCs w:val="1"/>
                <w:color w:val="auto"/>
              </w:rPr>
            </w:pPr>
          </w:p>
        </w:tc>
      </w:tr>
      <w:tr>
        <w:trPr>
          <w:trHeight w:val="189"/>
        </w:trPr>
        <w:tc>
          <w:tcPr>
            <w:tcW w:w="762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Amortization of intangibles</w:t>
            </w:r>
          </w:p>
        </w:tc>
        <w:tc>
          <w:tcPr>
            <w:tcW w:w="94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(6,055)</w:t>
            </w:r>
          </w:p>
        </w:tc>
        <w:tc>
          <w:tcPr>
            <w:tcW w:w="180" w:type="dxa"/>
            <w:vAlign w:val="bottom"/>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183"/>
        </w:trPr>
        <w:tc>
          <w:tcPr>
            <w:tcW w:w="76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Adjusted combined ratio</w:t>
            </w:r>
          </w:p>
        </w:tc>
        <w:tc>
          <w:tcPr>
            <w:tcW w:w="9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76.0%</w:t>
            </w:r>
          </w:p>
        </w:tc>
        <w:tc>
          <w:tcPr>
            <w:tcW w:w="1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-882015</wp:posOffset>
            </wp:positionV>
            <wp:extent cx="1111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-625475</wp:posOffset>
            </wp:positionV>
            <wp:extent cx="11112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-149225</wp:posOffset>
            </wp:positionV>
            <wp:extent cx="136525" cy="1625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6525" cy="16256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Diluted Adjusted Earnings Per Share</w:t>
      </w:r>
    </w:p>
    <w:p>
      <w:pPr>
        <w:spacing w:after="0" w:line="18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color w:val="auto"/>
        </w:rPr>
        <w:t>We define diluted adjusted earnings per share as adjusted net income divided by the weighted-average common shares outstanding for the period, reflecting the dilution which could occur if equity-based awards are converted into common share equivalents as calculated using the treasury stock method. We use diluted adjusted earnings per share as an internal performance measure in the management of our operations because we believe it gives our management and financial statement users useful insight into our results of operations and our underlying business performance. Diluted adjusted earnings per share should not be viewed as a substitute for diluted earnings per share calculated in accordance with GAAP, and other companies may define diluted adjusted earnings per share differently.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Diluted adjusted earnings per share is calculated as follows:</w:t>
            </w: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42"/>
        </w:trPr>
        <w:tc>
          <w:tcPr>
            <w:tcW w:w="6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25"/>
        </w:trPr>
        <w:tc>
          <w:tcPr>
            <w:tcW w:w="6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40" w:type="dxa"/>
            <w:vAlign w:val="bottom"/>
            <w:tcBorders>
              <w:bottom w:val="single" w:sz="8" w:color="auto"/>
            </w:tcBorders>
          </w:tcPr>
          <w:p>
            <w:pPr>
              <w:spacing w:after="0"/>
              <w:rPr>
                <w:sz w:val="19"/>
                <w:szCs w:val="19"/>
                <w:color w:val="auto"/>
              </w:rPr>
            </w:pPr>
          </w:p>
        </w:tc>
      </w:tr>
      <w:tr>
        <w:trPr>
          <w:trHeight w:val="183"/>
        </w:trPr>
        <w:tc>
          <w:tcPr>
            <w:tcW w:w="6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1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183"/>
        </w:trPr>
        <w:tc>
          <w:tcPr>
            <w:tcW w:w="6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20" w:type="dxa"/>
            <w:vAlign w:val="bottom"/>
            <w:gridSpan w:val="4"/>
          </w:tcPr>
          <w:p>
            <w:pPr>
              <w:jc w:val="center"/>
              <w:ind w:right="210"/>
              <w:spacing w:after="0" w:line="182" w:lineRule="exact"/>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r>
      <w:tr>
        <w:trPr>
          <w:trHeight w:val="189"/>
        </w:trPr>
        <w:tc>
          <w:tcPr>
            <w:tcW w:w="64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Adjusted net income</w:t>
            </w:r>
          </w:p>
        </w:tc>
        <w:tc>
          <w:tcPr>
            <w:tcW w:w="15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63,137</w:t>
            </w:r>
          </w:p>
        </w:tc>
        <w:tc>
          <w:tcPr>
            <w:tcW w:w="600" w:type="dxa"/>
            <w:vAlign w:val="bottom"/>
            <w:gridSpan w:val="2"/>
            <w:shd w:val="clear" w:color="auto" w:fill="CFF0FC"/>
          </w:tcPr>
          <w:p>
            <w:pPr>
              <w:jc w:val="right"/>
              <w:ind w:right="3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51,306</w:t>
            </w:r>
          </w:p>
        </w:tc>
      </w:tr>
      <w:tr>
        <w:trPr>
          <w:trHeight w:val="183"/>
        </w:trPr>
        <w:tc>
          <w:tcPr>
            <w:tcW w:w="6400" w:type="dxa"/>
            <w:vAlign w:val="bottom"/>
            <w:tcBorders>
              <w:top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1340" w:type="dxa"/>
            <w:vAlign w:val="bottom"/>
            <w:tcBorders>
              <w:top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27,340,840</w:t>
            </w:r>
          </w:p>
        </w:tc>
        <w:tc>
          <w:tcPr>
            <w:tcW w:w="180" w:type="dxa"/>
            <w:vAlign w:val="bottom"/>
            <w:tcBorders>
              <w:top w:val="single" w:sz="8" w:color="CFF0FC"/>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27,399,997</w:t>
            </w:r>
          </w:p>
        </w:tc>
      </w:tr>
      <w:tr>
        <w:trPr>
          <w:trHeight w:val="183"/>
        </w:trPr>
        <w:tc>
          <w:tcPr>
            <w:tcW w:w="64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Diluted adjusted earnings per share</w:t>
            </w:r>
          </w:p>
        </w:tc>
        <w:tc>
          <w:tcPr>
            <w:tcW w:w="134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2.31</w:t>
            </w:r>
          </w:p>
        </w:tc>
        <w:tc>
          <w:tcPr>
            <w:tcW w:w="600" w:type="dxa"/>
            <w:vAlign w:val="bottom"/>
            <w:gridSpan w:val="2"/>
            <w:shd w:val="clear" w:color="auto" w:fill="CFF0FC"/>
          </w:tcPr>
          <w:p>
            <w:pPr>
              <w:jc w:val="right"/>
              <w:ind w:right="3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1.87</w:t>
            </w:r>
          </w:p>
        </w:tc>
      </w:tr>
      <w:tr>
        <w:trPr>
          <w:trHeight w:val="20"/>
        </w:trPr>
        <w:tc>
          <w:tcPr>
            <w:tcW w:w="640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-264795</wp:posOffset>
            </wp:positionV>
            <wp:extent cx="1111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Catastrophe Loss Ratio</w:t>
      </w:r>
    </w:p>
    <w:p>
      <w:pPr>
        <w:spacing w:after="0" w:line="175" w:lineRule="exact"/>
        <w:rPr>
          <w:sz w:val="20"/>
          <w:szCs w:val="20"/>
          <w:color w:val="auto"/>
        </w:rPr>
      </w:pPr>
    </w:p>
    <w:p>
      <w:pPr>
        <w:ind w:firstLine="749"/>
        <w:spacing w:after="0" w:line="247" w:lineRule="auto"/>
        <w:rPr>
          <w:sz w:val="20"/>
          <w:szCs w:val="20"/>
          <w:color w:val="auto"/>
        </w:rPr>
      </w:pPr>
      <w:r>
        <w:rPr>
          <w:rFonts w:ascii="Times New Roman" w:cs="Times New Roman" w:eastAsia="Times New Roman" w:hAnsi="Times New Roman"/>
          <w:sz w:val="18"/>
          <w:szCs w:val="18"/>
          <w:color w:val="auto"/>
        </w:rPr>
        <w:t>Catastrophe loss ratio is defined as the ratio of catastrophe losses to net earned premiums.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Catastrophe loss ratio should not be viewed as a substitute for loss ratio calculated using unadjusted GAAP numbers, and other companies may define catastrophe loss ratio differently.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Loss ratio and catastrophe loss ratio are calculated as follows:</w:t>
            </w:r>
          </w:p>
        </w:tc>
        <w:tc>
          <w:tcPr>
            <w:tcW w:w="2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42"/>
        </w:trPr>
        <w:tc>
          <w:tcPr>
            <w:tcW w:w="5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4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20" w:type="dxa"/>
            <w:vAlign w:val="bottom"/>
          </w:tcPr>
          <w:p>
            <w:pPr>
              <w:spacing w:after="0"/>
              <w:rPr>
                <w:sz w:val="24"/>
                <w:szCs w:val="24"/>
                <w:color w:val="auto"/>
              </w:rPr>
            </w:pPr>
          </w:p>
        </w:tc>
      </w:tr>
      <w:tr>
        <w:trPr>
          <w:trHeight w:val="225"/>
        </w:trPr>
        <w:tc>
          <w:tcPr>
            <w:tcW w:w="53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Borders>
              <w:bottom w:val="single" w:sz="8" w:color="auto"/>
            </w:tcBorders>
          </w:tcPr>
          <w:p>
            <w:pPr>
              <w:spacing w:after="0"/>
              <w:rPr>
                <w:sz w:val="19"/>
                <w:szCs w:val="19"/>
                <w:color w:val="auto"/>
              </w:rPr>
            </w:pPr>
          </w:p>
        </w:tc>
      </w:tr>
      <w:tr>
        <w:trPr>
          <w:trHeight w:val="183"/>
        </w:trPr>
        <w:tc>
          <w:tcPr>
            <w:tcW w:w="53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bottom w:val="single" w:sz="8" w:color="auto"/>
            </w:tcBorders>
          </w:tcPr>
          <w:p>
            <w:pPr>
              <w:spacing w:after="0"/>
              <w:rPr>
                <w:sz w:val="15"/>
                <w:szCs w:val="15"/>
                <w:color w:val="auto"/>
              </w:rPr>
            </w:pPr>
          </w:p>
        </w:tc>
      </w:tr>
      <w:tr>
        <w:trPr>
          <w:trHeight w:val="183"/>
        </w:trPr>
        <w:tc>
          <w:tcPr>
            <w:tcW w:w="53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00" w:type="dxa"/>
            <w:vAlign w:val="bottom"/>
            <w:gridSpan w:val="3"/>
          </w:tcPr>
          <w:p>
            <w:pPr>
              <w:jc w:val="center"/>
              <w:ind w:right="270"/>
              <w:spacing w:after="0" w:line="182" w:lineRule="exact"/>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820" w:type="dxa"/>
            <w:vAlign w:val="bottom"/>
          </w:tcPr>
          <w:p>
            <w:pPr>
              <w:spacing w:after="0"/>
              <w:rPr>
                <w:sz w:val="15"/>
                <w:szCs w:val="15"/>
                <w:color w:val="auto"/>
              </w:rPr>
            </w:pPr>
          </w:p>
        </w:tc>
      </w:tr>
      <w:tr>
        <w:trPr>
          <w:trHeight w:val="189"/>
        </w:trPr>
        <w:tc>
          <w:tcPr>
            <w:tcW w:w="53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Numerator: Losses and loss adjustment expenses</w:t>
            </w:r>
          </w:p>
        </w:tc>
        <w:tc>
          <w:tcPr>
            <w:tcW w:w="22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7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87,097</w:t>
            </w:r>
          </w:p>
        </w:tc>
        <w:tc>
          <w:tcPr>
            <w:tcW w:w="1120" w:type="dxa"/>
            <w:vAlign w:val="bottom"/>
            <w:gridSpan w:val="2"/>
            <w:shd w:val="clear" w:color="auto" w:fill="CFF0FC"/>
          </w:tcPr>
          <w:p>
            <w:pPr>
              <w:jc w:val="right"/>
              <w:ind w:right="7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38,743</w:t>
            </w:r>
          </w:p>
        </w:tc>
      </w:tr>
      <w:tr>
        <w:trPr>
          <w:trHeight w:val="20"/>
        </w:trPr>
        <w:tc>
          <w:tcPr>
            <w:tcW w:w="5380" w:type="dxa"/>
            <w:vAlign w:val="bottom"/>
            <w:shd w:val="clear" w:color="auto" w:fill="CFF0FC"/>
          </w:tcPr>
          <w:p>
            <w:pPr>
              <w:spacing w:after="0" w:line="20" w:lineRule="exact"/>
              <w:rPr>
                <w:sz w:val="1"/>
                <w:szCs w:val="1"/>
                <w:color w:val="auto"/>
              </w:rPr>
            </w:pPr>
          </w:p>
        </w:tc>
        <w:tc>
          <w:tcPr>
            <w:tcW w:w="2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183"/>
        </w:trPr>
        <w:tc>
          <w:tcPr>
            <w:tcW w:w="53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Denominator: Net earned premiums</w:t>
            </w:r>
          </w:p>
        </w:tc>
        <w:tc>
          <w:tcPr>
            <w:tcW w:w="2200" w:type="dxa"/>
            <w:vAlign w:val="bottom"/>
          </w:tcPr>
          <w:p>
            <w:pPr>
              <w:spacing w:after="0"/>
              <w:rPr>
                <w:sz w:val="15"/>
                <w:szCs w:val="15"/>
                <w:color w:val="auto"/>
              </w:rPr>
            </w:pPr>
          </w:p>
        </w:tc>
        <w:tc>
          <w:tcPr>
            <w:tcW w:w="940" w:type="dxa"/>
            <w:vAlign w:val="bottom"/>
          </w:tcPr>
          <w:p>
            <w:pPr>
              <w:jc w:val="right"/>
              <w:ind w:right="7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95"/>
              </w:rPr>
              <w:t>261,438</w:t>
            </w:r>
          </w:p>
        </w:tc>
        <w:tc>
          <w:tcPr>
            <w:tcW w:w="1120" w:type="dxa"/>
            <w:vAlign w:val="bottom"/>
            <w:gridSpan w:val="2"/>
          </w:tcPr>
          <w:p>
            <w:pPr>
              <w:jc w:val="right"/>
              <w:ind w:right="7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95"/>
              </w:rPr>
              <w:t>164,070</w:t>
            </w:r>
          </w:p>
        </w:tc>
      </w:tr>
      <w:tr>
        <w:trPr>
          <w:trHeight w:val="183"/>
        </w:trPr>
        <w:tc>
          <w:tcPr>
            <w:tcW w:w="538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Loss ratio</w:t>
            </w:r>
          </w:p>
        </w:tc>
        <w:tc>
          <w:tcPr>
            <w:tcW w:w="220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33.3%</w:t>
            </w:r>
          </w:p>
        </w:tc>
        <w:tc>
          <w:tcPr>
            <w:tcW w:w="18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23.6%</w:t>
            </w:r>
          </w:p>
        </w:tc>
      </w:tr>
      <w:tr>
        <w:trPr>
          <w:trHeight w:val="183"/>
        </w:trPr>
        <w:tc>
          <w:tcPr>
            <w:tcW w:w="53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9"/>
        </w:trPr>
        <w:tc>
          <w:tcPr>
            <w:tcW w:w="53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Numerator: Catastrophe losses</w:t>
            </w:r>
          </w:p>
        </w:tc>
        <w:tc>
          <w:tcPr>
            <w:tcW w:w="22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7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268</w:t>
            </w:r>
          </w:p>
        </w:tc>
        <w:tc>
          <w:tcPr>
            <w:tcW w:w="1120" w:type="dxa"/>
            <w:vAlign w:val="bottom"/>
            <w:gridSpan w:val="2"/>
            <w:shd w:val="clear" w:color="auto" w:fill="CFF0FC"/>
          </w:tcPr>
          <w:p>
            <w:pPr>
              <w:jc w:val="right"/>
              <w:ind w:right="7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(542)</w:t>
            </w:r>
          </w:p>
        </w:tc>
      </w:tr>
      <w:tr>
        <w:trPr>
          <w:trHeight w:val="20"/>
        </w:trPr>
        <w:tc>
          <w:tcPr>
            <w:tcW w:w="5380" w:type="dxa"/>
            <w:vAlign w:val="bottom"/>
            <w:shd w:val="clear" w:color="auto" w:fill="CFF0FC"/>
          </w:tcPr>
          <w:p>
            <w:pPr>
              <w:spacing w:after="0" w:line="20" w:lineRule="exact"/>
              <w:rPr>
                <w:sz w:val="1"/>
                <w:szCs w:val="1"/>
                <w:color w:val="auto"/>
              </w:rPr>
            </w:pPr>
          </w:p>
        </w:tc>
        <w:tc>
          <w:tcPr>
            <w:tcW w:w="2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183"/>
        </w:trPr>
        <w:tc>
          <w:tcPr>
            <w:tcW w:w="53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Denominator: Net earned premiums</w:t>
            </w:r>
          </w:p>
        </w:tc>
        <w:tc>
          <w:tcPr>
            <w:tcW w:w="2200" w:type="dxa"/>
            <w:vAlign w:val="bottom"/>
          </w:tcPr>
          <w:p>
            <w:pPr>
              <w:spacing w:after="0"/>
              <w:rPr>
                <w:sz w:val="15"/>
                <w:szCs w:val="15"/>
                <w:color w:val="auto"/>
              </w:rPr>
            </w:pPr>
          </w:p>
        </w:tc>
        <w:tc>
          <w:tcPr>
            <w:tcW w:w="940" w:type="dxa"/>
            <w:vAlign w:val="bottom"/>
          </w:tcPr>
          <w:p>
            <w:pPr>
              <w:jc w:val="right"/>
              <w:ind w:right="7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95"/>
              </w:rPr>
              <w:t>261,438</w:t>
            </w:r>
          </w:p>
        </w:tc>
        <w:tc>
          <w:tcPr>
            <w:tcW w:w="1120" w:type="dxa"/>
            <w:vAlign w:val="bottom"/>
            <w:gridSpan w:val="2"/>
          </w:tcPr>
          <w:p>
            <w:pPr>
              <w:jc w:val="right"/>
              <w:ind w:right="7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95"/>
              </w:rPr>
              <w:t>164,070</w:t>
            </w:r>
          </w:p>
        </w:tc>
      </w:tr>
      <w:tr>
        <w:trPr>
          <w:trHeight w:val="183"/>
        </w:trPr>
        <w:tc>
          <w:tcPr>
            <w:tcW w:w="538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Catastrophe loss ratio</w:t>
            </w:r>
          </w:p>
        </w:tc>
        <w:tc>
          <w:tcPr>
            <w:tcW w:w="220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(0.3)%</w:t>
            </w:r>
          </w:p>
        </w:tc>
      </w:tr>
      <w:tr>
        <w:trPr>
          <w:trHeight w:val="669"/>
        </w:trPr>
        <w:tc>
          <w:tcPr>
            <w:tcW w:w="5380" w:type="dxa"/>
            <w:vAlign w:val="bottom"/>
          </w:tcPr>
          <w:p>
            <w:pPr>
              <w:spacing w:after="0"/>
              <w:rPr>
                <w:sz w:val="24"/>
                <w:szCs w:val="24"/>
                <w:color w:val="auto"/>
              </w:rPr>
            </w:pPr>
          </w:p>
        </w:tc>
        <w:tc>
          <w:tcPr>
            <w:tcW w:w="220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34</w:t>
            </w: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749"/>
        </w:trPr>
        <w:tc>
          <w:tcPr>
            <w:tcW w:w="53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-1687830</wp:posOffset>
            </wp:positionV>
            <wp:extent cx="1111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-1430655</wp:posOffset>
            </wp:positionV>
            <wp:extent cx="1111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-1182370</wp:posOffset>
            </wp:positionV>
            <wp:extent cx="1111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-925195</wp:posOffset>
            </wp:positionV>
            <wp:extent cx="1111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Combined Ratio Excluding Catastrophe Losses</w:t>
      </w:r>
    </w:p>
    <w:p>
      <w:pPr>
        <w:spacing w:after="0" w:line="18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7"/>
          <w:szCs w:val="17"/>
          <w:color w:val="auto"/>
        </w:rPr>
        <w:t>Adjusted combined ratio excluding catastrophe losses is defined as adjusted combined ratio excluding the impact of catastrophe losses.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Adjusted combined ratio excluding catastrophe losses should not be viewed as a substitute for combined ratio calculated using unadjusted GAAP numbers, and other companies may define adjusted combined ratio excluding catastrophe losses differently.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Adjusted combined ratio excluding catastrophe losses is calculated as follows:</w:t>
            </w: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7620" w:type="dxa"/>
            <w:vAlign w:val="bottom"/>
          </w:tcPr>
          <w:p>
            <w:pPr>
              <w:spacing w:after="0"/>
              <w:rPr>
                <w:sz w:val="24"/>
                <w:szCs w:val="24"/>
                <w:color w:val="auto"/>
              </w:rPr>
            </w:pPr>
          </w:p>
        </w:tc>
        <w:tc>
          <w:tcPr>
            <w:tcW w:w="284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6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62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00" w:type="dxa"/>
            <w:vAlign w:val="bottom"/>
            <w:gridSpan w:val="3"/>
          </w:tcPr>
          <w:p>
            <w:pPr>
              <w:jc w:val="center"/>
              <w:ind w:right="250"/>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620" w:type="dxa"/>
            <w:vAlign w:val="bottom"/>
            <w:shd w:val="clear" w:color="auto" w:fill="CFF0FC"/>
          </w:tcPr>
          <w:p>
            <w:pPr>
              <w:spacing w:after="0" w:line="157" w:lineRule="exact"/>
              <w:rPr>
                <w:sz w:val="20"/>
                <w:szCs w:val="20"/>
                <w:color w:val="auto"/>
              </w:rPr>
            </w:pPr>
            <w:r>
              <w:rPr>
                <w:rFonts w:ascii="Times New Roman" w:cs="Times New Roman" w:eastAsia="Times New Roman" w:hAnsi="Times New Roman"/>
                <w:sz w:val="18"/>
                <w:szCs w:val="18"/>
                <w:color w:val="auto"/>
              </w:rPr>
              <w:t>Numerator: Sum of losses and loss adjustment expenses, acquisition expenses, and other underwriting</w:t>
            </w:r>
          </w:p>
        </w:tc>
        <w:tc>
          <w:tcPr>
            <w:tcW w:w="940" w:type="dxa"/>
            <w:vAlign w:val="bottom"/>
            <w:vMerge w:val="restart"/>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5"/>
              </w:rPr>
              <w:t>220,909</w:t>
            </w:r>
          </w:p>
        </w:tc>
        <w:tc>
          <w:tcPr>
            <w:tcW w:w="1120" w:type="dxa"/>
            <w:vAlign w:val="bottom"/>
            <w:gridSpan w:val="2"/>
            <w:vMerge w:val="restart"/>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120,005</w:t>
            </w:r>
          </w:p>
        </w:tc>
        <w:tc>
          <w:tcPr>
            <w:tcW w:w="0" w:type="dxa"/>
            <w:vAlign w:val="bottom"/>
          </w:tcPr>
          <w:p>
            <w:pPr>
              <w:spacing w:after="0"/>
              <w:rPr>
                <w:sz w:val="1"/>
                <w:szCs w:val="1"/>
                <w:color w:val="auto"/>
              </w:rPr>
            </w:pPr>
          </w:p>
        </w:tc>
      </w:tr>
      <w:tr>
        <w:trPr>
          <w:trHeight w:val="207"/>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 net of commission and other income</w:t>
            </w:r>
          </w:p>
        </w:tc>
        <w:tc>
          <w:tcPr>
            <w:tcW w:w="940" w:type="dxa"/>
            <w:vAlign w:val="bottom"/>
            <w:vMerge w:val="continue"/>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Denominator: Net earned premiums</w:t>
            </w:r>
          </w:p>
        </w:tc>
        <w:tc>
          <w:tcPr>
            <w:tcW w:w="940" w:type="dxa"/>
            <w:vAlign w:val="bottom"/>
          </w:tcPr>
          <w:p>
            <w:pPr>
              <w:jc w:val="right"/>
              <w:ind w:right="7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95"/>
              </w:rPr>
              <w:t>261,438</w:t>
            </w:r>
          </w:p>
        </w:tc>
        <w:tc>
          <w:tcPr>
            <w:tcW w:w="1120" w:type="dxa"/>
            <w:vAlign w:val="bottom"/>
            <w:gridSpan w:val="2"/>
          </w:tcPr>
          <w:p>
            <w:pPr>
              <w:jc w:val="right"/>
              <w:ind w:right="7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99"/>
              </w:rPr>
              <w:t>164,070</w:t>
            </w:r>
          </w:p>
        </w:tc>
        <w:tc>
          <w:tcPr>
            <w:tcW w:w="0" w:type="dxa"/>
            <w:vAlign w:val="bottom"/>
          </w:tcPr>
          <w:p>
            <w:pPr>
              <w:spacing w:after="0"/>
              <w:rPr>
                <w:sz w:val="1"/>
                <w:szCs w:val="1"/>
                <w:color w:val="auto"/>
              </w:rPr>
            </w:pPr>
          </w:p>
        </w:tc>
      </w:tr>
      <w:tr>
        <w:trPr>
          <w:trHeight w:val="183"/>
        </w:trPr>
        <w:tc>
          <w:tcPr>
            <w:tcW w:w="76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Combined ratio</w:t>
            </w:r>
          </w:p>
        </w:tc>
        <w:tc>
          <w:tcPr>
            <w:tcW w:w="94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84.5%</w:t>
            </w:r>
          </w:p>
        </w:tc>
        <w:tc>
          <w:tcPr>
            <w:tcW w:w="18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183"/>
        </w:trPr>
        <w:tc>
          <w:tcPr>
            <w:tcW w:w="76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Adjustments to numerator:</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Expenses associated with transactions</w:t>
            </w:r>
          </w:p>
        </w:tc>
        <w:tc>
          <w:tcPr>
            <w:tcW w:w="940" w:type="dxa"/>
            <w:vAlign w:val="bottom"/>
            <w:shd w:val="clear" w:color="auto" w:fill="CFF0FC"/>
          </w:tcPr>
          <w:p>
            <w:pPr>
              <w:jc w:val="right"/>
              <w:ind w:right="7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(7,406)</w:t>
            </w:r>
          </w:p>
        </w:tc>
        <w:tc>
          <w:tcPr>
            <w:tcW w:w="1120" w:type="dxa"/>
            <w:vAlign w:val="bottom"/>
            <w:gridSpan w:val="2"/>
            <w:shd w:val="clear" w:color="auto" w:fill="CFF0FC"/>
          </w:tcPr>
          <w:p>
            <w:pPr>
              <w:jc w:val="right"/>
              <w:ind w:right="7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189"/>
        </w:trPr>
        <w:tc>
          <w:tcPr>
            <w:tcW w:w="7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spacing w:after="0"/>
              <w:rPr>
                <w:sz w:val="16"/>
                <w:szCs w:val="16"/>
                <w:color w:val="auto"/>
              </w:rPr>
            </w:pPr>
          </w:p>
        </w:tc>
        <w:tc>
          <w:tcPr>
            <w:tcW w:w="7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(8,786)</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(4,745)</w:t>
            </w:r>
          </w:p>
        </w:tc>
        <w:tc>
          <w:tcPr>
            <w:tcW w:w="0" w:type="dxa"/>
            <w:vAlign w:val="bottom"/>
          </w:tcPr>
          <w:p>
            <w:pPr>
              <w:spacing w:after="0"/>
              <w:rPr>
                <w:sz w:val="1"/>
                <w:szCs w:val="1"/>
                <w:color w:val="auto"/>
              </w:rPr>
            </w:pPr>
          </w:p>
        </w:tc>
      </w:tr>
      <w:tr>
        <w:trPr>
          <w:trHeight w:val="189"/>
        </w:trPr>
        <w:tc>
          <w:tcPr>
            <w:tcW w:w="76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Amortization of intangibles</w:t>
            </w:r>
          </w:p>
        </w:tc>
        <w:tc>
          <w:tcPr>
            <w:tcW w:w="9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(6,055)</w:t>
            </w: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189"/>
        </w:trPr>
        <w:tc>
          <w:tcPr>
            <w:tcW w:w="7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Catastrophe losses</w:t>
            </w:r>
          </w:p>
        </w:tc>
        <w:tc>
          <w:tcPr>
            <w:tcW w:w="9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(268)</w:t>
            </w:r>
          </w:p>
        </w:tc>
        <w:tc>
          <w:tcPr>
            <w:tcW w:w="1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183"/>
        </w:trPr>
        <w:tc>
          <w:tcPr>
            <w:tcW w:w="76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Adjusted combined ratio excluding catastrophe losses</w:t>
            </w:r>
          </w:p>
        </w:tc>
        <w:tc>
          <w:tcPr>
            <w:tcW w:w="9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75.9%</w:t>
            </w:r>
          </w:p>
        </w:tc>
        <w:tc>
          <w:tcPr>
            <w:tcW w:w="18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-1002665</wp:posOffset>
            </wp:positionV>
            <wp:extent cx="1111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-745490</wp:posOffset>
            </wp:positionV>
            <wp:extent cx="11112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1111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Tangible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w:t>
      </w:r>
    </w:p>
    <w:p>
      <w:pPr>
        <w:spacing w:after="0" w:line="175"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define tangible stockholders’ equity as stockholders’ equity less intangible assets. Our definition of tangible stockholders’ equity may not be comparable to that of other companies, and it should not be viewed as a substitute for stockholders’ equity calculated in accordance with GAAP. We use tangible stockholders’ equity internally to evaluate the strength of our balance sheet and to compare returns relative to this measure.</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Stockholders’ equity calculated in accordance with GAAP reconciles to tangible stockholders’ equity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183"/>
        </w:trPr>
        <w:tc>
          <w:tcPr>
            <w:tcW w:w="51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183"/>
        </w:trPr>
        <w:tc>
          <w:tcPr>
            <w:tcW w:w="51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170"/>
              <w:spacing w:after="0" w:line="182" w:lineRule="exact"/>
              <w:rPr>
                <w:sz w:val="20"/>
                <w:szCs w:val="20"/>
                <w:color w:val="auto"/>
              </w:rPr>
            </w:pPr>
            <w:r>
              <w:rPr>
                <w:rFonts w:ascii="Times New Roman" w:cs="Times New Roman" w:eastAsia="Times New Roman" w:hAnsi="Times New Roman"/>
                <w:sz w:val="18"/>
                <w:szCs w:val="18"/>
                <w:b w:val="1"/>
                <w:bCs w:val="1"/>
                <w:color w:val="auto"/>
              </w:rPr>
              <w:t>($ in</w:t>
            </w:r>
          </w:p>
        </w:tc>
        <w:tc>
          <w:tcPr>
            <w:tcW w:w="1640" w:type="dxa"/>
            <w:vAlign w:val="bottom"/>
            <w:gridSpan w:val="3"/>
          </w:tcPr>
          <w:p>
            <w:pPr>
              <w:jc w:val="right"/>
              <w:ind w:right="930"/>
              <w:spacing w:after="0" w:line="182" w:lineRule="exact"/>
              <w:rPr>
                <w:sz w:val="20"/>
                <w:szCs w:val="20"/>
                <w:color w:val="auto"/>
              </w:rPr>
            </w:pPr>
            <w:r>
              <w:rPr>
                <w:rFonts w:ascii="Times New Roman" w:cs="Times New Roman" w:eastAsia="Times New Roman" w:hAnsi="Times New Roman"/>
                <w:sz w:val="18"/>
                <w:szCs w:val="18"/>
                <w:b w:val="1"/>
                <w:bCs w:val="1"/>
                <w:color w:val="auto"/>
                <w:w w:val="71"/>
              </w:rPr>
              <w:t>thousands)</w:t>
            </w:r>
          </w:p>
        </w:tc>
      </w:tr>
      <w:tr>
        <w:trPr>
          <w:trHeight w:val="189"/>
        </w:trPr>
        <w:tc>
          <w:tcPr>
            <w:tcW w:w="51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Stockholders’ equity</w:t>
            </w:r>
          </w:p>
        </w:tc>
        <w:tc>
          <w:tcPr>
            <w:tcW w:w="31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959,039</w:t>
            </w:r>
          </w:p>
        </w:tc>
        <w:tc>
          <w:tcPr>
            <w:tcW w:w="28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942,667</w:t>
            </w:r>
          </w:p>
        </w:tc>
      </w:tr>
      <w:tr>
        <w:trPr>
          <w:trHeight w:val="189"/>
        </w:trPr>
        <w:tc>
          <w:tcPr>
            <w:tcW w:w="5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Goodwill and intangible assets</w:t>
            </w:r>
          </w:p>
        </w:tc>
        <w:tc>
          <w:tcPr>
            <w:tcW w:w="2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(246,172)</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(61,054)</w:t>
            </w:r>
          </w:p>
        </w:tc>
      </w:tr>
      <w:tr>
        <w:trPr>
          <w:trHeight w:val="203"/>
        </w:trPr>
        <w:tc>
          <w:tcPr>
            <w:tcW w:w="51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Tangible stockholders’ equity</w:t>
            </w:r>
          </w:p>
        </w:tc>
        <w:tc>
          <w:tcPr>
            <w:tcW w:w="29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712,867</w:t>
            </w:r>
          </w:p>
        </w:tc>
        <w:tc>
          <w:tcPr>
            <w:tcW w:w="28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881,613</w:t>
            </w:r>
          </w:p>
        </w:tc>
      </w:tr>
      <w:tr>
        <w:trPr>
          <w:trHeight w:val="20"/>
        </w:trPr>
        <w:tc>
          <w:tcPr>
            <w:tcW w:w="5180" w:type="dxa"/>
            <w:vAlign w:val="bottom"/>
            <w:tcBorders>
              <w:top w:val="single" w:sz="8" w:color="CFF0FC"/>
            </w:tcBorders>
            <w:shd w:val="clear" w:color="auto" w:fill="CFF0FC"/>
          </w:tcPr>
          <w:p>
            <w:pPr>
              <w:spacing w:after="0" w:line="20" w:lineRule="exact"/>
              <w:rPr>
                <w:sz w:val="1"/>
                <w:szCs w:val="1"/>
                <w:color w:val="auto"/>
              </w:rPr>
            </w:pPr>
          </w:p>
        </w:tc>
        <w:tc>
          <w:tcPr>
            <w:tcW w:w="29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-24765</wp:posOffset>
            </wp:positionV>
            <wp:extent cx="1028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1028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89" w:lineRule="exact"/>
        <w:rPr>
          <w:sz w:val="20"/>
          <w:szCs w:val="20"/>
          <w:color w:val="auto"/>
        </w:rPr>
      </w:pPr>
    </w:p>
    <w:p>
      <w:pPr>
        <w:jc w:val="both"/>
        <w:ind w:right="260" w:firstLine="749"/>
        <w:spacing w:after="0" w:line="258" w:lineRule="auto"/>
        <w:rPr>
          <w:sz w:val="20"/>
          <w:szCs w:val="20"/>
          <w:color w:val="auto"/>
        </w:rPr>
      </w:pPr>
      <w:r>
        <w:rPr>
          <w:rFonts w:ascii="Times New Roman" w:cs="Times New Roman" w:eastAsia="Times New Roman" w:hAnsi="Times New Roman"/>
          <w:sz w:val="18"/>
          <w:szCs w:val="18"/>
          <w:color w:val="auto"/>
        </w:rPr>
        <w:t>We operate as a holding company with no business operations of our own. Consequently, our ability to pay dividends to stockholders and pay taxes and administrative expenses is largely dependent on dividends or other distributions from our subsidiaries and affiliates, whose ability to pay us is highly regulated.</w:t>
      </w:r>
    </w:p>
    <w:p>
      <w:pPr>
        <w:spacing w:after="0" w:line="129"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Our U.S. insurance company subsidiaries, PSIC, PESIC, FIA, and PCSC are restricted by the statutes as to the amount of dividends that they may pay without prior approval by state insurance commissioners.</w:t>
      </w:r>
    </w:p>
    <w:p>
      <w:pPr>
        <w:spacing w:after="0" w:line="108" w:lineRule="exact"/>
        <w:rPr>
          <w:sz w:val="20"/>
          <w:szCs w:val="20"/>
          <w:color w:val="auto"/>
        </w:rPr>
      </w:pPr>
    </w:p>
    <w:p>
      <w:pPr>
        <w:ind w:right="160" w:firstLine="749"/>
        <w:spacing w:after="0" w:line="246" w:lineRule="auto"/>
        <w:rPr>
          <w:sz w:val="20"/>
          <w:szCs w:val="20"/>
          <w:color w:val="auto"/>
        </w:rPr>
      </w:pPr>
      <w:r>
        <w:rPr>
          <w:rFonts w:ascii="Times New Roman" w:cs="Times New Roman" w:eastAsia="Times New Roman" w:hAnsi="Times New Roman"/>
          <w:sz w:val="18"/>
          <w:szCs w:val="18"/>
          <w:color w:val="auto"/>
        </w:rPr>
        <w:t>Under California and Oregon statutes which govern PSIC, dividends paid in a consecutive twelve month period cannot exceed the greater of (i) 10% of an insurance company’s statutory policyholders’ surplus as of December 31 of the preceding year, or (ii) 100% of its statutory net income for the preceding calendar year. Any dividends or distributions in excess of these amounts would require regulatory approval. In addition, under Oregon statute PSIC may only declare a dividend from earned surplus, which does not include contributed capital. Surplus arising from unrealized capital gains or revaluation of assets is not considered part of earned</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surplus. Based on the above restrictions, PSIC may pay a dividend or distribution of no greater than $176.0 million in 2026 without approval by the California and Oregon Insurance Commissioners.</w:t>
      </w:r>
    </w:p>
    <w:p>
      <w:pPr>
        <w:spacing w:after="0" w:line="135" w:lineRule="exact"/>
        <w:rPr>
          <w:sz w:val="20"/>
          <w:szCs w:val="20"/>
          <w:color w:val="auto"/>
        </w:rPr>
      </w:pPr>
    </w:p>
    <w:p>
      <w:pPr>
        <w:ind w:right="180" w:firstLine="749"/>
        <w:spacing w:after="0" w:line="250" w:lineRule="auto"/>
        <w:rPr>
          <w:sz w:val="20"/>
          <w:szCs w:val="20"/>
          <w:color w:val="auto"/>
        </w:rPr>
      </w:pPr>
      <w:r>
        <w:rPr>
          <w:rFonts w:ascii="Times New Roman" w:cs="Times New Roman" w:eastAsia="Times New Roman" w:hAnsi="Times New Roman"/>
          <w:sz w:val="18"/>
          <w:szCs w:val="18"/>
          <w:color w:val="auto"/>
        </w:rPr>
        <w:t>Under Arizona statute which governs PESIC, dividends paid in a consecutive twelve month period cannot exceed the lesser of (i) 10% of an insurance company’s statutory policyholders’ surplus as of December 31 of the preceding year, or (ii) 100% of its statutory net income for the preceding calendar year. Based on the above restrictions, PESIC may pay a dividend or distribution of no greater than $7.4 million in 2026 without approval of the Arizona Insurance Commissioner.</w:t>
      </w:r>
    </w:p>
    <w:p>
      <w:pPr>
        <w:spacing w:after="0" w:line="150"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8"/>
          <w:szCs w:val="18"/>
          <w:color w:val="auto"/>
        </w:rPr>
        <w:t>We are subject to New Jersey law, such that all dividend payments require 30-day prior approval of the New Jersey Commissioner of Banking and Insurance (the “Commissioner”). The maximum dividend, which may be paid in any twelve-month period, is limited to the greater of 10% of statutory surplus as of December 31 of the preceding year or the net gain from operations of the preceding calendar year. Cash dividends may only be paid out of surplus derived from realized net profits. Based on these limitations, FIA has capacity to pay a dividend of $1.8 million in 2026, conditional upon the Commissioner’s approval.</w:t>
      </w:r>
    </w:p>
    <w:p>
      <w:pPr>
        <w:spacing w:after="0" w:line="141"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Under Louisiana law which governs PCSC, the maximum amount of stockholder dividends that the Company may pay without prior approval of the Louisiana Insurance Commissioner is limited to the lessor of (i) statutory net income for the preceding three calendar years excluding realized capital gains and dividend paid during the preceding two calendar years, or (II) 10% of statutory surplus. Based on the above restrictions, PCSC may pay a dividend or distribution of no greater than $13.2 million in 2026 without approval of the Louisiana Insurance Commissioner.</w:t>
      </w:r>
    </w:p>
    <w:p>
      <w:pPr>
        <w:spacing w:after="0" w:line="150"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18"/>
          <w:szCs w:val="18"/>
          <w:color w:val="auto"/>
        </w:rPr>
        <w:t>State insurance regulators have broad powers to prevent the reduction of statutory surplus to inadequate levels, and there is no assurance that dividends up to the maximum amounts calculated under any applicable formula would be permitted. In addition, state insurance regulators may adopt statutory provisions and dividend limitations more restrictive than those currently in effect in the future.</w:t>
      </w:r>
    </w:p>
    <w:p>
      <w:pPr>
        <w:spacing w:after="0" w:line="129" w:lineRule="exact"/>
        <w:rPr>
          <w:sz w:val="20"/>
          <w:szCs w:val="20"/>
          <w:color w:val="auto"/>
        </w:rPr>
      </w:pPr>
    </w:p>
    <w:p>
      <w:pPr>
        <w:ind w:right="20" w:firstLine="749"/>
        <w:spacing w:after="0" w:line="243" w:lineRule="auto"/>
        <w:rPr>
          <w:sz w:val="20"/>
          <w:szCs w:val="20"/>
          <w:color w:val="auto"/>
        </w:rPr>
      </w:pPr>
      <w:r>
        <w:rPr>
          <w:rFonts w:ascii="Times New Roman" w:cs="Times New Roman" w:eastAsia="Times New Roman" w:hAnsi="Times New Roman"/>
          <w:sz w:val="18"/>
          <w:szCs w:val="18"/>
          <w:color w:val="auto"/>
        </w:rPr>
        <w:t>Bermuda regulations limit the amount of dividends and return of capital paid by a regulated entity. A Class 3A insurer is prohibited from declaring or paying a dividend if it is in breach of its minimum solvency margin, its enhanced capital requirement, or its minimum liquidity ratio, or if the declaration or payment of such dividend would cause such a breach. If a Class 3A insurer has failed to meet its minimum solvency margin on the last day of any financial year, it will also be prohibited, without the approval of the Bermuda Monetary Authority (“BMA”), from declaring or paying any dividends during the next financial year. Furthermore, the Insurance Act limits the ability of PSRE to pay dividends or make capital distributions by stipulating certain margin and solvency requirements and by requiring approval from the BMA prior to a reduction of 15% or more of a Class 3A insurer’s total statutory capital as reported on its prior year statutory balance sheet. Moreover, an insurer must submit an affidavit to the BMA, sworn by at least two directors and the principal representative in Bermuda of the Class 3A insurer, at least seven days prior to payment of any dividend which would exceed 25% of that insurer’s total statutory capital and surplus as reported on its prior year statutory balance sheet. The affidavit must state that in the opinion of those swearing the declaration of such dividend, such dividend has not caused the insurer to fail to meet its relevant margins.</w:t>
      </w:r>
    </w:p>
    <w:p>
      <w:pPr>
        <w:spacing w:after="0" w:line="159"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Further, under the Companies Act (as defined below), PSRE may only declare or pay a dividend, or make a distribution out of contributed surplus, if it has no reasonable grounds for believing that: (1) it is, or would after the payment be, unable to pay its liabilities as they become due or (2) the realizable value of its assets would be less than its liabilities.</w:t>
      </w:r>
    </w:p>
    <w:p>
      <w:pPr>
        <w:spacing w:after="0" w:line="150"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Pursuant to Bermuda regulations, the maximum amount of dividends and return of capital available to be paid by a reinsurer is determined pursuant to a formula. Under this formula, the maximum amount of dividends and return of capital available from PSRE during 2026 is calculated to be approximately $4.5 million. However, this dividend amount is subject to annual enhanced solvency requirement calculations.</w:t>
      </w:r>
    </w:p>
    <w:p>
      <w:pPr>
        <w:spacing w:after="0" w:line="1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One of our insurance company subsidiaries, PSIC, is a member of the Federal Home Loan Bank of San Francisco (FHLB). Membership allows PSIC access to collateralized advances, which may be used to support and enhance liquidity management. The amount of advances that may be taken is dependent on statutory admitted assets.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Our primary sources of cash flow are written premiums, investment income, reinsurance recoveries, sales and redemptions of investments, and proceeds from borrowings on our lines of credit. We use our cash flows primarily to pay reinsurance premiums, operating expenses, losses and loss adjustment expenses, and income taxes.</w:t>
      </w:r>
    </w:p>
    <w:p>
      <w:pPr>
        <w:spacing w:after="0" w:line="88"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Our cash flows from operations may differ substantially from our net income due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charges or due to changes in balance sheet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w:t>
      </w:r>
    </w:p>
    <w:p>
      <w:pPr>
        <w:spacing w:after="0" w:line="151"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The timing of our cash flows from operating activities can also vary among periods due to the timing by which payments are made or received. Some of our payments and receipts, including loss settlements and subsequent reinsurance receipts, can be</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significant. Therefore, their timing can influence cash flows from operating activities in any given period. The potential for a large claim under an insurance or reinsurance contract means that our insurance subsidiaries may need to make substantial payments within relatively short periods of time, which would have a negative impact on our operating cash flows.</w:t>
      </w:r>
    </w:p>
    <w:p>
      <w:pPr>
        <w:spacing w:after="0" w:line="1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Management believes that our current liquidity and cash receipts from written premiums, investment income, proceeds from investment sales and redemptions, and reinsurance recoveries, if necessary, are sufficient to cover cash outflows for each of our insurance subsidiaries in the foreseeable future.</w:t>
      </w:r>
    </w:p>
    <w:p>
      <w:pPr>
        <w:spacing w:after="0" w:line="1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2026 and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6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5"/>
        </w:trPr>
        <w:tc>
          <w:tcPr>
            <w:tcW w:w="57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19"/>
                <w:szCs w:val="19"/>
                <w:color w:val="auto"/>
              </w:rPr>
            </w:pPr>
          </w:p>
        </w:tc>
      </w:tr>
      <w:tr>
        <w:trPr>
          <w:trHeight w:val="183"/>
        </w:trPr>
        <w:tc>
          <w:tcPr>
            <w:tcW w:w="57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183"/>
        </w:trPr>
        <w:tc>
          <w:tcPr>
            <w:tcW w:w="57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b w:val="1"/>
                <w:bCs w:val="1"/>
                <w:color w:val="auto"/>
              </w:rPr>
              <w:t>($ in</w:t>
            </w:r>
          </w:p>
        </w:tc>
        <w:tc>
          <w:tcPr>
            <w:tcW w:w="700" w:type="dxa"/>
            <w:vAlign w:val="bottom"/>
            <w:gridSpan w:val="2"/>
          </w:tcPr>
          <w:p>
            <w:pPr>
              <w:jc w:val="right"/>
              <w:ind w:right="60"/>
              <w:spacing w:after="0" w:line="182" w:lineRule="exact"/>
              <w:rPr>
                <w:sz w:val="20"/>
                <w:szCs w:val="20"/>
                <w:color w:val="auto"/>
              </w:rPr>
            </w:pPr>
            <w:r>
              <w:rPr>
                <w:rFonts w:ascii="Times New Roman" w:cs="Times New Roman" w:eastAsia="Times New Roman" w:hAnsi="Times New Roman"/>
                <w:sz w:val="18"/>
                <w:szCs w:val="18"/>
                <w:b w:val="1"/>
                <w:bCs w:val="1"/>
                <w:color w:val="auto"/>
                <w:w w:val="73"/>
              </w:rPr>
              <w:t>thousands)</w:t>
            </w:r>
          </w:p>
        </w:tc>
        <w:tc>
          <w:tcPr>
            <w:tcW w:w="1140" w:type="dxa"/>
            <w:vAlign w:val="bottom"/>
          </w:tcPr>
          <w:p>
            <w:pPr>
              <w:spacing w:after="0"/>
              <w:rPr>
                <w:sz w:val="15"/>
                <w:szCs w:val="15"/>
                <w:color w:val="auto"/>
              </w:rPr>
            </w:pPr>
          </w:p>
        </w:tc>
      </w:tr>
      <w:tr>
        <w:trPr>
          <w:trHeight w:val="189"/>
        </w:trPr>
        <w:tc>
          <w:tcPr>
            <w:tcW w:w="57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Cash provided by (used in):</w:t>
            </w:r>
          </w:p>
        </w:tc>
        <w:tc>
          <w:tcPr>
            <w:tcW w:w="19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189"/>
        </w:trPr>
        <w:tc>
          <w:tcPr>
            <w:tcW w:w="57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Operating activities</w:t>
            </w:r>
          </w:p>
        </w:tc>
        <w:tc>
          <w:tcPr>
            <w:tcW w:w="2300" w:type="dxa"/>
            <w:vAlign w:val="bottom"/>
            <w:gridSpan w:val="2"/>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47,025</w:t>
            </w:r>
          </w:p>
        </w:tc>
        <w:tc>
          <w:tcPr>
            <w:tcW w:w="700" w:type="dxa"/>
            <w:vAlign w:val="bottom"/>
            <w:gridSpan w:val="2"/>
          </w:tcPr>
          <w:p>
            <w:pPr>
              <w:jc w:val="right"/>
              <w:ind w:right="4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87,183</w:t>
            </w:r>
          </w:p>
        </w:tc>
      </w:tr>
      <w:tr>
        <w:trPr>
          <w:trHeight w:val="189"/>
        </w:trPr>
        <w:tc>
          <w:tcPr>
            <w:tcW w:w="57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Investing activities</w:t>
            </w:r>
          </w:p>
        </w:tc>
        <w:tc>
          <w:tcPr>
            <w:tcW w:w="19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(373,383)</w:t>
            </w: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(51,944)</w:t>
            </w:r>
          </w:p>
        </w:tc>
      </w:tr>
      <w:tr>
        <w:trPr>
          <w:trHeight w:val="189"/>
        </w:trPr>
        <w:tc>
          <w:tcPr>
            <w:tcW w:w="57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Financing activities</w:t>
            </w:r>
          </w:p>
        </w:tc>
        <w:tc>
          <w:tcPr>
            <w:tcW w:w="1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276,020</w:t>
            </w:r>
          </w:p>
        </w:tc>
        <w:tc>
          <w:tcPr>
            <w:tcW w:w="1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3,549</w:t>
            </w:r>
          </w:p>
        </w:tc>
      </w:tr>
      <w:tr>
        <w:trPr>
          <w:trHeight w:val="203"/>
        </w:trPr>
        <w:tc>
          <w:tcPr>
            <w:tcW w:w="57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19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(50,338)</w:t>
            </w:r>
          </w:p>
        </w:tc>
        <w:tc>
          <w:tcPr>
            <w:tcW w:w="700" w:type="dxa"/>
            <w:vAlign w:val="bottom"/>
            <w:gridSpan w:val="2"/>
            <w:shd w:val="clear" w:color="auto" w:fill="CFF0FC"/>
          </w:tcPr>
          <w:p>
            <w:pPr>
              <w:jc w:val="right"/>
              <w:ind w:right="4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38,788</w:t>
            </w: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4"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8"/>
          <w:szCs w:val="18"/>
          <w:color w:val="auto"/>
        </w:rPr>
        <w:t>Our cash flow from operating activities was positive during the three months ended March 31, 2026 and 2025. Variations in operating cash flow between periods are primarily driven by variations in our gross and ceded written premiums and the volume and timing of premium receipts, claim payments, reinsurance payments, and reinsurance recoveries on paid losses. In addition, fluctuations in losses and loss adjustment expenses and other insurance operating expenses impact operating cash flow.</w:t>
      </w:r>
    </w:p>
    <w:p>
      <w:pPr>
        <w:spacing w:after="0" w:line="150" w:lineRule="exact"/>
        <w:rPr>
          <w:sz w:val="20"/>
          <w:szCs w:val="20"/>
          <w:color w:val="auto"/>
        </w:rPr>
      </w:pPr>
    </w:p>
    <w:p>
      <w:pPr>
        <w:jc w:val="both"/>
        <w:ind w:right="240" w:firstLine="749"/>
        <w:spacing w:after="0" w:line="250" w:lineRule="auto"/>
        <w:rPr>
          <w:sz w:val="20"/>
          <w:szCs w:val="20"/>
          <w:color w:val="auto"/>
        </w:rPr>
      </w:pPr>
      <w:r>
        <w:rPr>
          <w:rFonts w:ascii="Times New Roman" w:cs="Times New Roman" w:eastAsia="Times New Roman" w:hAnsi="Times New Roman"/>
          <w:sz w:val="18"/>
          <w:szCs w:val="18"/>
          <w:color w:val="auto"/>
        </w:rPr>
        <w:t>Variations in operating cash flow between periods are primarily driven by variations in our gross and ceded written premiums and the volume and timing of premium receipts, claim payments, reinsurance payments, and reinsurance recoveries on paid losses. In addition, fluctuations in losses and loss adjustment expenses and other insurance operating expenses impact operating cash flows.</w:t>
      </w:r>
    </w:p>
    <w:p>
      <w:pPr>
        <w:spacing w:after="0" w:line="150"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2026 and 2025 related primarily to purchases of fixed maturity securities in excess of sales and maturities and acquisitions occurring in each period.</w:t>
      </w:r>
    </w:p>
    <w:p>
      <w:pPr>
        <w:spacing w:after="0" w:line="135" w:lineRule="exact"/>
        <w:rPr>
          <w:sz w:val="20"/>
          <w:szCs w:val="20"/>
          <w:color w:val="auto"/>
        </w:rPr>
      </w:pPr>
    </w:p>
    <w:p>
      <w:pPr>
        <w:ind w:right="220" w:firstLine="749"/>
        <w:spacing w:after="0" w:line="247"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March 31, 2026 was related to the issuance of a term loan for $297.4 million, the receipt of $0.9 million in proceeds from policy holder contributions of surplus, and the receipt of $0.7 million in proceeds from our employee stock purchase plan, partially offset by repurchases of $23.1 million of our common stock. Cash provided by financing activities for the three months ended March 31, 2025 was related to the receipt of $2.4 million in proceeds from stock option exercises, the receipt of $0.8 million in proceeds from policy holder contributions of surplus, and the receipt of $0.5 million in proceeds from our employee stock purchase plan, partially offset by $0.1 million in offering costs from the August 2024 secondary offering.</w:t>
      </w:r>
    </w:p>
    <w:p>
      <w:pPr>
        <w:spacing w:after="0" w:line="139" w:lineRule="exact"/>
        <w:rPr>
          <w:sz w:val="20"/>
          <w:szCs w:val="20"/>
          <w:color w:val="auto"/>
        </w:rPr>
      </w:pPr>
    </w:p>
    <w:p>
      <w:pPr>
        <w:ind w:right="200" w:firstLine="749"/>
        <w:spacing w:after="0" w:line="217" w:lineRule="exact"/>
        <w:rPr>
          <w:sz w:val="20"/>
          <w:szCs w:val="20"/>
          <w:color w:val="auto"/>
        </w:rPr>
      </w:pPr>
      <w:r>
        <w:rPr>
          <w:rFonts w:ascii="Times New Roman" w:cs="Times New Roman" w:eastAsia="Times New Roman" w:hAnsi="Times New Roman"/>
          <w:sz w:val="18"/>
          <w:szCs w:val="18"/>
          <w:color w:val="auto"/>
        </w:rPr>
        <w:t>We do not have any current plans for material capital expenditures other than current operating requirements. We believe that we will generate sufficient cash flows from operations to satisfy our liquidity requirements for at least the next 12 months and beyond. The key factor that will affect our future operating cash flows is the frequency and severity of catastrophe losses. To the extent our future operating cash flows are insufficient to cover our net losses from catastrophic events, we had $1.6 billion in cash and investment securities available at March 31, 2026. We also have the ability to access additional capital through pursuing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borrowings, sales of our equity or debt securities or entrance into a reinsurance arrangement.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89"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8"/>
          <w:szCs w:val="18"/>
          <w:color w:val="auto"/>
        </w:rPr>
        <w:t>On July 31, 2025, our Board of Directors approved a share repurchase program authorizing the repurchase of up to $150 million of our outstanding common stock through July 31, 2027. As such, we have used and may use our cash in the future to purchase outstanding shares of our common stock. Under this share repurchase program, shares may be repurchased from time to time in the open market or negotiated transactions at prevailing market rates, or by other means in accordance with federal securities laws. We repurchased 190,255 shares for $23.1 million under this program during the three months ended March 31, 2026 and $89.6 million remains available for future repurchases.</w:t>
      </w:r>
    </w:p>
    <w:p>
      <w:pPr>
        <w:spacing w:after="0" w:line="154"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On April 30, 2026, our Board of Directors approved a share repurchase program, effective May 6, 2026, which replaces the previous program, and authorizes the repurchase of up to $200 million of our outstanding common stock through May 6, 2028. Under this new share repurchase program, shares may be repurchased from time to time in the open market or negotiated transactions at prevailing market rates, or by other means in accordance with federal securities laws.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the ability to access additional capital through multiple credit agreements.</w:t>
      </w:r>
    </w:p>
    <w:p>
      <w:pPr>
        <w:spacing w:after="0" w:line="171" w:lineRule="exact"/>
        <w:rPr>
          <w:sz w:val="20"/>
          <w:szCs w:val="20"/>
          <w:color w:val="auto"/>
        </w:rPr>
      </w:pPr>
    </w:p>
    <w:p>
      <w:pPr>
        <w:ind w:right="20" w:firstLine="749"/>
        <w:spacing w:after="0" w:line="243" w:lineRule="auto"/>
        <w:rPr>
          <w:sz w:val="20"/>
          <w:szCs w:val="20"/>
          <w:color w:val="auto"/>
        </w:rPr>
      </w:pPr>
      <w:r>
        <w:rPr>
          <w:rFonts w:ascii="Times New Roman" w:cs="Times New Roman" w:eastAsia="Times New Roman" w:hAnsi="Times New Roman"/>
          <w:sz w:val="18"/>
          <w:szCs w:val="18"/>
          <w:color w:val="auto"/>
        </w:rPr>
        <w:t>In December 2021, we entered into a credit agreement with U.S. Bank National Association (the “2021 Credit Agreement”) which provided a revolving credit facility of up to $100 million through December 8, 2026. In January 2026, we entered into a new credit agreement (the “2026 Credit Agreement”) that replaced the 2021 Credit Agreement. The 2026 Credit Agreement provides for unsecured credit facilities totaling $450 million, comprised of a $150 million revolving facility (the “Revolving Facility”) and a $300 million term loan (the “Term Loan”), each maturing on January 27, 2031. Borrowings under the 2026 Credit Agreement bear interest at variable rates based on Term Secured Overnight Financing Rate (“SOFR”) or an alternate base rate, plus an applicable margin determined by our debt-to-capital ratio (as defined in the 2026 Credit Agreement). In addition to interest on funds borrowed, we must pay an unused line fee of up to 0.25%, determined by our debt-to-capital ratio (as defined in the 2026 Credit Agreement), on any amounts not borrowed. The Term Loan amortizes quarterly, and borrowings may be prepaid without premium. Obligations under the 2026 Credit Agreement are guaranteed by certain of our domestic subsidiaries and are unsecured, subject to a negative pledge. Proceeds from the 2026 Credit Agreement may be used for general corporate purposes, including permitted acquisitions and the refinancing of existing indebtedness.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Currently, $4.1 million of the borrowing capacity of the Revolving Facility is pledged as collateral and not able to be utilized.</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March 31, 2026, the Company had $297.4 million outstanding on its Term Loan.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March 31, 2026, we had no borrowings outstanding through the 2021 Credit Agreement and the Revolving Facility.</w:t>
      </w:r>
    </w:p>
    <w:p>
      <w:pPr>
        <w:spacing w:after="0" w:line="185"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Our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10% of PSIC’s statutory admitted assets. All advances have predetermined term and the interest rate varies based on the term of the advance.</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March 31, 2026, we had no borrowings outstanding through the FHLB line of credit.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w:t>
      </w:r>
    </w:p>
    <w:p>
      <w:pPr>
        <w:spacing w:after="0" w:line="189"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At March 31, 2026, total stockholders’ equity was $959.0 million and tangible stockholders’ equity was $712.9 million, compared to total stockholders’ equity of $942.7 million and tangible stockholders’ equity of $881.6 million as of December 31, 2025. Stockholders’ equity increased due to net income earned for the period, activity related to stock-based compensation, and unrealized gains on fixed maturity securities.</w:t>
      </w:r>
    </w:p>
    <w:p>
      <w:pPr>
        <w:spacing w:after="0" w:line="109" w:lineRule="exact"/>
        <w:rPr>
          <w:sz w:val="20"/>
          <w:szCs w:val="20"/>
          <w:color w:val="auto"/>
        </w:rPr>
      </w:pPr>
    </w:p>
    <w:p>
      <w:pPr>
        <w:ind w:right="20" w:firstLine="749"/>
        <w:spacing w:after="0" w:line="239" w:lineRule="exact"/>
        <w:rPr>
          <w:sz w:val="20"/>
          <w:szCs w:val="20"/>
          <w:color w:val="auto"/>
        </w:rPr>
      </w:pPr>
      <w:r>
        <w:rPr>
          <w:rFonts w:ascii="Times New Roman" w:cs="Times New Roman" w:eastAsia="Times New Roman" w:hAnsi="Times New Roman"/>
          <w:sz w:val="18"/>
          <w:szCs w:val="18"/>
          <w:color w:val="auto"/>
        </w:rPr>
        <w:t>Tangible stockholders’ equity 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stockholders’ equity in accordance with GAAP to tangible stockholders’ equity.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Portfolio</w:t>
      </w:r>
    </w:p>
    <w:p>
      <w:pPr>
        <w:spacing w:after="0" w:line="175" w:lineRule="exact"/>
        <w:rPr>
          <w:sz w:val="20"/>
          <w:szCs w:val="20"/>
          <w:color w:val="auto"/>
        </w:rPr>
      </w:pPr>
    </w:p>
    <w:p>
      <w:pPr>
        <w:ind w:right="40" w:firstLine="749"/>
        <w:spacing w:after="0" w:line="210" w:lineRule="exact"/>
        <w:rPr>
          <w:sz w:val="20"/>
          <w:szCs w:val="20"/>
          <w:color w:val="auto"/>
        </w:rPr>
      </w:pPr>
      <w:r>
        <w:rPr>
          <w:rFonts w:ascii="Times New Roman" w:cs="Times New Roman" w:eastAsia="Times New Roman" w:hAnsi="Times New Roman"/>
          <w:sz w:val="18"/>
          <w:szCs w:val="18"/>
          <w:color w:val="auto"/>
        </w:rPr>
        <w:t>Our primary investment objectives are to maintain liquidity, preserve capital and generate a stable level of investment income. We purchase securities that we believe are attractive on a relative value basis and seek to generate returns in excess of predetermined benchmarks. Our Investment Committee reviews and recommends investment guidelines, which are subject to approval by our Board of Directors in accordance with applicable regulatory restrictions on asset type, quality and concentration. Our current investment guidelines allow us to invest in taxable and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exempt fixed maturities, as well as publicly traded mutual funds and common stock of individual companies. Our cash and invested assets consist of cash and cash equivalents, fixed maturity securities, and equity securities. As of March 31, 2026, the majority of our investment portfolio, or $1.4 billion, was comprised of fixed maturity securities that are classified as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and carried at fair value with unrealized gains and losses on these securities, net of applicable taxes, reported as a separate component of accumulated other comprehensive income. Also included in our investment portfolio were $112.3 million of equity securities, $36.0 million of investments in limited partnerships, and $4.4 million of a livestock put option. In addition, we maintained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restricted cash and cash equivalent balance of $56.5 million at March 31, 2026. Our fixed maturity securities, including cash equivalents, had a weighted average effective duration of 4.21 and 3.81 years and an average rating of “A1/A+” as of March 31, 2026 and December 31, 2025, respectively. Our fixed income investment portfolio had a book yield of 4.89% as of March 31, 2026, compared to 4.83% as of December 31, 2025.</w:t>
      </w: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At March 31, 2026 and December 31, 2025 the amortized cost and fair value on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7"/>
                <w:szCs w:val="17"/>
                <w:color w:val="auto"/>
              </w:rPr>
            </w:pPr>
          </w:p>
        </w:tc>
        <w:tc>
          <w:tcPr>
            <w:tcW w:w="1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25"/>
        </w:trPr>
        <w:tc>
          <w:tcPr>
            <w:tcW w:w="646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Cost or Cost</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0"/>
              <w:spacing w:after="0" w:line="182" w:lineRule="exact"/>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Fixed maturities:</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U.S. Governments</w:t>
            </w:r>
          </w:p>
        </w:tc>
        <w:tc>
          <w:tcPr>
            <w:tcW w:w="2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29,474</w:t>
            </w:r>
          </w:p>
        </w:tc>
        <w:tc>
          <w:tcPr>
            <w:tcW w:w="420" w:type="dxa"/>
            <w:vAlign w:val="bottom"/>
            <w:gridSpan w:val="2"/>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29,242</w:t>
            </w:r>
          </w:p>
        </w:tc>
        <w:tc>
          <w:tcPr>
            <w:tcW w:w="1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89"/>
        </w:trPr>
        <w:tc>
          <w:tcPr>
            <w:tcW w:w="64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19,702</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18,676</w:t>
            </w:r>
          </w:p>
        </w:tc>
        <w:tc>
          <w:tcPr>
            <w:tcW w:w="16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89"/>
        </w:trPr>
        <w:tc>
          <w:tcPr>
            <w:tcW w:w="64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20,172</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18,232</w:t>
            </w:r>
          </w:p>
        </w:tc>
        <w:tc>
          <w:tcPr>
            <w:tcW w:w="1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89"/>
        </w:trPr>
        <w:tc>
          <w:tcPr>
            <w:tcW w:w="64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718,143</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706,695</w:t>
            </w:r>
          </w:p>
        </w:tc>
        <w:tc>
          <w:tcPr>
            <w:tcW w:w="16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189"/>
        </w:trPr>
        <w:tc>
          <w:tcPr>
            <w:tcW w:w="64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Mortgage/asset-backed securities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643,943</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636,872</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03"/>
        </w:trPr>
        <w:tc>
          <w:tcPr>
            <w:tcW w:w="64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available-for-sale investments</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1,431,434</w:t>
            </w:r>
          </w:p>
        </w:tc>
        <w:tc>
          <w:tcPr>
            <w:tcW w:w="420" w:type="dxa"/>
            <w:vAlign w:val="bottom"/>
            <w:gridSpan w:val="2"/>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1,409,717</w:t>
            </w:r>
          </w:p>
        </w:tc>
        <w:tc>
          <w:tcPr>
            <w:tcW w:w="164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-25400</wp:posOffset>
            </wp:positionV>
            <wp:extent cx="946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9461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7"/>
                <w:szCs w:val="17"/>
                <w:color w:val="auto"/>
              </w:rPr>
            </w:pPr>
          </w:p>
        </w:tc>
        <w:tc>
          <w:tcPr>
            <w:tcW w:w="1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25"/>
        </w:trPr>
        <w:tc>
          <w:tcPr>
            <w:tcW w:w="646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Cost or Cost</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0"/>
              <w:spacing w:after="0" w:line="182" w:lineRule="exact"/>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Fixed maturities:</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U.S. Governments</w:t>
            </w:r>
          </w:p>
        </w:tc>
        <w:tc>
          <w:tcPr>
            <w:tcW w:w="2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23,716</w:t>
            </w:r>
          </w:p>
        </w:tc>
        <w:tc>
          <w:tcPr>
            <w:tcW w:w="420" w:type="dxa"/>
            <w:vAlign w:val="bottom"/>
            <w:gridSpan w:val="2"/>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23,587</w:t>
            </w:r>
          </w:p>
        </w:tc>
        <w:tc>
          <w:tcPr>
            <w:tcW w:w="1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89"/>
        </w:trPr>
        <w:tc>
          <w:tcPr>
            <w:tcW w:w="64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19,745</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18,862</w:t>
            </w:r>
          </w:p>
        </w:tc>
        <w:tc>
          <w:tcPr>
            <w:tcW w:w="16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89"/>
        </w:trPr>
        <w:tc>
          <w:tcPr>
            <w:tcW w:w="64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19,280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17,465</w:t>
            </w:r>
          </w:p>
        </w:tc>
        <w:tc>
          <w:tcPr>
            <w:tcW w:w="1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89"/>
        </w:trPr>
        <w:tc>
          <w:tcPr>
            <w:tcW w:w="64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606,748</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608,235</w:t>
            </w:r>
          </w:p>
        </w:tc>
        <w:tc>
          <w:tcPr>
            <w:tcW w:w="16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189"/>
        </w:trPr>
        <w:tc>
          <w:tcPr>
            <w:tcW w:w="64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Mortgage/asset-backed securities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558,116</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556,038</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03"/>
        </w:trPr>
        <w:tc>
          <w:tcPr>
            <w:tcW w:w="64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available-for-sale investments</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1,227,605</w:t>
            </w:r>
          </w:p>
        </w:tc>
        <w:tc>
          <w:tcPr>
            <w:tcW w:w="420" w:type="dxa"/>
            <w:vAlign w:val="bottom"/>
            <w:gridSpan w:val="2"/>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1,224,187</w:t>
            </w:r>
          </w:p>
        </w:tc>
        <w:tc>
          <w:tcPr>
            <w:tcW w:w="164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-24765</wp:posOffset>
            </wp:positionV>
            <wp:extent cx="946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946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provide the credit quality of investment securities as of March 31, 2026 and December 31,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2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3"/>
        </w:trPr>
        <w:tc>
          <w:tcPr>
            <w:tcW w:w="7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b w:val="1"/>
                <w:bCs w:val="1"/>
                <w:color w:val="auto"/>
              </w:rPr>
              <w:t>($ in</w:t>
            </w:r>
          </w:p>
        </w:tc>
        <w:tc>
          <w:tcPr>
            <w:tcW w:w="6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78"/>
              </w:rPr>
              <w:t>thousands)</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Rating</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AAA</w:t>
            </w:r>
          </w:p>
        </w:tc>
        <w:tc>
          <w:tcPr>
            <w:tcW w:w="400" w:type="dxa"/>
            <w:vAlign w:val="bottom"/>
            <w:gridSpan w:val="2"/>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157,415</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89"/>
        </w:trPr>
        <w:tc>
          <w:tcPr>
            <w:tcW w:w="7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AA</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468,089</w:t>
            </w: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189"/>
        </w:trPr>
        <w:tc>
          <w:tcPr>
            <w:tcW w:w="7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388,322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189"/>
        </w:trPr>
        <w:tc>
          <w:tcPr>
            <w:tcW w:w="7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BBB</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342,654</w:t>
            </w: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189"/>
        </w:trPr>
        <w:tc>
          <w:tcPr>
            <w:tcW w:w="7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BB</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49,314</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9"/>
        </w:trPr>
        <w:tc>
          <w:tcPr>
            <w:tcW w:w="7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B</w:t>
            </w:r>
          </w:p>
        </w:tc>
        <w:tc>
          <w:tcPr>
            <w:tcW w:w="18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3,923</w:t>
            </w:r>
          </w:p>
        </w:tc>
        <w:tc>
          <w:tcPr>
            <w:tcW w:w="120" w:type="dxa"/>
            <w:vAlign w:val="bottom"/>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83"/>
        </w:trPr>
        <w:tc>
          <w:tcPr>
            <w:tcW w:w="7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1,409,717</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2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25"/>
        </w:trPr>
        <w:tc>
          <w:tcPr>
            <w:tcW w:w="3500" w:type="dxa"/>
            <w:vAlign w:val="bottom"/>
            <w:tcBorders>
              <w:bottom w:val="single" w:sz="8" w:color="auto"/>
            </w:tcBorders>
            <w:vMerge w:val="continue"/>
          </w:tcPr>
          <w:p>
            <w:pPr>
              <w:spacing w:after="0"/>
              <w:rPr>
                <w:sz w:val="19"/>
                <w:szCs w:val="19"/>
                <w:color w:val="auto"/>
              </w:rPr>
            </w:pPr>
          </w:p>
        </w:tc>
        <w:tc>
          <w:tcPr>
            <w:tcW w:w="40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b w:val="1"/>
                <w:bCs w:val="1"/>
                <w:color w:val="auto"/>
              </w:rPr>
              <w:t>($ in</w:t>
            </w:r>
          </w:p>
        </w:tc>
        <w:tc>
          <w:tcPr>
            <w:tcW w:w="6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78"/>
              </w:rPr>
              <w:t>thousands)</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Rating</w:t>
            </w:r>
          </w:p>
        </w:tc>
        <w:tc>
          <w:tcPr>
            <w:tcW w:w="4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AAA</w:t>
            </w:r>
          </w:p>
        </w:tc>
        <w:tc>
          <w:tcPr>
            <w:tcW w:w="4400" w:type="dxa"/>
            <w:vAlign w:val="bottom"/>
            <w:gridSpan w:val="3"/>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143,223</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89"/>
        </w:trPr>
        <w:tc>
          <w:tcPr>
            <w:tcW w:w="3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AA</w:t>
            </w:r>
          </w:p>
        </w:tc>
        <w:tc>
          <w:tcPr>
            <w:tcW w:w="4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411,484</w:t>
            </w: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189"/>
        </w:trPr>
        <w:tc>
          <w:tcPr>
            <w:tcW w:w="3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w:t>
            </w:r>
          </w:p>
        </w:tc>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318,324</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189"/>
        </w:trPr>
        <w:tc>
          <w:tcPr>
            <w:tcW w:w="3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BBB</w:t>
            </w:r>
          </w:p>
        </w:tc>
        <w:tc>
          <w:tcPr>
            <w:tcW w:w="4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297,191</w:t>
            </w: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189"/>
        </w:trPr>
        <w:tc>
          <w:tcPr>
            <w:tcW w:w="3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BB</w:t>
            </w:r>
          </w:p>
        </w:tc>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48,471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89"/>
        </w:trPr>
        <w:tc>
          <w:tcPr>
            <w:tcW w:w="3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B</w:t>
            </w:r>
          </w:p>
        </w:tc>
        <w:tc>
          <w:tcPr>
            <w:tcW w:w="4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3,993</w:t>
            </w: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89"/>
        </w:trPr>
        <w:tc>
          <w:tcPr>
            <w:tcW w:w="3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CCC &amp; Below</w:t>
            </w:r>
          </w:p>
        </w:tc>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1,501</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3500" w:type="dxa"/>
            <w:vAlign w:val="bottom"/>
            <w:shd w:val="clear" w:color="auto" w:fill="CFF0FC"/>
          </w:tcPr>
          <w:p>
            <w:pPr>
              <w:spacing w:after="0"/>
              <w:rPr>
                <w:sz w:val="19"/>
                <w:szCs w:val="19"/>
                <w:color w:val="auto"/>
              </w:rPr>
            </w:pPr>
          </w:p>
        </w:tc>
        <w:tc>
          <w:tcPr>
            <w:tcW w:w="4400" w:type="dxa"/>
            <w:vAlign w:val="bottom"/>
            <w:gridSpan w:val="3"/>
            <w:shd w:val="clear" w:color="auto" w:fill="CFF0FC"/>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1,224,187</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655"/>
        </w:trPr>
        <w:tc>
          <w:tcPr>
            <w:tcW w:w="3500" w:type="dxa"/>
            <w:vAlign w:val="bottom"/>
            <w:tcBorders>
              <w:top w:val="single" w:sz="8" w:color="CFF0FC"/>
            </w:tcBorders>
          </w:tcPr>
          <w:p>
            <w:pPr>
              <w:spacing w:after="0"/>
              <w:rPr>
                <w:sz w:val="24"/>
                <w:szCs w:val="24"/>
                <w:color w:val="auto"/>
              </w:rPr>
            </w:pPr>
          </w:p>
        </w:tc>
        <w:tc>
          <w:tcPr>
            <w:tcW w:w="4000" w:type="dxa"/>
            <w:vAlign w:val="bottom"/>
            <w:tcBorders>
              <w:top w:val="single" w:sz="8" w:color="CFF0FC"/>
            </w:tcBorders>
          </w:tcPr>
          <w:p>
            <w:pPr>
              <w:jc w:val="right"/>
              <w:ind w:right="169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350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-942340</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-925195</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The amortized cost and fair value of our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investments in fixed maturity securities summarized by contractual maturity as of</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7"/>
                <w:szCs w:val="17"/>
                <w:color w:val="auto"/>
              </w:rPr>
            </w:pPr>
          </w:p>
        </w:tc>
        <w:tc>
          <w:tcPr>
            <w:tcW w:w="1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25"/>
        </w:trPr>
        <w:tc>
          <w:tcPr>
            <w:tcW w:w="646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0"/>
              <w:spacing w:after="0" w:line="182" w:lineRule="exact"/>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Due within one year</w:t>
            </w:r>
          </w:p>
        </w:tc>
        <w:tc>
          <w:tcPr>
            <w:tcW w:w="32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61,100</w:t>
            </w:r>
          </w:p>
        </w:tc>
        <w:tc>
          <w:tcPr>
            <w:tcW w:w="420" w:type="dxa"/>
            <w:vAlign w:val="bottom"/>
            <w:gridSpan w:val="2"/>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61,029</w:t>
            </w:r>
          </w:p>
        </w:tc>
        <w:tc>
          <w:tcPr>
            <w:tcW w:w="16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89"/>
        </w:trPr>
        <w:tc>
          <w:tcPr>
            <w:tcW w:w="6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286,548</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282,929</w:t>
            </w:r>
          </w:p>
        </w:tc>
        <w:tc>
          <w:tcPr>
            <w:tcW w:w="1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189"/>
        </w:trPr>
        <w:tc>
          <w:tcPr>
            <w:tcW w:w="64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261,369</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258,947</w:t>
            </w:r>
          </w:p>
        </w:tc>
        <w:tc>
          <w:tcPr>
            <w:tcW w:w="16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189"/>
        </w:trPr>
        <w:tc>
          <w:tcPr>
            <w:tcW w:w="6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Due after ten years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178,474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169,940</w:t>
            </w:r>
          </w:p>
        </w:tc>
        <w:tc>
          <w:tcPr>
            <w:tcW w:w="1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89"/>
        </w:trPr>
        <w:tc>
          <w:tcPr>
            <w:tcW w:w="646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Mortgage and asset-backed securities</w:t>
            </w:r>
          </w:p>
        </w:tc>
        <w:tc>
          <w:tcPr>
            <w:tcW w:w="1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643,943</w:t>
            </w:r>
          </w:p>
        </w:tc>
        <w:tc>
          <w:tcPr>
            <w:tcW w:w="1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636,872</w:t>
            </w:r>
          </w:p>
        </w:tc>
        <w:tc>
          <w:tcPr>
            <w:tcW w:w="100" w:type="dxa"/>
            <w:vAlign w:val="bottom"/>
            <w:tcBorders>
              <w:bottom w:val="single" w:sz="8" w:color="CFF0FC"/>
            </w:tcBorders>
            <w:shd w:val="clear" w:color="auto" w:fill="CFF0FC"/>
          </w:tcPr>
          <w:p>
            <w:pPr>
              <w:spacing w:after="0"/>
              <w:rPr>
                <w:sz w:val="16"/>
                <w:szCs w:val="16"/>
                <w:color w:val="auto"/>
              </w:rPr>
            </w:pPr>
          </w:p>
        </w:tc>
        <w:tc>
          <w:tcPr>
            <w:tcW w:w="15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32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1,431,434</w:t>
            </w:r>
          </w:p>
        </w:tc>
        <w:tc>
          <w:tcPr>
            <w:tcW w:w="420" w:type="dxa"/>
            <w:vAlign w:val="bottom"/>
            <w:gridSpan w:val="2"/>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1,409,717</w:t>
            </w:r>
          </w:p>
        </w:tc>
        <w:tc>
          <w:tcPr>
            <w:tcW w:w="16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-153670</wp:posOffset>
            </wp:positionV>
            <wp:extent cx="9461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-153670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1360" w:firstLine="749"/>
        <w:spacing w:after="0" w:line="446" w:lineRule="auto"/>
        <w:rPr>
          <w:sz w:val="20"/>
          <w:szCs w:val="20"/>
          <w:color w:val="auto"/>
        </w:rPr>
      </w:pPr>
      <w:r>
        <w:rPr>
          <w:rFonts w:ascii="Times New Roman" w:cs="Times New Roman" w:eastAsia="Times New Roman" w:hAnsi="Times New Roman"/>
          <w:sz w:val="18"/>
          <w:szCs w:val="18"/>
          <w:color w:val="auto"/>
        </w:rPr>
        <w:t xml:space="preserve">Expected maturities may differ from contractual maturities because borrowers may have the right to call or prepay obligations. </w:t>
      </w:r>
      <w:r>
        <w:rPr>
          <w:rFonts w:ascii="Times New Roman" w:cs="Times New Roman" w:eastAsia="Times New Roman" w:hAnsi="Times New Roman"/>
          <w:sz w:val="18"/>
          <w:szCs w:val="18"/>
          <w:b w:val="1"/>
          <w:bCs w:val="1"/>
          <w:i w:val="1"/>
          <w:iCs w:val="1"/>
          <w:color w:val="auto"/>
        </w:rPr>
        <w:t>Reinsurance</w:t>
      </w:r>
    </w:p>
    <w:p>
      <w:pPr>
        <w:ind w:right="40" w:firstLine="749"/>
        <w:spacing w:after="0" w:line="245" w:lineRule="auto"/>
        <w:rPr>
          <w:sz w:val="20"/>
          <w:szCs w:val="20"/>
          <w:color w:val="auto"/>
        </w:rPr>
      </w:pPr>
      <w:r>
        <w:rPr>
          <w:rFonts w:ascii="Times New Roman" w:cs="Times New Roman" w:eastAsia="Times New Roman" w:hAnsi="Times New Roman"/>
          <w:sz w:val="18"/>
          <w:szCs w:val="18"/>
          <w:color w:val="auto"/>
        </w:rPr>
        <w:t>We purchase a significant amount of reinsurance from third parties that we believe enhances our business by reducing our exposure to potential catastrophe losses, limiting volatility in our underwriting performance, and providing us with greater visibility into our future earnings. Reinsurance involves transferring, or ceding, a portion of our risk exposure on policies that we write to another insurer, the reinsurer, in exchange for a premium. To the extent that our reinsurers are unable to meet the obligations they assume under our reinsurance agreements, we remain liable for the entire insured loss; see “Risk Factors—Risks Related to Our Business and Industry—We may be unable to purchase third-party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spacing w:after="0" w:line="154" w:lineRule="exact"/>
        <w:rPr>
          <w:sz w:val="20"/>
          <w:szCs w:val="20"/>
          <w:color w:val="auto"/>
        </w:rPr>
      </w:pPr>
    </w:p>
    <w:p>
      <w:pPr>
        <w:ind w:right="100" w:firstLine="749"/>
        <w:spacing w:after="0" w:line="243" w:lineRule="auto"/>
        <w:rPr>
          <w:sz w:val="20"/>
          <w:szCs w:val="20"/>
          <w:color w:val="auto"/>
        </w:rPr>
      </w:pPr>
      <w:r>
        <w:rPr>
          <w:rFonts w:ascii="Times New Roman" w:cs="Times New Roman" w:eastAsia="Times New Roman" w:hAnsi="Times New Roman"/>
          <w:sz w:val="18"/>
          <w:szCs w:val="18"/>
          <w:color w:val="auto"/>
        </w:rPr>
        <w:t>We use treaty reinsurance and, on a limited basis, facultative reinsurance coverage. Treaty coverage refers to a reinsurance contract that is applied to a group or class of business where all the risks written meet the criteria for that class. Our treaty reinsurance program primarily consists of catastrophe XOL coverage, in which the reinsurer(s) agree to assume all or a portion of the ceding company’s losses relating to a group of policies occurring in relation to specified events, subject to customary exclusions, in excess of a specified amount. Additionally, we buy program specific reinsurance coverage for specific lines of business on a quota share, property per risk or a facultative basis. In quota share reinsurance, the reinsurer agrees to assume a specified percentage of the ceding company’s losses arising out of a defined class of business in exchange for a corresponding percentage of premiums, net of a ceding commission. Property per risk coverage is similar to catastrophe XOL coverage except that the treaty applies in individual property losses rather than in the aggregate for all claims associated with a single catastrophic loss occurrence. Facultative coverage refers to a reinsurance contract on individual risks as opposed to a group or class of business. We use facultative reinsurance selectively to supplement limits or to cover risks or perils excluded from other reinsurance contracts.</w:t>
      </w:r>
    </w:p>
    <w:p>
      <w:pPr>
        <w:spacing w:after="0" w:line="145" w:lineRule="exact"/>
        <w:rPr>
          <w:sz w:val="20"/>
          <w:szCs w:val="20"/>
          <w:color w:val="auto"/>
        </w:rPr>
      </w:pPr>
    </w:p>
    <w:p>
      <w:pPr>
        <w:ind w:right="140" w:firstLine="749"/>
        <w:spacing w:after="0" w:line="250" w:lineRule="auto"/>
        <w:rPr>
          <w:sz w:val="20"/>
          <w:szCs w:val="20"/>
          <w:color w:val="auto"/>
        </w:rPr>
      </w:pPr>
      <w:r>
        <w:rPr>
          <w:rFonts w:ascii="Times New Roman" w:cs="Times New Roman" w:eastAsia="Times New Roman" w:hAnsi="Times New Roman"/>
          <w:sz w:val="18"/>
          <w:szCs w:val="18"/>
          <w:color w:val="auto"/>
        </w:rPr>
        <w:t>We have a robust program utilizing a mix of traditional reinsurers and insurance linked securities. We currently purchase reinsurance from over 100 reinsurers, who either have an “A−” (Excellent) (Outlook Stable) or better financial strength rating by A.M. Best or post collateral. Our reinsurance contracts include special termination provisions that allow us to cancel and replace any participating reinsurer that is downgraded below a rating of “A−” (Excellent) (Outlook Stable) from A.M. Best, or whose surplus drops by more than 20%.</w:t>
      </w:r>
    </w:p>
    <w:p>
      <w:pPr>
        <w:spacing w:after="0" w:line="150"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In addition to reinsurance from traditional reinsurers, we utilize collateralized protection via catastrophe bonds. We currently have $1.2 billion of multi-year indemnity-based reinsurance coverage for earthquake events, all issued through Torrey Pines Re Ltd, a Bermuda-domiciled special purpose insurer.</w:t>
      </w:r>
    </w:p>
    <w:p>
      <w:pPr>
        <w:spacing w:after="0" w:line="150"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18"/>
          <w:szCs w:val="18"/>
          <w:color w:val="auto"/>
        </w:rPr>
        <w:t>Our catastrophe event retention is $20 million for earthquake events and $11 million for hurricane events and all other perils. Laulima maintains Hawaii hurricane reinsurance coverage through a standalone XOL treaty, which provides per-occurrence coverage up to $735 million with a retention of $1.5 million. Our reinsurance coverage exhausts at $3.5 billion for earthquake events and $100 million for continental U.S. hurricane events, providing coverage in excess of our 1 in 250-year peak zone PML and in excess of our A.M. Best requirement. In addition, we maintain reinsurance coverage equivalent to or better than the 1 in 250-year PML for our other lines.</w:t>
      </w:r>
    </w:p>
    <w:p>
      <w:pPr>
        <w:spacing w:after="0" w:line="154"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the event that multiple catastrophe events occur in a period, many of our contracts include the right to reinstate reinsurance limits for potential future recoveries during the same contract year and preserve our limit for subsequent events. This feature for subsequent event coverage is known as a “reinstatement.”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89"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8"/>
          <w:szCs w:val="18"/>
          <w:color w:val="auto"/>
        </w:rPr>
        <w:t>We identified the accounting estimates which are critical to the understanding of our financial position and results of operations. Critical accounting estimates are defined as those estimates that are both important to the portrayal of our financial condition and results of operations and require us to exercise significant judgment. We use significant judgment concerning future results and developments in applying these critical accounting estimates and in preparing our condensed consolidated financial statements. These judgments and estimates affect our reported amounts of assets, liabilities, revenues and expenses and the disclosure of our material contingent assets and liabilities. Actual results may differ materially from the estimates and assumptions used in preparing the condensed consolidated financial statements. We evaluate our estimates regularly using information that we believe to be relevant. Our critical accounting policies and estimates are described in our annual consolidated financial statements and the related notes in our 2025 Annual Report on Form 10-K. In addition to those policies, during the current period the Company applied significant judgment in connection with the acquisition of Gray Surety, particularly with respect to the preliminary purchase price allocation, including the estimation of the fair value of acquired assets and assumed liabilities (such as intangible assets and reserves). These estimates remain subject to refinement as additional information becomes available during the measurement period.</w:t>
      </w:r>
    </w:p>
    <w:p>
      <w:pPr>
        <w:spacing w:after="0" w:line="148"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Our critical accounting policies remain consistent with those disclosed in Management’s Discussion and Analysis of Financial Condition and Operations included in our 2025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Market risk is a general term describing the potential economic loss associated with adverse changes in the fair value of financial instruments. Our condensed consolidated balance sheets include assets and liabilities with estimated fair values that are subject to market risk. Our primary market risks have been equity price risk associated with investments in equity securities and interest rate risk associated with investments in fixed maturities, as well as limited exposure from a livestock put option designated as a cash flow hedge recorded in Other investments.</w:t>
      </w:r>
    </w:p>
    <w:p>
      <w:pPr>
        <w:spacing w:after="0" w:line="150" w:lineRule="exact"/>
        <w:rPr>
          <w:sz w:val="20"/>
          <w:szCs w:val="20"/>
          <w:color w:val="auto"/>
        </w:rPr>
      </w:pPr>
    </w:p>
    <w:p>
      <w:pPr>
        <w:ind w:right="480" w:firstLine="749"/>
        <w:spacing w:after="0" w:line="266" w:lineRule="auto"/>
        <w:rPr>
          <w:sz w:val="20"/>
          <w:szCs w:val="20"/>
          <w:color w:val="auto"/>
        </w:rPr>
      </w:pPr>
      <w:r>
        <w:rPr>
          <w:rFonts w:ascii="Times New Roman" w:cs="Times New Roman" w:eastAsia="Times New Roman" w:hAnsi="Times New Roman"/>
          <w:sz w:val="18"/>
          <w:szCs w:val="18"/>
          <w:color w:val="auto"/>
        </w:rPr>
        <w:t>Credit risk is the potential loss resulting from adverse changes in an issuer’s ability to repay its debt obligations. In general, we manage the exposure to credit risk in our investment portfolio by investing in high quality securities and by diversifying our holdings.</w:t>
      </w:r>
    </w:p>
    <w:p>
      <w:pPr>
        <w:spacing w:after="0" w:line="135"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color w:val="auto"/>
        </w:rPr>
        <w:t>We monitor our investment portfolio to ensure that credit risk does not exceed prudent levels. The majority of our investment portfolio is invested in high credit quality, investment grade fixed maturity securities. We also invest in higher yielding fixed maturities and equity securities. Our fixed maturity portfolio has an average rating by at least one nationally recognized rating organization of “AA−,” with approximately 71.9% rated “A−” or better. At March 31, 2026, 3.8% of our fixed maturity portfolio was unrated or rated below investment grade. Our fixed maturity portfolio includes some securities issued with financial guaranty insurance. We purchase fixed maturities based on our assessment of the credit quality of the underlying assets without regard to insurance.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w:t>
      </w:r>
    </w:p>
    <w:p>
      <w:pPr>
        <w:spacing w:after="0" w:line="150" w:lineRule="exact"/>
        <w:rPr>
          <w:sz w:val="20"/>
          <w:szCs w:val="20"/>
          <w:color w:val="auto"/>
        </w:rPr>
      </w:pPr>
    </w:p>
    <w:p>
      <w:pPr>
        <w:ind w:right="520" w:firstLine="749"/>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we completed the acquisition of PCSC. In accordance with SEC guidance, we have elected to exclude the operations of the acquired entity from our assessment of internal control over financial reporting for the quarter.</w:t>
      </w:r>
    </w:p>
    <w:p>
      <w:pPr>
        <w:spacing w:after="0" w:line="95" w:lineRule="exact"/>
        <w:rPr>
          <w:sz w:val="20"/>
          <w:szCs w:val="20"/>
          <w:color w:val="auto"/>
        </w:rPr>
      </w:pPr>
    </w:p>
    <w:p>
      <w:pPr>
        <w:ind w:right="200" w:firstLine="749"/>
        <w:spacing w:after="0" w:line="224" w:lineRule="exact"/>
        <w:rPr>
          <w:sz w:val="20"/>
          <w:szCs w:val="20"/>
          <w:color w:val="auto"/>
        </w:rPr>
      </w:pPr>
      <w:r>
        <w:rPr>
          <w:rFonts w:ascii="Times New Roman" w:cs="Times New Roman" w:eastAsia="Times New Roman" w:hAnsi="Times New Roman"/>
          <w:sz w:val="18"/>
          <w:szCs w:val="18"/>
          <w:color w:val="auto"/>
        </w:rPr>
        <w:t>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Q, we carried out an evaluation, under the supervision and with the participation of our management, including our CEO and CFO, of the effectiveness of the design and operation of our disclosure controls and procedures defined under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Exchange Act. Based upon this evaluation, our CEO and CFO concluded that our disclosure controls and procedures were effective.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89" w:lineRule="exact"/>
        <w:rPr>
          <w:sz w:val="20"/>
          <w:szCs w:val="20"/>
          <w:color w:val="auto"/>
        </w:rPr>
      </w:pPr>
    </w:p>
    <w:p>
      <w:pPr>
        <w:ind w:right="720" w:firstLine="749"/>
        <w:spacing w:after="0" w:line="250" w:lineRule="auto"/>
        <w:rPr>
          <w:sz w:val="20"/>
          <w:szCs w:val="20"/>
          <w:color w:val="auto"/>
        </w:rPr>
      </w:pPr>
      <w:r>
        <w:rPr>
          <w:rFonts w:ascii="Times New Roman" w:cs="Times New Roman" w:eastAsia="Times New Roman" w:hAnsi="Times New Roman"/>
          <w:sz w:val="18"/>
          <w:szCs w:val="18"/>
          <w:color w:val="auto"/>
        </w:rPr>
        <w:t>We are in the process of integrating PCSC and expect to include it in the scope of our internal control assessment in future periods. Notwithstanding this exclusion, the financial results of the acquired entities are subject to our existing controls over significant financial reporting processes, including consolidation and financial close activities.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00" w:firstLine="749"/>
        <w:spacing w:after="0" w:line="232" w:lineRule="exact"/>
        <w:rPr>
          <w:sz w:val="20"/>
          <w:szCs w:val="20"/>
          <w:color w:val="auto"/>
        </w:rPr>
      </w:pPr>
      <w:r>
        <w:rPr>
          <w:rFonts w:ascii="Times New Roman" w:cs="Times New Roman" w:eastAsia="Times New Roman" w:hAnsi="Times New Roman"/>
          <w:sz w:val="18"/>
          <w:szCs w:val="18"/>
          <w:color w:val="auto"/>
        </w:rPr>
        <w:t>No other changes in our internal control over financial reporting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under the Exchange Act) occurred during the quarter ended March 31, 2026 that have materially affected, or are reasonably likely to materially affect, our internal control over financial reporting.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89"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We are party to legal proceedings which arise in the ordinary course of business. We believe that the outcome of such matters, individually and in the aggregate, will not have a material adverse effect on our condensed consolidated financial position.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These risks include, but are not limited to, the following: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and Industry:</w:t>
      </w:r>
    </w:p>
    <w:p>
      <w:pPr>
        <w:spacing w:after="0" w:line="187" w:lineRule="exact"/>
        <w:rPr>
          <w:sz w:val="20"/>
          <w:szCs w:val="20"/>
          <w:color w:val="auto"/>
        </w:rPr>
      </w:pPr>
    </w:p>
    <w:p>
      <w:pPr>
        <w:jc w:val="both"/>
        <w:ind w:left="1140" w:right="680" w:hanging="383"/>
        <w:spacing w:after="0" w:line="258"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arising from unpredictable and severe catastrophe events, including those caused by global climate change, could reduce or eliminate our earnings and stockholders’ equity, particularly if such events occur with greater frequency or severity than historical experience, and could limit our ability to underwrite new insurance policies;</w:t>
      </w:r>
    </w:p>
    <w:p>
      <w:pPr>
        <w:spacing w:after="0" w:line="128" w:lineRule="exact"/>
        <w:rPr>
          <w:rFonts w:ascii="Times New Roman" w:cs="Times New Roman" w:eastAsia="Times New Roman" w:hAnsi="Times New Roman"/>
          <w:sz w:val="18"/>
          <w:szCs w:val="18"/>
          <w:color w:val="auto"/>
        </w:rPr>
      </w:pPr>
    </w:p>
    <w:p>
      <w:pPr>
        <w:ind w:left="1140" w:right="14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reinsurers may not pay claims on a timely basis, or at all, which may materially adversely affect our business, financial condition, and results of operations;</w:t>
      </w:r>
    </w:p>
    <w:p>
      <w:pPr>
        <w:spacing w:after="0" w:line="107" w:lineRule="exact"/>
        <w:rPr>
          <w:rFonts w:ascii="Times New Roman" w:cs="Times New Roman" w:eastAsia="Times New Roman" w:hAnsi="Times New Roman"/>
          <w:sz w:val="18"/>
          <w:szCs w:val="18"/>
          <w:color w:val="auto"/>
        </w:rPr>
      </w:pPr>
    </w:p>
    <w:p>
      <w:pPr>
        <w:jc w:val="both"/>
        <w:ind w:left="1140" w:hanging="383"/>
        <w:spacing w:after="0" w:line="258"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loss reserves are established based on estimates and assumptions, which may be inadequate to cover actual incurred losses, including as a result of changes in claims severity, litigation trends, or other loss development, which could have a material adverse impact on our results of operations and financial condition;</w:t>
      </w:r>
    </w:p>
    <w:p>
      <w:pPr>
        <w:spacing w:after="0" w:line="128" w:lineRule="exact"/>
        <w:rPr>
          <w:rFonts w:ascii="Times New Roman" w:cs="Times New Roman" w:eastAsia="Times New Roman" w:hAnsi="Times New Roman"/>
          <w:sz w:val="18"/>
          <w:szCs w:val="18"/>
          <w:color w:val="auto"/>
        </w:rPr>
      </w:pPr>
    </w:p>
    <w:p>
      <w:pPr>
        <w:jc w:val="both"/>
        <w:ind w:left="1140" w:right="120" w:hanging="383"/>
        <w:spacing w:after="0" w:line="258"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purchase third-party reinsurance or otherwise expand our catastrophe coverage in amounts we desire or on terms that are commercially acceptable and adequately protect us, including due to volatility in reinsurance market conditions, and this inability may materially adversely affect our business, financial condition and results of operations;</w:t>
      </w:r>
    </w:p>
    <w:p>
      <w:pPr>
        <w:spacing w:after="0" w:line="142" w:lineRule="exact"/>
        <w:rPr>
          <w:rFonts w:ascii="Times New Roman" w:cs="Times New Roman" w:eastAsia="Times New Roman" w:hAnsi="Times New Roman"/>
          <w:sz w:val="18"/>
          <w:szCs w:val="18"/>
          <w:color w:val="auto"/>
        </w:rPr>
      </w:pPr>
    </w:p>
    <w:p>
      <w:pPr>
        <w:jc w:val="both"/>
        <w:ind w:left="1140" w:right="100" w:hanging="383"/>
        <w:spacing w:after="0" w:line="250"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risk management and loss limitation methods, including estimates and models, which rely on assumptions and historical data, may fail to adequately manage our exposure to losses from catastrophe events or other underwriting risks, and our losses could be materially higher than our expectations;</w:t>
      </w:r>
    </w:p>
    <w:p>
      <w:pPr>
        <w:spacing w:after="0" w:line="149" w:lineRule="exact"/>
        <w:rPr>
          <w:rFonts w:ascii="Times New Roman" w:cs="Times New Roman" w:eastAsia="Times New Roman" w:hAnsi="Times New Roman"/>
          <w:sz w:val="18"/>
          <w:szCs w:val="18"/>
          <w:color w:val="auto"/>
        </w:rPr>
      </w:pPr>
    </w:p>
    <w:p>
      <w:pPr>
        <w:ind w:left="1140" w:right="240" w:hanging="383"/>
        <w:spacing w:after="0" w:line="266"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concentrated in California and we are exposed more significantly to California loss activity and regulatory environments, including regulatory constraints on pricing, underwriting actions, and the timing or approval of rate changes;</w:t>
      </w:r>
    </w:p>
    <w:p>
      <w:pPr>
        <w:spacing w:after="0" w:line="13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select group of brokers and program administrators, and such relationships may not continue or may not perform as expected;</w:t>
      </w:r>
    </w:p>
    <w:p>
      <w:pPr>
        <w:spacing w:after="0" w:line="184" w:lineRule="exact"/>
        <w:rPr>
          <w:rFonts w:ascii="Times New Roman" w:cs="Times New Roman" w:eastAsia="Times New Roman" w:hAnsi="Times New Roman"/>
          <w:sz w:val="18"/>
          <w:szCs w:val="18"/>
          <w:color w:val="auto"/>
        </w:rPr>
      </w:pPr>
    </w:p>
    <w:p>
      <w:pPr>
        <w:ind w:left="1140" w:right="40" w:hanging="383"/>
        <w:spacing w:after="0" w:line="266"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intense competition for business in our industry, which may result in pricing pressure, reduced underwriting margins, or changes in market share;</w:t>
      </w:r>
    </w:p>
    <w:p>
      <w:pPr>
        <w:spacing w:after="0" w:line="135" w:lineRule="exact"/>
        <w:rPr>
          <w:rFonts w:ascii="Times New Roman" w:cs="Times New Roman" w:eastAsia="Times New Roman" w:hAnsi="Times New Roman"/>
          <w:sz w:val="18"/>
          <w:szCs w:val="18"/>
          <w:color w:val="auto"/>
        </w:rPr>
      </w:pPr>
    </w:p>
    <w:p>
      <w:pPr>
        <w:ind w:left="1140" w:right="320" w:hanging="383"/>
        <w:spacing w:after="0" w:line="266"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crop prices, as a result of weather conditions or other events, could adversely impact the performance of our crop insurance business and our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the Economic Environment:</w:t>
      </w:r>
    </w:p>
    <w:p>
      <w:pPr>
        <w:spacing w:after="0" w:line="173" w:lineRule="exact"/>
        <w:rPr>
          <w:sz w:val="20"/>
          <w:szCs w:val="20"/>
          <w:color w:val="auto"/>
        </w:rPr>
      </w:pPr>
    </w:p>
    <w:p>
      <w:pPr>
        <w:ind w:left="1140" w:right="140" w:hanging="383"/>
        <w:spacing w:after="0" w:line="266"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factors, including recession, inflation, periods of high unemployment or lower economic activity could affect insurance demand, loss activity, investment returns, and our growth and profitability;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140" w:right="100" w:hanging="383"/>
        <w:spacing w:after="0" w:line="266"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trade policies, including the imposition of tariffs, along with broader economic uncertainty, could contribute to financial market volatility, interest rate fluctuations, and disruptions to the sectors we insure;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Technology:</w:t>
      </w:r>
    </w:p>
    <w:p>
      <w:pPr>
        <w:spacing w:after="0" w:line="187" w:lineRule="exact"/>
        <w:rPr>
          <w:sz w:val="20"/>
          <w:szCs w:val="20"/>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disruption of our information technology and telecommunications systems could adversely affect our business;</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or cyber-attacks could expose us to liability and damage our reputation and business;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and evolution of artificial intelligence (AI) will impact our business and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Laws and Regulations:</w:t>
      </w:r>
    </w:p>
    <w:p>
      <w:pPr>
        <w:spacing w:after="0" w:line="173" w:lineRule="exact"/>
        <w:rPr>
          <w:sz w:val="20"/>
          <w:szCs w:val="20"/>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regulation, which may adversely affect our ability to achieve our business objectives;</w:t>
      </w:r>
    </w:p>
    <w:p>
      <w:pPr>
        <w:spacing w:after="0" w:line="184" w:lineRule="exact"/>
        <w:rPr>
          <w:rFonts w:ascii="Times New Roman" w:cs="Times New Roman" w:eastAsia="Times New Roman" w:hAnsi="Times New Roman"/>
          <w:sz w:val="18"/>
          <w:szCs w:val="18"/>
          <w:color w:val="auto"/>
        </w:rPr>
      </w:pPr>
    </w:p>
    <w:p>
      <w:pPr>
        <w:ind w:left="1140" w:right="20" w:hanging="383"/>
        <w:spacing w:after="0" w:line="266"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the interpretation of our coverage or provisions, including loss limitations and exclusions, in our policies could have a material adverse effect on our financial condition or results of operations;</w:t>
      </w:r>
    </w:p>
    <w:p>
      <w:pPr>
        <w:spacing w:after="0" w:line="135" w:lineRule="exact"/>
        <w:rPr>
          <w:rFonts w:ascii="Times New Roman" w:cs="Times New Roman" w:eastAsia="Times New Roman" w:hAnsi="Times New Roman"/>
          <w:sz w:val="18"/>
          <w:szCs w:val="18"/>
          <w:color w:val="auto"/>
        </w:rPr>
      </w:pPr>
    </w:p>
    <w:p>
      <w:pPr>
        <w:ind w:left="1140" w:right="540" w:hanging="383"/>
        <w:spacing w:after="0" w:line="266"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 costs as a result of operating as a public company, and our management is required to devote substantial time to complying with public company regulations; and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Ownership of our Common Stock:</w:t>
      </w:r>
    </w:p>
    <w:p>
      <w:pPr>
        <w:spacing w:after="0" w:line="173" w:lineRule="exact"/>
        <w:rPr>
          <w:sz w:val="20"/>
          <w:szCs w:val="20"/>
          <w:color w:val="auto"/>
        </w:rPr>
      </w:pPr>
    </w:p>
    <w:p>
      <w:pPr>
        <w:ind w:left="1140" w:right="12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and stock price may be volatile, or may decline regardless of our operating performance, and holders of our common stock could lose all or part of their investment.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85"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Claims arising from unpredictable and severe catastrophe events, including those caused by global climate change, could reduce or eliminate our earnings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 particularly if such events occur with greater frequency or severity than historical experience, and could limit our ability to underwrite new insurance policies.</w:t>
      </w:r>
    </w:p>
    <w:p>
      <w:pPr>
        <w:spacing w:after="0" w:line="128"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8"/>
          <w:szCs w:val="18"/>
          <w:color w:val="auto"/>
        </w:rPr>
        <w:t>Our insurance operations expose us to claims arising from unpredictable catastrophe events, such as earthquakes, hurricanes, droughts, windstorms, floods, wildfires, and other severe events. We have incurred significant losses from catastrophe events multiple times in our history and we may incur significant losses from future catastrophe events. The actual occurrence, frequency and magnitude of such events are uncertain. While there can be no certainty surrounding the timing and magnitude of earthquakes, some observers believe that significant shifts in the tectonic plates, including the San Andreas Fault, may occur in the future. Over the past several years, changing weather patterns and climatic conditions, such as global warming, have added to the unpredictability and frequency of natural disasters in certain parts of the world, including the markets in which we operate. Climate change may contribute to increased frequency, severity or geographic concentration of extreme weather events. This effect has led to conditions in the ocean and atmosphere, including warmer-than-average sea-surface temperatures and low wind shear that increase hurricane activity. Hurricane activity typically increases between June and November of each year, though the actual occurrence and magnitude of such events is uncertain. The occurrence of a natural disaster or other catastrophe loss could materially adversely affect our business, financial condition, and results of operations. These events could impact our business even where we do not have insured exposure, such as the 2025 California wildfires, as homes and businesses lost due to such events may cancel or not renew their policies with us. Additionally, any increased frequency and severity of such weather events, including hurricanes, could materially impair our ability to accurately predict, quantify, reinsure and manage catastrophe risk and may materially increase our losses.</w:t>
      </w:r>
    </w:p>
    <w:p>
      <w:pPr>
        <w:spacing w:after="0" w:line="162" w:lineRule="exact"/>
        <w:rPr>
          <w:sz w:val="20"/>
          <w:szCs w:val="20"/>
          <w:color w:val="auto"/>
        </w:rPr>
      </w:pPr>
    </w:p>
    <w:p>
      <w:pPr>
        <w:ind w:right="20" w:firstLine="749"/>
        <w:spacing w:after="0" w:line="243" w:lineRule="auto"/>
        <w:rPr>
          <w:sz w:val="20"/>
          <w:szCs w:val="20"/>
          <w:color w:val="auto"/>
        </w:rPr>
      </w:pPr>
      <w:r>
        <w:rPr>
          <w:rFonts w:ascii="Times New Roman" w:cs="Times New Roman" w:eastAsia="Times New Roman" w:hAnsi="Times New Roman"/>
          <w:sz w:val="18"/>
          <w:szCs w:val="18"/>
          <w:color w:val="auto"/>
        </w:rPr>
        <w:t>The extent of losses from catastrophes is a function of both the frequency and severity of the insured events and the total amount of insured exposure in the areas affected. The frequency and severity of catastrophes are inherently unpredictable and the occurrence of one catastrophe does not make the occurrence of another catastrophe more or less likely. Increases in the replacement cost of insured property due to higher material and labor costs, increases in concentrations of insured property, and changes in cyclical weather patterns may increase the severity of claims from catastrophe events in the future. Claims from catastrophe events could reduce our earnings and cause substantial volatility in our results of operations for any fiscal quarter or year, which could materially adversely affect our financial condition, possibly to the extent of eliminating our total stockholders’ equity. Our ability to underwrite new insurance policies could also be materially adversely impacted as a result of corresponding reductions in our capital. In addition, a natural disaster could materially impact the financial condition of our policyholders, resulting in loss of premiums.</w:t>
      </w:r>
    </w:p>
    <w:p>
      <w:pPr>
        <w:spacing w:after="0" w:line="146"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Our reinsurance coverage currently exhausts at $3.5 billion for earthquake events and $100 million for continental U.S. hurricane events, with coverage in excess of our estimated peak zone 1 in 250 year PML event and in excess of our A.M. Best threshold. Laulima maintains Hawaii hurricane reinsurance coverage through a standalone XOL treaty, which provides per-occurrence</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coverage up to $735 million with a retention of $1.5 million. Our catastrophe event retention is currently $20 million for earthquake events and $11 million for hurricane events and all other perils. In addition to our event retention, we may also incur additional reinsurance expenses upon a catastrophe event. While we only select reinsurers whom we believe to have acceptable credit, if our reinsurers are unable to pay the claims for which they are responsible, we retain primary liability. Our earthquake policies do not provide coverage for fire damage arising from an earthquake. Catastrophe events which cause our reinsurers to incur losses may increase the cost of reinsurance in future periods, increase retentions or reduce available limits, or make it more difficult to obtain reinsurance on commercially acceptable terms. While we believe our risk transfer program reduces exposure to catastrophe losses and earnings volatility, one or more severe catastrophe events could result in claims that exceed the limits of our reinsurance coverage.</w:t>
      </w:r>
    </w:p>
    <w:p>
      <w:pPr>
        <w:spacing w:after="0" w:line="150"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reinsurers may not pay claims on a timely basis, or at all, which may materially adversely affect our business, financial condition, and results of operations.</w:t>
      </w:r>
    </w:p>
    <w:p>
      <w:pPr>
        <w:spacing w:after="0" w:line="131" w:lineRule="exact"/>
        <w:rPr>
          <w:sz w:val="20"/>
          <w:szCs w:val="20"/>
          <w:color w:val="auto"/>
        </w:rPr>
      </w:pPr>
    </w:p>
    <w:p>
      <w:pPr>
        <w:ind w:right="20" w:firstLine="749"/>
        <w:spacing w:after="0" w:line="245" w:lineRule="auto"/>
        <w:rPr>
          <w:sz w:val="20"/>
          <w:szCs w:val="20"/>
          <w:color w:val="auto"/>
        </w:rPr>
      </w:pPr>
      <w:r>
        <w:rPr>
          <w:rFonts w:ascii="Times New Roman" w:cs="Times New Roman" w:eastAsia="Times New Roman" w:hAnsi="Times New Roman"/>
          <w:sz w:val="18"/>
          <w:szCs w:val="18"/>
          <w:color w:val="auto"/>
        </w:rPr>
        <w:t>Our ability to grow our business is dependent in part on our ability to secure reinsurance for a substantial portion of the risk associated with our policies. Although reinsurance makes the reinsurer liable to us to the extent the risk is transferred or ceded to the reinsurer, it does not relieve us (the ceding insurer) of our primary liability to our policyholders. While our current reinsurance program is designed to limit our risk retention, in the event of a major catastrophe, our reinsurers may not pay claims made by us on a timely basis, or they may not pay some or all such claims.</w:t>
      </w:r>
    </w:p>
    <w:p>
      <w:pPr>
        <w:spacing w:after="0" w:line="154" w:lineRule="exact"/>
        <w:rPr>
          <w:sz w:val="20"/>
          <w:szCs w:val="20"/>
          <w:color w:val="auto"/>
        </w:rPr>
      </w:pPr>
    </w:p>
    <w:p>
      <w:pPr>
        <w:ind w:right="120" w:firstLine="749"/>
        <w:spacing w:after="0"/>
        <w:rPr>
          <w:sz w:val="20"/>
          <w:szCs w:val="20"/>
          <w:color w:val="auto"/>
        </w:rPr>
      </w:pPr>
      <w:r>
        <w:rPr>
          <w:rFonts w:ascii="Times New Roman" w:cs="Times New Roman" w:eastAsia="Times New Roman" w:hAnsi="Times New Roman"/>
          <w:sz w:val="18"/>
          <w:szCs w:val="18"/>
          <w:color w:val="auto"/>
        </w:rPr>
        <w:t>In addition, reinsurers may default in their financial obligations to us as the result of insolvency, lack of liquidity, operational failure, fraud, asserted defenses based on agreement wordings or the principle of utmost good faith, asserted deficiencies in the documentation of agreements, or other reasons. Any disputes with reinsurers regarding coverage under reinsurance contracts could be time consuming, costly, and subject to uncertain outcomes. If a catastrophe event were to occur and our reinsurers were unable to satisfy their commitments to us, we may be unable to satisfy our policyholder liabilities which would adversely impact our results of operations and financial condition. We evaluate each reinsurance claim based on the facts of the case, historical experience with the reinsurer on similar claims and existing case law and consider including any amounts deemed uncollectible from the reinsurer in a reserve for uncollectible reinsurance.</w:t>
      </w:r>
    </w:p>
    <w:p>
      <w:pPr>
        <w:spacing w:after="0" w:line="14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loss reserves are established based on estimates and assumptions, which may be inadequate to cover actual incurred losses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including as a result of changes in claims severity, litigation trends, or other loss development, and could have a material adverse impact on our results of operations and financial condition.</w:t>
      </w:r>
    </w:p>
    <w:p>
      <w:pPr>
        <w:spacing w:after="0" w:line="149" w:lineRule="exact"/>
        <w:rPr>
          <w:sz w:val="20"/>
          <w:szCs w:val="20"/>
          <w:color w:val="auto"/>
        </w:rPr>
      </w:pPr>
    </w:p>
    <w:p>
      <w:pPr>
        <w:ind w:right="200" w:firstLine="749"/>
        <w:spacing w:after="0" w:line="250" w:lineRule="auto"/>
        <w:rPr>
          <w:sz w:val="20"/>
          <w:szCs w:val="20"/>
          <w:color w:val="auto"/>
        </w:rPr>
      </w:pPr>
      <w:r>
        <w:rPr>
          <w:rFonts w:ascii="Times New Roman" w:cs="Times New Roman" w:eastAsia="Times New Roman" w:hAnsi="Times New Roman"/>
          <w:sz w:val="18"/>
          <w:szCs w:val="18"/>
          <w:color w:val="auto"/>
        </w:rPr>
        <w:t>The reserve for losses and loss adjustment expenses represents our estimated ultimate cost of all reported and unreported losses and loss adjustment expenses incurred and unpaid at the balance sheet date. We seek to establish adequate reserves; however, our ultimate liability may be greater than our estimate.</w:t>
      </w:r>
    </w:p>
    <w:p>
      <w:pPr>
        <w:spacing w:after="0" w:line="136" w:lineRule="exact"/>
        <w:rPr>
          <w:sz w:val="20"/>
          <w:szCs w:val="20"/>
          <w:color w:val="auto"/>
        </w:rPr>
      </w:pPr>
    </w:p>
    <w:p>
      <w:pPr>
        <w:ind w:right="240" w:firstLine="749"/>
        <w:spacing w:after="0" w:line="245" w:lineRule="auto"/>
        <w:rPr>
          <w:sz w:val="20"/>
          <w:szCs w:val="20"/>
          <w:color w:val="auto"/>
        </w:rPr>
      </w:pPr>
      <w:r>
        <w:rPr>
          <w:rFonts w:ascii="Times New Roman" w:cs="Times New Roman" w:eastAsia="Times New Roman" w:hAnsi="Times New Roman"/>
          <w:sz w:val="18"/>
          <w:szCs w:val="18"/>
          <w:color w:val="auto"/>
        </w:rPr>
        <w:t>The process of estimating the reserves for losses and loss adjustment expenses requires a high degree of judgment and is subject to several variables. Multiple actuarial methods are used to estimate the reserve for losses and loss adjustment expenses. These methods utilize, to varying degrees, the initial expected loss ratio, detailed statistical analysis of past claims reporting and payment patterns, claims frequency and severity, paid and industry loss experience, and changes in market conditions, policy forms, exclusions, and exposures.</w:t>
      </w:r>
    </w:p>
    <w:p>
      <w:pPr>
        <w:spacing w:after="0" w:line="140" w:lineRule="exact"/>
        <w:rPr>
          <w:sz w:val="20"/>
          <w:szCs w:val="20"/>
          <w:color w:val="auto"/>
        </w:rPr>
      </w:pPr>
    </w:p>
    <w:p>
      <w:pPr>
        <w:ind w:right="20" w:firstLine="749"/>
        <w:spacing w:after="0" w:line="242" w:lineRule="auto"/>
        <w:rPr>
          <w:sz w:val="20"/>
          <w:szCs w:val="20"/>
          <w:color w:val="auto"/>
        </w:rPr>
      </w:pPr>
      <w:r>
        <w:rPr>
          <w:rFonts w:ascii="Times New Roman" w:cs="Times New Roman" w:eastAsia="Times New Roman" w:hAnsi="Times New Roman"/>
          <w:sz w:val="18"/>
          <w:szCs w:val="18"/>
          <w:color w:val="auto"/>
        </w:rPr>
        <w:t>We are subject to uncertainties which impact the adequacy of our reserves. For example, when we write “occurrence” policies, we are obligated to pay covered claims, up to the contractually agreed amount, for any covered loss that occurs while the policy is in force. Accordingly, claims may arise in years after a policy has lapsed. In addition, there may be significant reporting lags between the occurrence of an insured event and the time it is actually reported to us and additional lags between the time of reporting and final settlement of any claims. Consequently, estimates of loss associated with specified claims can increase as new information emerges, which could cause the reserves for such claims to become inadequate.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reserves are impacted by several important factors, such as:</w:t>
      </w:r>
    </w:p>
    <w:p>
      <w:pPr>
        <w:spacing w:after="0" w:line="10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judicial and regulatory trends, such as increased litigation and higher jury awards;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development patterns by line of business;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activity;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and economic patterns;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inflation assumptions, such as increased costs of raw materials, labor, and other components of claims cost.</w:t>
      </w:r>
    </w:p>
    <w:p>
      <w:pPr>
        <w:spacing w:after="0" w:line="212"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8"/>
          <w:szCs w:val="18"/>
          <w:color w:val="auto"/>
        </w:rPr>
        <w:t>Our reserve estimates reflect current inflation in legal claims’ settlements and assume we will not be subject to losses from significant new legal liability theories. Our reserve estimates are based on current regulatory and legislative environments and assume that there will not be significant changes in the regulatory and legislative environment. The impact of potential changes in the regulatory or legislative environment is difficult to quantify in the absence of specific, significant new regulation or legislation. In the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event of significant new regulation or legislation, we will attempt to quantify its impact on our business, but no assurance can be given that our attempt to quantify such inputs will be accurate or successful.</w:t>
      </w:r>
    </w:p>
    <w:p>
      <w:pPr>
        <w:spacing w:after="0" w:line="135" w:lineRule="exact"/>
        <w:rPr>
          <w:sz w:val="20"/>
          <w:szCs w:val="20"/>
          <w:color w:val="auto"/>
        </w:rPr>
      </w:pPr>
    </w:p>
    <w:p>
      <w:pPr>
        <w:ind w:right="140" w:firstLine="749"/>
        <w:spacing w:after="0" w:line="250" w:lineRule="auto"/>
        <w:rPr>
          <w:sz w:val="20"/>
          <w:szCs w:val="20"/>
          <w:color w:val="auto"/>
        </w:rPr>
      </w:pPr>
      <w:r>
        <w:rPr>
          <w:rFonts w:ascii="Times New Roman" w:cs="Times New Roman" w:eastAsia="Times New Roman" w:hAnsi="Times New Roman"/>
          <w:sz w:val="18"/>
          <w:szCs w:val="18"/>
          <w:color w:val="auto"/>
        </w:rPr>
        <w:t>If our loss reserves should prove to be inadequate, we will be required to increase our reserves resulting in a reduction in our net income and stockholders’ equity in the period where the inadequacy is identified. Material increases to our reserves may impact our liquidity, our financial rating, and our ability to comply with debt covenants.</w:t>
      </w:r>
    </w:p>
    <w:p>
      <w:pPr>
        <w:spacing w:after="0" w:line="136" w:lineRule="exact"/>
        <w:rPr>
          <w:sz w:val="20"/>
          <w:szCs w:val="20"/>
          <w:color w:val="auto"/>
        </w:rPr>
      </w:pPr>
    </w:p>
    <w:p>
      <w:pPr>
        <w:ind w:right="520" w:firstLine="749"/>
        <w:spacing w:after="0" w:line="266" w:lineRule="auto"/>
        <w:rPr>
          <w:sz w:val="20"/>
          <w:szCs w:val="20"/>
          <w:color w:val="auto"/>
        </w:rPr>
      </w:pPr>
      <w:r>
        <w:rPr>
          <w:rFonts w:ascii="Times New Roman" w:cs="Times New Roman" w:eastAsia="Times New Roman" w:hAnsi="Times New Roman"/>
          <w:sz w:val="18"/>
          <w:szCs w:val="18"/>
          <w:color w:val="auto"/>
        </w:rPr>
        <w:t>For further information on our loss reserving methodology, see “Management’s Discussion and Analysis-Critical Accounting Policies and Estimates- Reserve for Losses and Loss Adjustment Expenses” in our 2025 Annual Report on Form 10-K.</w:t>
      </w:r>
    </w:p>
    <w:p>
      <w:pPr>
        <w:spacing w:after="0" w:line="118" w:lineRule="exact"/>
        <w:rPr>
          <w:sz w:val="20"/>
          <w:szCs w:val="20"/>
          <w:color w:val="auto"/>
        </w:rPr>
      </w:pPr>
    </w:p>
    <w:p>
      <w:pPr>
        <w:ind w:right="4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purchase third-party reinsurance or otherwise expand our catastrophe coverage in amounts we desire or on terms that are commercially acceptable and adequately protect us, including due to volatility in reinsurance market conditions, and this inability may materially adversely affect our business, financial condition and results of operations.</w:t>
      </w:r>
    </w:p>
    <w:p>
      <w:pPr>
        <w:spacing w:after="0" w:line="149" w:lineRule="exact"/>
        <w:rPr>
          <w:sz w:val="20"/>
          <w:szCs w:val="20"/>
          <w:color w:val="auto"/>
        </w:rPr>
      </w:pPr>
    </w:p>
    <w:p>
      <w:pPr>
        <w:ind w:right="140" w:firstLine="749"/>
        <w:spacing w:after="0" w:line="250" w:lineRule="auto"/>
        <w:rPr>
          <w:sz w:val="20"/>
          <w:szCs w:val="20"/>
          <w:color w:val="auto"/>
        </w:rPr>
      </w:pPr>
      <w:r>
        <w:rPr>
          <w:rFonts w:ascii="Times New Roman" w:cs="Times New Roman" w:eastAsia="Times New Roman" w:hAnsi="Times New Roman"/>
          <w:sz w:val="18"/>
          <w:szCs w:val="18"/>
          <w:color w:val="auto"/>
        </w:rPr>
        <w:t>We purchase a significant amount of reinsurance from third parties that we believe enhances our business by reducing our exposure to potential catastrophe losses and reducing volatility in our underwriting performance, providing us with greater visibility into our future earnings. Reinsurance involves transferring, or ceding, a portion of our risk exposure on policies that we write to another insurer, the reinsurer, in exchange for a premium.</w:t>
      </w:r>
    </w:p>
    <w:p>
      <w:pPr>
        <w:spacing w:after="0" w:line="136" w:lineRule="exact"/>
        <w:rPr>
          <w:sz w:val="20"/>
          <w:szCs w:val="20"/>
          <w:color w:val="auto"/>
        </w:rPr>
      </w:pPr>
    </w:p>
    <w:p>
      <w:pPr>
        <w:ind w:right="80" w:firstLine="749"/>
        <w:spacing w:after="0" w:line="245" w:lineRule="auto"/>
        <w:rPr>
          <w:sz w:val="20"/>
          <w:szCs w:val="20"/>
          <w:color w:val="auto"/>
        </w:rPr>
      </w:pPr>
      <w:r>
        <w:rPr>
          <w:rFonts w:ascii="Times New Roman" w:cs="Times New Roman" w:eastAsia="Times New Roman" w:hAnsi="Times New Roman"/>
          <w:sz w:val="18"/>
          <w:szCs w:val="18"/>
          <w:color w:val="auto"/>
        </w:rPr>
        <w:t>We buy multiple types of reinsurance including treaty XOL coverage and program specific reinsurance coverage on a quota share, property per risk or a facultative basis. Treaty coverage refers to a reinsurance contract that is applied to a group or class of business where all the risks written meet the criteria for that class. Facultative coverage refers to a reinsurance contract on individual risks as opposed to a group or class of business. Our catastrophe XOL treaties are divided into multiple layers.</w:t>
      </w:r>
    </w:p>
    <w:p>
      <w:pPr>
        <w:spacing w:after="0" w:line="140" w:lineRule="exact"/>
        <w:rPr>
          <w:sz w:val="20"/>
          <w:szCs w:val="20"/>
          <w:color w:val="auto"/>
        </w:rPr>
      </w:pPr>
    </w:p>
    <w:p>
      <w:pPr>
        <w:ind w:right="20" w:firstLine="749"/>
        <w:spacing w:after="0" w:line="242" w:lineRule="auto"/>
        <w:rPr>
          <w:sz w:val="20"/>
          <w:szCs w:val="20"/>
          <w:color w:val="auto"/>
        </w:rPr>
      </w:pPr>
      <w:r>
        <w:rPr>
          <w:rFonts w:ascii="Times New Roman" w:cs="Times New Roman" w:eastAsia="Times New Roman" w:hAnsi="Times New Roman"/>
          <w:sz w:val="18"/>
          <w:szCs w:val="18"/>
          <w:color w:val="auto"/>
        </w:rPr>
        <w:t>The reinsurance market historically has been a cyclical market characterized by periods of sufficient or excess capital (soft market cycle) as well as shortages of capital (hard market cycle). Market conditions have limited, and in some cases prevented, insurers from obtaining the types and amounts of reinsurance they consider adequate for their business needs. As a result, we may not be able to purchase reinsurance in the areas and for the amounts we desire or on terms we deem acceptable or at all. Hard market cycles may increase our cost of reinsurance, force us to increase our loss retention, or limit the amount of reinsurance we are able to purchase, all of which would have an adverse impact on our business and results of operations.</w:t>
      </w:r>
    </w:p>
    <w:p>
      <w:pPr>
        <w:spacing w:after="0" w:line="144"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18"/>
          <w:szCs w:val="18"/>
          <w:color w:val="auto"/>
        </w:rPr>
        <w:t>In addition to reinsurance purchased from traditional reinsurers, we utilize collateralized protection from the insurance-linked securities market through catastrophe bonds issued via Torrey Pines Re Ltd., a Bermuda-domiciled special purpose insurer. We closed a $525 million catastrophe bond in the second quarter of 2025, effective June 1, 2025 through June 1, 2028; a $420 million catastrophe bond in the second quarter of 2024, effective June 1, 2024 through June 1, 2027; a $200 million catastrophe bond in the second quarter of 2023, effective June 1, 2023 through June 1, 2026; and a $275 million 144A catastrophe bond in the second quarter of 2022, effective June 1, 2022 through June 1, 2025. These catastrophe bonds provide indemnity-based reinsurance coverage for earthquake events.</w:t>
      </w:r>
    </w:p>
    <w:p>
      <w:pPr>
        <w:spacing w:after="0" w:line="145" w:lineRule="exact"/>
        <w:rPr>
          <w:sz w:val="20"/>
          <w:szCs w:val="20"/>
          <w:color w:val="auto"/>
        </w:rPr>
      </w:pPr>
    </w:p>
    <w:p>
      <w:pPr>
        <w:ind w:right="680" w:firstLine="749"/>
        <w:spacing w:after="0" w:line="266" w:lineRule="auto"/>
        <w:rPr>
          <w:sz w:val="20"/>
          <w:szCs w:val="20"/>
          <w:color w:val="auto"/>
        </w:rPr>
      </w:pPr>
      <w:r>
        <w:rPr>
          <w:rFonts w:ascii="Times New Roman" w:cs="Times New Roman" w:eastAsia="Times New Roman" w:hAnsi="Times New Roman"/>
          <w:sz w:val="18"/>
          <w:szCs w:val="18"/>
          <w:color w:val="auto"/>
        </w:rPr>
        <w:t>We may seek similar catastrophe bond offerings in the future. However, there can be no assurance that we will be able to complete such offerings on acceptable terms, if at all.</w:t>
      </w:r>
    </w:p>
    <w:p>
      <w:pPr>
        <w:spacing w:after="0" w:line="122" w:lineRule="exact"/>
        <w:rPr>
          <w:sz w:val="20"/>
          <w:szCs w:val="20"/>
          <w:color w:val="auto"/>
        </w:rPr>
      </w:pPr>
    </w:p>
    <w:p>
      <w:pPr>
        <w:ind w:right="20" w:firstLine="749"/>
        <w:spacing w:after="0" w:line="245" w:lineRule="auto"/>
        <w:rPr>
          <w:sz w:val="20"/>
          <w:szCs w:val="20"/>
          <w:color w:val="auto"/>
        </w:rPr>
      </w:pPr>
      <w:r>
        <w:rPr>
          <w:rFonts w:ascii="Times New Roman" w:cs="Times New Roman" w:eastAsia="Times New Roman" w:hAnsi="Times New Roman"/>
          <w:sz w:val="18"/>
          <w:szCs w:val="18"/>
          <w:color w:val="auto"/>
        </w:rPr>
        <w:t>If we are unable to renew our expiring reinsurance contracts on acceptable terms or expand our reinsurance coverage through traditional reinsurers, catastrophe bonds, or alternative risk transfer arrangements, our loss exposure may increase, which would increase our potential losses related to catastrophe or non-catastrophe events. If we are unwilling to bear an increase in loss exposure, we may have to reduce our written premiums. These outcomes could adversely affect our business, financial condition, and results of operations.</w:t>
      </w:r>
    </w:p>
    <w:p>
      <w:pPr>
        <w:spacing w:after="0" w:line="140" w:lineRule="exact"/>
        <w:rPr>
          <w:sz w:val="20"/>
          <w:szCs w:val="20"/>
          <w:color w:val="auto"/>
        </w:rPr>
      </w:pPr>
    </w:p>
    <w:p>
      <w:pPr>
        <w:ind w:right="220" w:firstLine="749"/>
        <w:spacing w:after="0" w:line="250" w:lineRule="auto"/>
        <w:rPr>
          <w:sz w:val="20"/>
          <w:szCs w:val="20"/>
          <w:color w:val="auto"/>
        </w:rPr>
      </w:pPr>
      <w:r>
        <w:rPr>
          <w:rFonts w:ascii="Times New Roman" w:cs="Times New Roman" w:eastAsia="Times New Roman" w:hAnsi="Times New Roman"/>
          <w:sz w:val="18"/>
          <w:szCs w:val="18"/>
          <w:color w:val="auto"/>
        </w:rPr>
        <w:t>In addition, as we grow our written premiums and enter new lines of business we will seek new types of reinsurance and will need to purchase reinsurance on commercially acceptable terms to manage the risks associated with entering new lines of business. The inability to purchase appropriate reinsurance for new lines of business could negatively impact our ability to grow our written premiums and maintain our desired level of profitability.</w:t>
      </w:r>
    </w:p>
    <w:p>
      <w:pPr>
        <w:spacing w:after="0" w:line="136" w:lineRule="exact"/>
        <w:rPr>
          <w:sz w:val="20"/>
          <w:szCs w:val="20"/>
          <w:color w:val="auto"/>
        </w:rPr>
      </w:pPr>
    </w:p>
    <w:p>
      <w:pPr>
        <w:jc w:val="both"/>
        <w:ind w:right="200" w:firstLine="749"/>
        <w:spacing w:after="0" w:line="250" w:lineRule="auto"/>
        <w:rPr>
          <w:sz w:val="20"/>
          <w:szCs w:val="20"/>
          <w:color w:val="auto"/>
        </w:rPr>
      </w:pPr>
      <w:r>
        <w:rPr>
          <w:rFonts w:ascii="Times New Roman" w:cs="Times New Roman" w:eastAsia="Times New Roman" w:hAnsi="Times New Roman"/>
          <w:sz w:val="18"/>
          <w:szCs w:val="18"/>
          <w:color w:val="auto"/>
        </w:rPr>
        <w:t>Many reinsurance companies have increasingly excluded certain coverages from, or altered terms in, our reinsurance contracts with them. As a result, we, like other insurance companies, write insurance policies which to some extent do not have the benefit of reinsurance protection. These gaps in reinsurance protection expose us to greater risk and greater potential losses.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utilize several risk management and loss limitation methods, including reliance on estimates and models. If these methods fail to adequately manage our exposure to losses from catastrophe events and other underwriting risks, our losses could be materially higher than our expectations, and our business, financial condition, and results of operations could be materially adversely affected.</w:t>
      </w:r>
    </w:p>
    <w:p>
      <w:pPr>
        <w:spacing w:after="0" w:line="135" w:lineRule="exact"/>
        <w:rPr>
          <w:sz w:val="20"/>
          <w:szCs w:val="20"/>
          <w:color w:val="auto"/>
        </w:rPr>
      </w:pPr>
    </w:p>
    <w:p>
      <w:pPr>
        <w:ind w:firstLine="749"/>
        <w:spacing w:after="0" w:line="237" w:lineRule="auto"/>
        <w:rPr>
          <w:sz w:val="20"/>
          <w:szCs w:val="20"/>
          <w:color w:val="auto"/>
        </w:rPr>
      </w:pPr>
      <w:r>
        <w:rPr>
          <w:rFonts w:ascii="Times New Roman" w:cs="Times New Roman" w:eastAsia="Times New Roman" w:hAnsi="Times New Roman"/>
          <w:sz w:val="18"/>
          <w:szCs w:val="18"/>
          <w:color w:val="auto"/>
        </w:rPr>
        <w:t>Our approach to risk management relies on subjective variables that entail significant uncertainties. We manage our exposure to catastrophe losses by analyzing the probability of the occurrence of catastrophe events and their severity and impact on our underwriting and investment portfolio. We monitor and mitigate our exposure through several of methods designed to minimize risk, including underwriting specialization, modeling and data systems, data quality control, strategic use of policy deductibles, regular review of aggregate exposure and probable maximum loss reports, which report the maximum amount of expected losses based on computer or actuarial modeling techniques. These methods rely on estimates, models, data, and scenarios that may not accurately predict actual outcomes. Consequently, we could incur losses both in the risks we underwrite and to the value of our investment portfolio due to the overall impact on financial markets from the occurrence of catastrophe events.</w:t>
      </w:r>
    </w:p>
    <w:p>
      <w:pPr>
        <w:spacing w:after="0" w:line="149" w:lineRule="exact"/>
        <w:rPr>
          <w:sz w:val="20"/>
          <w:szCs w:val="20"/>
          <w:color w:val="auto"/>
        </w:rPr>
      </w:pPr>
    </w:p>
    <w:p>
      <w:pPr>
        <w:ind w:right="40" w:firstLine="749"/>
        <w:spacing w:after="0" w:line="237" w:lineRule="auto"/>
        <w:rPr>
          <w:sz w:val="20"/>
          <w:szCs w:val="20"/>
          <w:color w:val="auto"/>
        </w:rPr>
      </w:pPr>
      <w:r>
        <w:rPr>
          <w:rFonts w:ascii="Times New Roman" w:cs="Times New Roman" w:eastAsia="Times New Roman" w:hAnsi="Times New Roman"/>
          <w:sz w:val="18"/>
          <w:szCs w:val="18"/>
          <w:color w:val="auto"/>
        </w:rPr>
        <w:t>In addition, output from our risk modeling software is based on third-party data that we believe to be accurate and reliable. The estimates and assumptions we use are dependent on many variables, such as loss adjustment expenses, insurance to value, storm or earthquake intensity, building code compliance and demand surge, which is the temporary inflation of costs for building materials such as lumber and labor resulting from increased demand for rebuilding services in the aftermath of a catastrophe. Accordingly, if the estimates and assumptions used in our risk models are incorrect or if our risk models prove to be an inaccurate forecasting tool, the losses we incur from an actual catastrophe could be materially higher than our expectation of losses generated from modeled catastrophe scenarios. In addition, our third-party data providers may change the estimates or assumptions that we use in our risk models and/or their data may be inaccurate. Changes in these estimates or assumptions or the use of inaccurate third-party data could cause our actual losses to be materially higher than our current expectation of losses generated by modeled catastrophe scenarios, which in turn could materially adversely affect our business, financial condition, and results of operations.</w:t>
      </w:r>
    </w:p>
    <w:p>
      <w:pPr>
        <w:spacing w:after="0" w:line="158" w:lineRule="exact"/>
        <w:rPr>
          <w:sz w:val="20"/>
          <w:szCs w:val="20"/>
          <w:color w:val="auto"/>
        </w:rPr>
      </w:pPr>
    </w:p>
    <w:p>
      <w:pPr>
        <w:ind w:right="40" w:firstLine="749"/>
        <w:spacing w:after="0" w:line="237" w:lineRule="auto"/>
        <w:rPr>
          <w:sz w:val="20"/>
          <w:szCs w:val="20"/>
          <w:color w:val="auto"/>
        </w:rPr>
      </w:pPr>
      <w:r>
        <w:rPr>
          <w:rFonts w:ascii="Times New Roman" w:cs="Times New Roman" w:eastAsia="Times New Roman" w:hAnsi="Times New Roman"/>
          <w:sz w:val="18"/>
          <w:szCs w:val="18"/>
          <w:color w:val="auto"/>
        </w:rPr>
        <w:t>We run many model simulations to evaluate the impact of these assumptions on a catastrophe’s loss potential. Furthermore, there are risks associated with catastrophe events, which are either poorly represented or not represented at all by catastrophe models. Climate change, evolving catastrophe patterns, and the emergence of secondary perils such as severe inland flooding, wildfires, and convective storms may further increase both the frequency and severity of catastrophe events. Limited historical data for certain perils, along with changes in climate and loss patterns, may reduce the reliability of catastrophe models and stress the assumptions on which we rely to price risk, manage exposures, and purchase reinsurance. Each modeling assumption or un-modeled risk introduces uncertainty into probable maximum loss estimates that management must consider. These uncertainties can include, but are not limited to, the following:</w:t>
      </w:r>
    </w:p>
    <w:p>
      <w:pPr>
        <w:spacing w:after="0" w:line="162" w:lineRule="exact"/>
        <w:rPr>
          <w:sz w:val="20"/>
          <w:szCs w:val="20"/>
          <w:color w:val="auto"/>
        </w:rPr>
      </w:pPr>
    </w:p>
    <w:p>
      <w:pPr>
        <w:ind w:left="1140" w:right="740" w:hanging="383"/>
        <w:spacing w:after="0" w:line="266"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do not address all the possible hazard characteristics of a catastrophe peril (e.g., the precise path and wind speed of a hurricane);</w:t>
      </w:r>
    </w:p>
    <w:p>
      <w:pPr>
        <w:spacing w:after="0" w:line="13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reflect the true frequency or severity of events;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reflect a risk’s vulnerability or susceptibility to damage for a given event characteristic;</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account for unusual or unprecedented catastrophe events;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adequately consider the impact of inflation on the magnitude of modeled losses;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represent loss potential to insurance or reinsurance contract coverage limits, terms and conditions; and</w:t>
      </w:r>
    </w:p>
    <w:p>
      <w:pPr>
        <w:spacing w:after="0" w:line="171" w:lineRule="exact"/>
        <w:rPr>
          <w:rFonts w:ascii="Times New Roman" w:cs="Times New Roman" w:eastAsia="Times New Roman" w:hAnsi="Times New Roman"/>
          <w:sz w:val="18"/>
          <w:szCs w:val="18"/>
          <w:color w:val="auto"/>
        </w:rPr>
      </w:pPr>
    </w:p>
    <w:p>
      <w:pPr>
        <w:ind w:left="1140" w:right="36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reflect the impact on the economy of the area affected or the financial, judicial, political, or regulatory impacts on insurance claim payments during or following a catastrophe event.</w:t>
      </w:r>
    </w:p>
    <w:p>
      <w:pPr>
        <w:spacing w:after="0" w:line="108"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As a result, our reliance on assumptions, data, and models to evaluate our entire risk portfolio and specifically to estimate a probable maximum loss is subject to a high degree of uncertainty that could result in actual losses that are materially different from our probable maximum loss estimates, which could adversely impact our financial results.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decline in our financial strength rating may adversely affect the amount of business we write and impact compliance with our debt covenants.</w:t>
      </w:r>
    </w:p>
    <w:p>
      <w:pPr>
        <w:spacing w:after="0" w:line="189"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18"/>
          <w:szCs w:val="18"/>
          <w:color w:val="auto"/>
        </w:rPr>
        <w:t>Participants in the insurance industry use ratings from independent ratings agencies, such as A.M. Best, as an important means of assessing the financial strength and creditworthiness of insurers. In setting its ratings, A.M. Best performs quantitative and qualitative analysis of a company’s balance sheet strength, operating performance and business profile. A.M. Best financial strength ratings range from “A++” (Superior) to “F” for insurance companies that have been publicly placed in liquidation. As of March 31, 2026, A.M. Best has assigned a financial strength rating of “A” (Excellent) (Outlook Stable) to our insurance company subsidiaries,</w:t>
      </w:r>
    </w:p>
    <w:p>
      <w:pPr>
        <w:spacing w:after="0" w:line="2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Palomar Specialty Insurance Company (“PSIC”), Palomar Excess and Surplus Insurance Company (“PESIC”) and First Indemnity of America Insurance Co. (“FIA”), and “A-” (Excellent) (Outlook Positive) to Palomar Casualty and Surety Company (“PCSC”).</w:t>
      </w:r>
    </w:p>
    <w:p>
      <w:pPr>
        <w:spacing w:after="0" w:line="135" w:lineRule="exact"/>
        <w:rPr>
          <w:sz w:val="20"/>
          <w:szCs w:val="20"/>
          <w:color w:val="auto"/>
        </w:rPr>
      </w:pPr>
    </w:p>
    <w:p>
      <w:pPr>
        <w:ind w:right="160" w:firstLine="749"/>
        <w:spacing w:after="0" w:line="247" w:lineRule="auto"/>
        <w:rPr>
          <w:sz w:val="20"/>
          <w:szCs w:val="20"/>
          <w:color w:val="auto"/>
        </w:rPr>
      </w:pPr>
      <w:r>
        <w:rPr>
          <w:rFonts w:ascii="Times New Roman" w:cs="Times New Roman" w:eastAsia="Times New Roman" w:hAnsi="Times New Roman"/>
          <w:sz w:val="18"/>
          <w:szCs w:val="18"/>
          <w:color w:val="auto"/>
        </w:rPr>
        <w:t>A.M. Best assigns ratings that are intended to provide an independent opinion of an insurance company’s ability to meet its obligations to policyholders and such ratings are not evaluations directed to investors and are not a recommendation to buy, sell or hold our common stock or any other securities we may issue. A.M. Best’s analysis includes comparisons to peers and industry standards as well as assessments of operating plans, philosophy and management. A.M. Best periodically reviews our financial strength rating and may revise it downward or revoke it at A.M. Best’s discretion based primarily on its analyses of our balance sheet strength (including capital adequacy and loss adjustment expense reserve adequacy), operating performance and business profile. Factors that could affect such analyses include, but are not limited to:</w:t>
      </w:r>
    </w:p>
    <w:p>
      <w:pPr>
        <w:spacing w:after="0" w:line="139" w:lineRule="exact"/>
        <w:rPr>
          <w:sz w:val="20"/>
          <w:szCs w:val="20"/>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change our business practices from our organizational business plan in a manner that no longer supports A.M. Best’s rating;</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unfavorable financial, regulatory or market trends affect us, including excess market capacity;</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losses exceed our loss reserves;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unresolved issues with government regulators;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our senior management or other key personnel;</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investment portfolio incurs significant losses; or</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 Best alters its capital adequacy assessment methodology in a manner that would adversely affect our rating.</w:t>
      </w:r>
    </w:p>
    <w:p>
      <w:pPr>
        <w:spacing w:after="0" w:line="185"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These and other factors could result in a downgrade of our financial strength rating. A downgrade or withdrawal of our rating could result in any of the following consequences, among others:</w:t>
      </w:r>
    </w:p>
    <w:p>
      <w:pPr>
        <w:spacing w:after="0" w:line="135" w:lineRule="exact"/>
        <w:rPr>
          <w:sz w:val="20"/>
          <w:szCs w:val="20"/>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our current and future distribution partners and insureds to choose other, more highly-rated competitors;</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cost or reducing the availability of reinsurance to us;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Severely limiting or preventing us from writing new and renewal insurance contracts; or</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be out of compliance with the financial covenants in our credit agreement.</w:t>
      </w:r>
    </w:p>
    <w:p>
      <w:pPr>
        <w:spacing w:after="0" w:line="171"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18"/>
          <w:szCs w:val="18"/>
          <w:color w:val="auto"/>
        </w:rPr>
        <w:t>In addition, in view of the earnings and capital pressures experienced by many financial institutions, including insurance companies, it is possible that rating organizations will heighten the level of scrutiny that they apply to such institutions, increase the frequency and scope of their credit reviews, request additional information, or increase the capital and other requirements employed in the rating organizations’ models for maintenance of certain ratings levels. If our credit rating were to be downgraded, or general market conditions were to ascribe higher risk to our rating levels, our access to capital markets and the cost of any equity or debt financing will be negatively impacted. We can offer no assurance that our rating will remain at its current level. It is possible that such reviews of us may result in adverse ratings consequences, which could have a material adverse effect on our financial condition and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our customers could be negatively and adversely impacted by pandemics, disease outbreaks and other public health crises.</w:t>
      </w:r>
    </w:p>
    <w:p>
      <w:pPr>
        <w:spacing w:after="0" w:line="175" w:lineRule="exact"/>
        <w:rPr>
          <w:sz w:val="20"/>
          <w:szCs w:val="20"/>
          <w:color w:val="auto"/>
        </w:rPr>
      </w:pPr>
    </w:p>
    <w:p>
      <w:pPr>
        <w:ind w:right="200" w:firstLine="749"/>
        <w:spacing w:after="0" w:line="247" w:lineRule="auto"/>
        <w:rPr>
          <w:sz w:val="20"/>
          <w:szCs w:val="20"/>
          <w:color w:val="auto"/>
        </w:rPr>
      </w:pPr>
      <w:r>
        <w:rPr>
          <w:rFonts w:ascii="Times New Roman" w:cs="Times New Roman" w:eastAsia="Times New Roman" w:hAnsi="Times New Roman"/>
          <w:sz w:val="18"/>
          <w:szCs w:val="18"/>
          <w:color w:val="auto"/>
        </w:rPr>
        <w:t>The extent of the impact of a pandemic, disease outbreak or other public health crisis on our operational and financial performance depends on several factors, including the ultimate duration and severity of the event, the emergence of new or evolving health threats, actions taken and restrictions imposed by government and health officials, the effectiveness and adoption of vaccines and therapeutics, the ability of our customers to continue to pay premiums, contraction of the insurance and reinsurance markets, and the ability of reinsurers to satisfy claims. These factors are uncertain and cannot be predicted. While policy terms and conditions in the lines of business written by us would be expected to preclude coverage for virus-related claims, court decisions and governmental actions may challenge the validity of any exclusions or our interpretation of how such terms and conditions operate.</w:t>
      </w:r>
    </w:p>
    <w:p>
      <w:pPr>
        <w:spacing w:after="0" w:line="153"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18"/>
          <w:szCs w:val="18"/>
          <w:color w:val="auto"/>
        </w:rPr>
        <w:t>Global health crises have historically contributed to financial market volatility, supply chain disruptions, price inflation, and material and labor shortages, all of which may negatively impact our business. Furthermore, since our results of operations are partially dependent on the performance of our investment portfolio, a global health crisis’ impact on the economy and financial markets could reduce our net investment income and result in realized investment losses in future periods. The macroeconomic effects of a global health crisis may persist for an indefinite period, even after it has subsided. We cannot anticipate all the ways in which global health crises could adversely impact our business in the future.</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is concentrated in California and we are exposed more significantly to California loss activity and regulatory environments, including regulatory constraints on pricing, underwriting actions, and the timing or approval of rate changes.</w:t>
      </w:r>
    </w:p>
    <w:p>
      <w:pPr>
        <w:spacing w:after="0" w:line="131"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color w:val="auto"/>
        </w:rPr>
        <w:t>Our policyholders and insurance risks are currently concentrated in California, which generated 30.9% of our gross written premiums for the year ended December 31, 2025 and 25.0% for the three months ended March 31, 2026. We are exposed to business, economic, political, judicial and regulatory risks due to this concentration that are greater than the risks faced by insurance companies with a lower concentration of their premiums in California. Any single, major catastrophe event, series of events or other condition causing significant losses in California could materially adversely affect our business, financial condition and results of operations. This may include catastrophes even where we do not insure against the loss, such as the 2025 California wildfires, as homes and businesses lost or damaged due to catastrophe events may cancel or not renew their policies with us following such events. Additionally, unfavorable business, economic or regulatory conditions in California may result in a significant reduction of our premiums or increase our loss exposure. Changes to insurance-related laws or regulations in California could also adversely affect our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the loss of one or more key executives or by an inability to attract and retain qualified personnel.</w:t>
      </w:r>
    </w:p>
    <w:p>
      <w:pPr>
        <w:spacing w:after="0" w:line="175"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We depend on our ability to attract and retain experienced personnel and seasoned key executives who are knowledgeable about our business. The pool of talent from which we recruit is limited and may fluctuate based on market dynamics specific to our industry and independent of overall economic conditions. As such, increased demand for employees with the desired skills and expertise could lead to increased compensation expectations for existing and prospective personnel, making it difficult for us to retain and recruit key personnel and maintain labor costs at desired levels.</w:t>
      </w:r>
    </w:p>
    <w:p>
      <w:pPr>
        <w:spacing w:after="0" w:line="150" w:lineRule="exact"/>
        <w:rPr>
          <w:sz w:val="20"/>
          <w:szCs w:val="20"/>
          <w:color w:val="auto"/>
        </w:rPr>
      </w:pPr>
    </w:p>
    <w:p>
      <w:pPr>
        <w:ind w:right="60" w:firstLine="749"/>
        <w:spacing w:after="0" w:line="270" w:lineRule="auto"/>
        <w:rPr>
          <w:sz w:val="20"/>
          <w:szCs w:val="20"/>
          <w:color w:val="auto"/>
        </w:rPr>
      </w:pPr>
      <w:r>
        <w:rPr>
          <w:rFonts w:ascii="Times New Roman" w:cs="Times New Roman" w:eastAsia="Times New Roman" w:hAnsi="Times New Roman"/>
          <w:sz w:val="17"/>
          <w:szCs w:val="17"/>
          <w:color w:val="auto"/>
        </w:rPr>
        <w:t>In particular, our future success is substantially dependent on the continued service of our Founder, Chief Executive Officer and Chairman, Mac Armstrong, our Chief Financial Officer, Christopher Uchida, and our President, Jon Christianson, as well as other members of our senior management team. Should any of our key executives terminate their employment with us, or if we are unable to retain and attract talented personnel, we may be unable to maintain our current competitive position in the specialized markets in which we operate, which could adversely affect our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select group of brokers and program administrators, and such relationships may not continue or may not perform as expected.</w:t>
      </w:r>
    </w:p>
    <w:p>
      <w:pPr>
        <w:spacing w:after="0" w:line="175" w:lineRule="exact"/>
        <w:rPr>
          <w:sz w:val="20"/>
          <w:szCs w:val="20"/>
          <w:color w:val="auto"/>
        </w:rPr>
      </w:pPr>
    </w:p>
    <w:p>
      <w:pPr>
        <w:ind w:firstLine="749"/>
        <w:spacing w:after="0" w:line="247" w:lineRule="auto"/>
        <w:rPr>
          <w:sz w:val="20"/>
          <w:szCs w:val="20"/>
          <w:color w:val="auto"/>
        </w:rPr>
      </w:pPr>
      <w:r>
        <w:rPr>
          <w:rFonts w:ascii="Times New Roman" w:cs="Times New Roman" w:eastAsia="Times New Roman" w:hAnsi="Times New Roman"/>
          <w:sz w:val="18"/>
          <w:szCs w:val="18"/>
          <w:color w:val="auto"/>
        </w:rPr>
        <w:t>The distribution networks of our products are multi-faceted and distinct to each line of business. Our relationships with our brokers or program administrators may be discontinued or materially modified at any time. Even if these relationships do continue, they may not be on terms that are profitable for us. We distribute a significant portion of our Earthquake products through relationships with certain program administrators. Each of the products managed by the program administrators operates as a separate program that is governed by an independent, separately negotiated agreement with unique terms and conditions, including geographic scope, key person provisions, economics and exclusivity. These programs also feature separate managerial oversight and leadership, policy administration systems and retail agents originating policies.</w:t>
      </w:r>
    </w:p>
    <w:p>
      <w:pPr>
        <w:spacing w:after="0" w:line="13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our largest program administrator distributed $411.0 million, or 20.3% of our gross written premiums and our second largest administrator distributed $237.3 million, or 11.7% of our gross written premiums. There were no other program administrators that distributed greater than 10% of our gross written premiums for the year ended December 31, 2025.</w:t>
      </w:r>
    </w:p>
    <w:p>
      <w:pPr>
        <w:spacing w:after="0" w:line="142" w:lineRule="exact"/>
        <w:rPr>
          <w:sz w:val="20"/>
          <w:szCs w:val="20"/>
          <w:color w:val="auto"/>
        </w:rPr>
      </w:pPr>
    </w:p>
    <w:p>
      <w:pPr>
        <w:ind w:right="160" w:firstLine="749"/>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2026, our largest program administrator distributed $101.4 million, or 16.1% of our gross written premiums and our second largest program administrator distributed $87.8 million, or 13.9% of our gross written premiums. There were no other program administrators that distributed greater than 10% of our gross written premiums for the three months ended March 31, 2026.</w:t>
      </w:r>
    </w:p>
    <w:p>
      <w:pPr>
        <w:spacing w:after="0" w:line="150" w:lineRule="exact"/>
        <w:rPr>
          <w:sz w:val="20"/>
          <w:szCs w:val="20"/>
          <w:color w:val="auto"/>
        </w:rPr>
      </w:pPr>
    </w:p>
    <w:p>
      <w:pPr>
        <w:ind w:right="120" w:firstLine="749"/>
        <w:spacing w:after="0" w:line="246" w:lineRule="auto"/>
        <w:rPr>
          <w:sz w:val="20"/>
          <w:szCs w:val="20"/>
          <w:color w:val="auto"/>
        </w:rPr>
      </w:pPr>
      <w:r>
        <w:rPr>
          <w:rFonts w:ascii="Times New Roman" w:cs="Times New Roman" w:eastAsia="Times New Roman" w:hAnsi="Times New Roman"/>
          <w:sz w:val="18"/>
          <w:szCs w:val="18"/>
          <w:color w:val="auto"/>
        </w:rPr>
        <w:t>Our largest program administrator, Arrowhead General Insurance Agency, distributes our Value Select Residential Earthquake program, which represents the majority of our Residential Earthquake premium and is administered through a mutually exclusive agreement for the states of California, Oregon and Washington. The agreement remains in effect until terminated by either party upon 180 days’ prior written notice to the other party for cause. The termination of a relationship with one or more significant brokers or program administrators could result in lower gross written premiums and could have a material adverse effect on our results of operations or business prospects.</w:t>
      </w:r>
    </w:p>
    <w:p>
      <w:pPr>
        <w:spacing w:after="0" w:line="114" w:lineRule="exact"/>
        <w:rPr>
          <w:sz w:val="20"/>
          <w:szCs w:val="20"/>
          <w:color w:val="auto"/>
        </w:rPr>
      </w:pPr>
    </w:p>
    <w:p>
      <w:pPr>
        <w:ind w:right="66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Because we provide our program administrators with specific quoting and binding authority, if any of them fail to comply with pre</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established guidelines, our results of operations could be adversely affected.</w:t>
      </w:r>
    </w:p>
    <w:p>
      <w:pPr>
        <w:spacing w:after="0" w:line="159"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8"/>
          <w:szCs w:val="18"/>
          <w:color w:val="auto"/>
        </w:rPr>
        <w:t>We market and distribute certain of our insurance products through program administrators that have limited quoting and binding authority and that, in turn, sell our insurance products to insureds through retail agents and wholesale brokers. These program administrators can bind certain risks without our expressed approval. If any of these program administrators fail to comply with our</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underwriting guidelines and the terms of their appointments, we could be bound on a particular risk or number of risks that were not anticipated when we developed the insurance products or estimated losses and loss adjustment expenses. Such actions could adversely affect our results of operations.</w:t>
      </w:r>
    </w:p>
    <w:p>
      <w:pPr>
        <w:spacing w:after="0" w:line="131"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depends on insurance brokers and program administrators, we are exposed to certain risks arising from our reliance on these distribution channels that could adversely affect our results.</w:t>
      </w:r>
    </w:p>
    <w:p>
      <w:pPr>
        <w:spacing w:after="0" w:line="131" w:lineRule="exact"/>
        <w:rPr>
          <w:sz w:val="20"/>
          <w:szCs w:val="20"/>
          <w:color w:val="auto"/>
        </w:rPr>
      </w:pPr>
    </w:p>
    <w:p>
      <w:pPr>
        <w:ind w:right="120" w:firstLine="749"/>
        <w:spacing w:after="0" w:line="242" w:lineRule="auto"/>
        <w:rPr>
          <w:sz w:val="20"/>
          <w:szCs w:val="20"/>
          <w:color w:val="auto"/>
        </w:rPr>
      </w:pPr>
      <w:r>
        <w:rPr>
          <w:rFonts w:ascii="Times New Roman" w:cs="Times New Roman" w:eastAsia="Times New Roman" w:hAnsi="Times New Roman"/>
          <w:sz w:val="18"/>
          <w:szCs w:val="18"/>
          <w:color w:val="auto"/>
        </w:rPr>
        <w:t>Certain premiums from policyholders, where the business is produced by brokers, are collected directly by the brokers and forwarded to our insurance subsidiaries. In certain jurisdictions, when an insured pays its policy premium to its broker for payment to us, the premium might be considered to have been paid under applicable insurance laws and regulations. Accordingly, the insured would no longer be liable to us for those amounts, whether or not we have received the premium from the broker. Consequently, we assume a degree of credit risk associated with the brokers with which we work. We review the financial condition of potential new brokers before we agree to transact business with them. Although the failure of any of our brokers to remit premiums to us has not been material to date, there may be instances where our brokers collect premiums but do not remit them to us and we may be required under applicable law to provide the coverage set forth in the policy despite the related premiums not being paid to us. Additionally, the loss or disruption of business from our agents and brokers or the failure or inability of these agents and brokers to successfully market our insurance products could have a material adverse effect on our business, financial condition, and results of operations.</w:t>
      </w:r>
    </w:p>
    <w:p>
      <w:pPr>
        <w:spacing w:after="0" w:line="160"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Because the possibility of these events occurring depends in large part upon the financial condition and internal operations of our brokers, we regularly meet and communicate with our brokers, monitor broker behavior, and review broker financial information as needed. If we are unable to collect premiums from our brokers in the future, our underwriting profits may decline, and our financial condition and results of operations could be materially and adversely affected.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business in our industry is intense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which may result in pricing pressure, reduced underwriting margins, or changes in market share.</w:t>
      </w:r>
    </w:p>
    <w:p>
      <w:pPr>
        <w:spacing w:after="0" w:line="175" w:lineRule="exact"/>
        <w:rPr>
          <w:sz w:val="20"/>
          <w:szCs w:val="20"/>
          <w:color w:val="auto"/>
        </w:rPr>
      </w:pPr>
    </w:p>
    <w:p>
      <w:pPr>
        <w:ind w:right="100" w:firstLine="749"/>
        <w:spacing w:after="0" w:line="245" w:lineRule="auto"/>
        <w:rPr>
          <w:sz w:val="20"/>
          <w:szCs w:val="20"/>
          <w:color w:val="auto"/>
        </w:rPr>
      </w:pPr>
      <w:r>
        <w:rPr>
          <w:rFonts w:ascii="Times New Roman" w:cs="Times New Roman" w:eastAsia="Times New Roman" w:hAnsi="Times New Roman"/>
          <w:sz w:val="18"/>
          <w:szCs w:val="18"/>
          <w:color w:val="auto"/>
        </w:rPr>
        <w:t>We face competition from other specialty insurance companies, standard insurance companies and underwriting agencies that are larger than we are and that have greater financial, marketing, technological, and other resources than we do. Some of these competitors also have longer operating histories and more market recognition than we do in certain lines of business. In addition, we compete against state or other publicly managed enterprises including the California Earthquake Authority (“CEA”), the National Flood Insurance Program, and the Texas Wind Insurance Association. If the CEA were to provide coverage to non-CEA member carriers or lessened the capital requirements for membership, we would face additional competition in our markets, and our operating results could be adversely affected. Furthermore, it may be difficult or prohibitively expensive for us to implement or maintain technology systems and processes that are competitive with those of larger insurers.</w:t>
      </w:r>
    </w:p>
    <w:p>
      <w:pPr>
        <w:spacing w:after="0" w:line="154"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8"/>
          <w:szCs w:val="18"/>
          <w:color w:val="auto"/>
        </w:rPr>
        <w:t>Competition in the insurance industry is based on many factors, including price of coverage, the general reputation and perceived financial strength of the company, relationships with brokers, terms and conditions of products offered, ratings assigned by independent rating agencies, speed of claims payment, and the experience and reputation of the members of our underwriting team in the particular lines of insurance and reinsurance we seek to underwrite. In recent years, the insurance industry has undergone increasing consolidation and capital inflows, which may further intensify competition and pricing pressure.</w:t>
      </w:r>
    </w:p>
    <w:p>
      <w:pPr>
        <w:spacing w:after="0" w:line="154" w:lineRule="exact"/>
        <w:rPr>
          <w:sz w:val="20"/>
          <w:szCs w:val="20"/>
          <w:color w:val="auto"/>
        </w:rPr>
      </w:pPr>
    </w:p>
    <w:p>
      <w:pPr>
        <w:jc w:val="both"/>
        <w:ind w:right="660" w:firstLine="749"/>
        <w:spacing w:after="0" w:line="250" w:lineRule="auto"/>
        <w:rPr>
          <w:sz w:val="20"/>
          <w:szCs w:val="20"/>
          <w:color w:val="auto"/>
        </w:rPr>
      </w:pPr>
      <w:r>
        <w:rPr>
          <w:rFonts w:ascii="Times New Roman" w:cs="Times New Roman" w:eastAsia="Times New Roman" w:hAnsi="Times New Roman"/>
          <w:sz w:val="18"/>
          <w:szCs w:val="18"/>
          <w:color w:val="auto"/>
        </w:rPr>
        <w:t>Certain new, proposed or potential industry or legislative developments could further increase competition in our industry. For example, increased capital-raising by companies with whom we compete could result in new entrants to our markets and an excess of capital in the industry. Additionally, the possibility of federal regulatory reform of the insurance industry could increase competition from standard carriers.</w:t>
      </w:r>
    </w:p>
    <w:p>
      <w:pPr>
        <w:spacing w:after="0" w:line="15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may not be able to continue to compete successfully in the insurance markets. Increased competition in these markets could result in a change in the supply and demand for insurance, affect our ability to price our products at risk-adequate rates and retain existing business, or underwrite new business on favorable terms. If increased competition limits our ability to transact business, our operating results could be adversely affected.</w:t>
      </w:r>
    </w:p>
    <w:p>
      <w:pPr>
        <w:spacing w:after="0" w:line="1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actual renewals of our existing policies do not meet expectations, our written premium in future periods and our future results of operations could be materially adversely affected.</w:t>
      </w:r>
    </w:p>
    <w:p>
      <w:pPr>
        <w:spacing w:after="0" w:line="64" w:lineRule="exact"/>
        <w:rPr>
          <w:sz w:val="20"/>
          <w:szCs w:val="20"/>
          <w:color w:val="auto"/>
        </w:rPr>
      </w:pPr>
    </w:p>
    <w:p>
      <w:pPr>
        <w:ind w:right="220" w:firstLine="749"/>
        <w:spacing w:after="0" w:line="224" w:lineRule="exact"/>
        <w:rPr>
          <w:sz w:val="20"/>
          <w:szCs w:val="20"/>
          <w:color w:val="auto"/>
        </w:rPr>
      </w:pPr>
      <w:r>
        <w:rPr>
          <w:rFonts w:ascii="Times New Roman" w:cs="Times New Roman" w:eastAsia="Times New Roman" w:hAnsi="Times New Roman"/>
          <w:sz w:val="18"/>
          <w:szCs w:val="18"/>
          <w:color w:val="auto"/>
        </w:rPr>
        <w:t>Most of our insurance policies are written for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In our financial forecasting process, we make assumptions about renewal rates, pricing, and retention of our prior year’s policies. The insurance and reinsurance industries have historically been cyclical, with periods of intense competition often driven by excess capital, leading to pricing pressure. If actual renewals do not meet expectations or if we choose not to write a renewal due to pricing conditions, our written premium in future years and our results of operations would be materially adversely affected.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7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failure to accurately and timely evaluate and pay claims could materially and adversely affect our business, financial condition, results of operations, and prospects.</w:t>
      </w:r>
    </w:p>
    <w:p>
      <w:pPr>
        <w:spacing w:after="0" w:line="131"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18"/>
          <w:szCs w:val="18"/>
          <w:color w:val="auto"/>
        </w:rPr>
        <w:t>We must accurately and timely evaluate and pay claims that are made under our policies. Many factors affect our ability to do so, including the training and experience of our claims representatives and third-party claims administrators (“TPAs”), the effectiveness of our management, our ability to develop, select and implement appropriate procedures and systems to support our claims functions, and adequacy of our claims management controls and oversight. Our failure to evaluate and pay claims accurately and timely could lead to regulatory and administrative actions or material litigation, undermine our reputation in the marketplace, and materially and adversely affect our business, financial condition, results of operations, and prospects.</w:t>
      </w:r>
    </w:p>
    <w:p>
      <w:pPr>
        <w:spacing w:after="0" w:line="154"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If we do not manage our TPAs effectively, or if our TPAs are unable to effectively manage our volume of claims, our ability to manage our claims workload could be adversely affected. In addition to potentially requiring that growth be slowed in the affected markets, our business could suffer from decreased quality of claims handling, which could adversely affect our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act based on inaccurate or incomplete information regarding the accounts we underwrite.</w:t>
      </w:r>
    </w:p>
    <w:p>
      <w:pPr>
        <w:spacing w:after="0" w:line="189"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We rely on information provided by insureds or their representatives when underwriting insurance policies. While we may make inquiries and take other steps to validate or supplement this information, we may make underwriting and pricing decisions based on incorrect or incomplete information. It is possible that we will misunderstand the nature or extent of the activities or facilities and the corresponding risks we insure as a result of our reliance on inadequate or inaccurate information.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change our underwriting guidelines or business strategy without stockholder approval.</w:t>
      </w:r>
    </w:p>
    <w:p>
      <w:pPr>
        <w:spacing w:after="0" w:line="189"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Our management has the authority to change our underwriting guidelines or our strategy without notice to, or approval from, our stockholders. As a result, we may make fundamental changes to our operations without stockholder approval, which could result in our pursuing a strategy or implementing underwriting guidelines that may be materially different from those described in our public filings.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employees could take excessive risks, which could negatively affect our financial condition and business.</w:t>
      </w:r>
    </w:p>
    <w:p>
      <w:pPr>
        <w:spacing w:after="0" w:line="189"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color w:val="auto"/>
        </w:rPr>
        <w:t>As an insurance enterprise, we are in the business of binding certain risks. The employees who conduct our business, including executive officers and other members of management, underwriters, product managers and other employees, do so in part by making decisions that expose us to risk. These include decisions such as setting underwriting guidelines and standards, product design and pricing, determining which business opportunities to pursue, and other decisions. We endeavor, in the design and implementation of our compensation programs and practices, to avoid giving our employees incentives to take excessive risks. Employees may, however, take such risks regardless of the structure of our compensation programs and practices. Similarly, although we employ controls and procedures designed to monitor employees’ business decisions and prevent them from taking excessive risks, these controls and procedures may not be effective. If our employees take excessive risks, such risks could have a material adverse effect on our financial condition and business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in the future, which may not be available or may only be available on unfavorable terms.</w:t>
      </w:r>
    </w:p>
    <w:p>
      <w:pPr>
        <w:spacing w:after="0" w:line="175" w:lineRule="exact"/>
        <w:rPr>
          <w:sz w:val="20"/>
          <w:szCs w:val="20"/>
          <w:color w:val="auto"/>
        </w:rPr>
      </w:pPr>
    </w:p>
    <w:p>
      <w:pPr>
        <w:ind w:right="100" w:firstLine="749"/>
        <w:spacing w:after="0" w:line="245" w:lineRule="auto"/>
        <w:rPr>
          <w:sz w:val="20"/>
          <w:szCs w:val="20"/>
          <w:color w:val="auto"/>
        </w:rPr>
      </w:pPr>
      <w:r>
        <w:rPr>
          <w:rFonts w:ascii="Times New Roman" w:cs="Times New Roman" w:eastAsia="Times New Roman" w:hAnsi="Times New Roman"/>
          <w:sz w:val="18"/>
          <w:szCs w:val="18"/>
          <w:color w:val="auto"/>
        </w:rPr>
        <w:t>Our future capital requirements depend on many factors, including our ability to write new business and to establish premium rates and reserves at levels sufficient to cover losses. Many factors will affect the amount and timing of our capital needs, including our growth rate and profitability, claims experience, availability and cost of reinsurance, market disruptions, and other unforeseeable developments. If we need to raise additional capital, equity or additional debt financing may not be available, or may only be available on unfavorable terms. Equity financings would result in dilution to our stockholders, while additional debt financings could subject us to additional or revised covenants that restrict our ability to freely operate our business. If we cannot obtain adequate capital on favorable terms or at all, we may not have sufficient funds to implement our operating plans and our business, financial condition or results of operations could be materially adversely affected.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growth effectively.</w:t>
      </w:r>
    </w:p>
    <w:p>
      <w:pPr>
        <w:spacing w:after="0" w:line="189"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color w:val="auto"/>
        </w:rPr>
        <w:t>We have experienced significant growth in our employee base in recent periods, including through acquisitions. In addition, we intend to continue to grow our business in the future, which could require additional capital, technology development, and skilled personnel. To grow effectively, we must be able to meet our capital needs and expand our systems, technology, and internal controls in a timely and effective manner. We also must allocate our human resources effectively, including identifying, hiring, and retaining qualified employees, and successfully integrating the operations, systems, and personnel of any businesses we may acquire in our effort to achieve growth. The failure to manage our growth effectively could have a material adverse effect on our business, financial condition, and results of operations.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evaluation of potential acquisitions, the integration of acquired businesses, and the introduction of new products, lines of business, and markets.</w:t>
      </w:r>
    </w:p>
    <w:p>
      <w:pPr>
        <w:spacing w:after="0" w:line="131" w:lineRule="exact"/>
        <w:rPr>
          <w:sz w:val="20"/>
          <w:szCs w:val="20"/>
          <w:color w:val="auto"/>
        </w:rPr>
      </w:pPr>
    </w:p>
    <w:p>
      <w:pPr>
        <w:ind w:firstLine="749"/>
        <w:spacing w:after="0" w:line="247" w:lineRule="auto"/>
        <w:rPr>
          <w:sz w:val="20"/>
          <w:szCs w:val="20"/>
          <w:color w:val="auto"/>
        </w:rPr>
      </w:pPr>
      <w:r>
        <w:rPr>
          <w:rFonts w:ascii="Times New Roman" w:cs="Times New Roman" w:eastAsia="Times New Roman" w:hAnsi="Times New Roman"/>
          <w:sz w:val="18"/>
          <w:szCs w:val="18"/>
          <w:color w:val="auto"/>
        </w:rPr>
        <w:t>As part of our business strategy, we may make acquisitions, including acquisitions in lines of business that are natural adjacencies. For example, we recently completed the acquisition of Gray Surety in January 2026 and the acquisitions of FIA and AAP in 2025. The success of our acquisition strategy is dependent upon our ability to identify appropriate acquisition targets, negotiate transactions on favorable terms, complete transactions, access adequate financing on acceptable terms, and successfully integrate them into our existing businesses. We may not realize the anticipated benefits of acquisitions we have completed or may complete in the future, and we may not be able to effectively integrate acquired businesses, including their operations, systems and personnel, which could materially adversely affect our business, financial condition and results of operations.</w:t>
      </w:r>
    </w:p>
    <w:p>
      <w:pPr>
        <w:spacing w:after="0" w:line="139" w:lineRule="exact"/>
        <w:rPr>
          <w:sz w:val="20"/>
          <w:szCs w:val="20"/>
          <w:color w:val="auto"/>
        </w:rPr>
      </w:pPr>
    </w:p>
    <w:p>
      <w:pPr>
        <w:ind w:right="80" w:firstLine="749"/>
        <w:spacing w:after="0" w:line="247" w:lineRule="auto"/>
        <w:rPr>
          <w:sz w:val="20"/>
          <w:szCs w:val="20"/>
          <w:color w:val="auto"/>
        </w:rPr>
      </w:pPr>
      <w:r>
        <w:rPr>
          <w:rFonts w:ascii="Times New Roman" w:cs="Times New Roman" w:eastAsia="Times New Roman" w:hAnsi="Times New Roman"/>
          <w:sz w:val="18"/>
          <w:szCs w:val="18"/>
          <w:color w:val="auto"/>
        </w:rPr>
        <w:t>If acquisitions are made, we may not realize the anticipated benefits of such acquisitions, including, but not limited to, revenue growth, operational efficiencies, or expected synergies. Many of the businesses and assets that we have acquired or may acquire have unaudited historical financial statements or records prepared by the management of such companies and have not been, or will not be, independently reviewed or audited. We cannot be certain that the financial statements or records of companies or assets we have acquired or may acquire would not, or will not, be materially different if such statements were independently reviewed or audited. If such statements were to be materially different, the tangible and intangible assets we acquire may be more susceptible to impairment charges, which could have a material adverse effect on us.</w:t>
      </w:r>
    </w:p>
    <w:p>
      <w:pPr>
        <w:spacing w:after="0" w:line="139"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In addition, many of the businesses that we acquire and develop will likely have smaller-scale operations prior to the implementation of our growth strategy. If our growth continues, it may place a significant strain on our management team and on our operational and financial systems, procedures, and controls. If we cannot manage the growing complexity of these businesses, including improving, refining, or revising our systems and operational practices, enlarging the scale and scope of the businesses, and integrating the new business into our culture and operations, our business may be adversely affected.</w:t>
      </w:r>
    </w:p>
    <w:p>
      <w:pPr>
        <w:spacing w:after="0" w:line="137"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8"/>
          <w:szCs w:val="18"/>
          <w:color w:val="auto"/>
        </w:rPr>
        <w:t>From time to time, either through acquisitions or internal development, we enter new distribution channels or lines of business or offer new products and services within existing lines of business. These new distribution channels, lines of business, or new products and services present additional risks, particularly in instances where the markets are not fully developed. Such risks include the investment of significant time and resources to recruit, hire, and retain personnel and develop the products, the risks involved with the management of the integration process and development of new processes and systems to accommodate complex programs, and the risk of financial guarantees and additional liabilities associated with these efforts.</w:t>
      </w:r>
    </w:p>
    <w:p>
      <w:pPr>
        <w:spacing w:after="0" w:line="137"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Failure to manage these risks arising from acquisitions or development of new businesses could materially and adversely affect our business, results of operations, and financial condition.</w:t>
      </w:r>
    </w:p>
    <w:p>
      <w:pPr>
        <w:spacing w:after="0" w:line="9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Our operating results have varied from quarter to quarter and may not be indicative of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term prospects.</w:t>
      </w:r>
    </w:p>
    <w:p>
      <w:pPr>
        <w:spacing w:after="0" w:line="225"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8"/>
          <w:szCs w:val="18"/>
          <w:color w:val="auto"/>
        </w:rPr>
        <w:t>Our operating results are subject to fluctuation and have historically varied from quarter to quarter. We expect our quarterly results to continue to fluctuate in the future due to a number of factors, including the general economic conditions in the markets in which we operate, the frequency and severity of catastrophe or other insured events, fluctuations in interest rates, claims exceeding our loss reserves, competition in our industry, deviations from expected premium retention rates of our existing policies, volatility in investment performance, including gains and losses on our equity securities, and the cost of reinsurance coverage.</w:t>
      </w:r>
    </w:p>
    <w:p>
      <w:pPr>
        <w:spacing w:after="0" w:line="154" w:lineRule="exact"/>
        <w:rPr>
          <w:sz w:val="20"/>
          <w:szCs w:val="20"/>
          <w:color w:val="auto"/>
        </w:rPr>
      </w:pPr>
    </w:p>
    <w:p>
      <w:pPr>
        <w:jc w:val="both"/>
        <w:ind w:right="40" w:firstLine="749"/>
        <w:spacing w:after="0" w:line="250" w:lineRule="auto"/>
        <w:rPr>
          <w:sz w:val="20"/>
          <w:szCs w:val="20"/>
          <w:color w:val="auto"/>
        </w:rPr>
      </w:pPr>
      <w:r>
        <w:rPr>
          <w:rFonts w:ascii="Times New Roman" w:cs="Times New Roman" w:eastAsia="Times New Roman" w:hAnsi="Times New Roman"/>
          <w:sz w:val="18"/>
          <w:szCs w:val="18"/>
          <w:color w:val="auto"/>
        </w:rPr>
        <w:t>In addition, the insurance and reinsurance industries have historically been cyclical, characterized by periods of intense price competition due to excess underwriting capacity (soft market cycle) as well as periods when shortages of capacity increase premium levels (hard market cycle). We expect our business and results of operations to continue to be impacted by these market cycles.</w:t>
      </w:r>
    </w:p>
    <w:p>
      <w:pPr>
        <w:spacing w:after="0" w:line="150" w:lineRule="exact"/>
        <w:rPr>
          <w:sz w:val="20"/>
          <w:szCs w:val="20"/>
          <w:color w:val="auto"/>
        </w:rPr>
      </w:pPr>
    </w:p>
    <w:p>
      <w:pPr>
        <w:ind w:right="400" w:firstLine="749"/>
        <w:spacing w:after="0" w:line="221" w:lineRule="exact"/>
        <w:rPr>
          <w:sz w:val="20"/>
          <w:szCs w:val="20"/>
          <w:color w:val="auto"/>
        </w:rPr>
      </w:pPr>
      <w:r>
        <w:rPr>
          <w:rFonts w:ascii="Times New Roman" w:cs="Times New Roman" w:eastAsia="Times New Roman" w:hAnsi="Times New Roman"/>
          <w:sz w:val="18"/>
          <w:szCs w:val="18"/>
          <w:color w:val="auto"/>
        </w:rPr>
        <w:t>We seek to underwrite products and make investments to achieve favorable returns on tangible stockholders’ equity over the long term. Our opportunistic nature and focus on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in tangible equity may result in fluctuations in gross written premiums, reinsurance expenses, loss expenses, and other underwriting expenses from period to period as we concentrate on underwriting contracts that we believe will generate better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rather than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results. Accordingly, our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results of operations may not be indicative of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prospects.</w:t>
      </w:r>
    </w:p>
    <w:p>
      <w:pPr>
        <w:spacing w:after="0" w:line="125"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Credit Agreement contains restrictions and covenants that limit our operating flexibility, and any debt borrowed under our Credit Agreement exposes us to additional risks and may adversely affect our financial condition and future financial results.</w:t>
      </w:r>
    </w:p>
    <w:p>
      <w:pPr>
        <w:spacing w:after="0" w:line="117" w:lineRule="exact"/>
        <w:rPr>
          <w:sz w:val="20"/>
          <w:szCs w:val="20"/>
          <w:color w:val="auto"/>
        </w:rPr>
      </w:pPr>
    </w:p>
    <w:p>
      <w:pPr>
        <w:ind w:right="680" w:firstLine="749"/>
        <w:spacing w:after="0" w:line="282" w:lineRule="auto"/>
        <w:rPr>
          <w:sz w:val="20"/>
          <w:szCs w:val="20"/>
          <w:color w:val="auto"/>
        </w:rPr>
      </w:pPr>
      <w:r>
        <w:rPr>
          <w:rFonts w:ascii="Times New Roman" w:cs="Times New Roman" w:eastAsia="Times New Roman" w:hAnsi="Times New Roman"/>
          <w:sz w:val="18"/>
          <w:szCs w:val="18"/>
          <w:color w:val="auto"/>
        </w:rPr>
        <w:t>We have entered into a Credit Agreement (the “Credit Agreement”) with certain lenders that provides for revolving and term loan credit facilities. Borrowings under the Credit Agreement may impact our business and financial condition by:</w:t>
      </w:r>
    </w:p>
    <w:p>
      <w:pPr>
        <w:spacing w:after="0" w:line="108" w:lineRule="exact"/>
        <w:rPr>
          <w:sz w:val="20"/>
          <w:szCs w:val="20"/>
          <w:color w:val="auto"/>
        </w:rPr>
      </w:pPr>
    </w:p>
    <w:p>
      <w:pPr>
        <w:ind w:left="1140" w:right="560" w:hanging="383"/>
        <w:spacing w:after="0" w:line="282"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portion of our expected cash flows from operations to service our debt, thereby reducing the amount of expected cash flows available for other purposes, including investing, and paying claims and operating expenses; and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interest rate risk since the interest rate in the Credit Agreement is a variable rate</w:t>
      </w:r>
    </w:p>
    <w:p>
      <w:pPr>
        <w:spacing w:after="0" w:line="185" w:lineRule="exact"/>
        <w:rPr>
          <w:sz w:val="20"/>
          <w:szCs w:val="20"/>
          <w:color w:val="auto"/>
        </w:rPr>
      </w:pPr>
    </w:p>
    <w:p>
      <w:pPr>
        <w:ind w:right="40" w:firstLine="749"/>
        <w:spacing w:after="0" w:line="245" w:lineRule="auto"/>
        <w:rPr>
          <w:sz w:val="20"/>
          <w:szCs w:val="20"/>
          <w:color w:val="auto"/>
        </w:rPr>
      </w:pPr>
      <w:r>
        <w:rPr>
          <w:rFonts w:ascii="Times New Roman" w:cs="Times New Roman" w:eastAsia="Times New Roman" w:hAnsi="Times New Roman"/>
          <w:sz w:val="18"/>
          <w:szCs w:val="18"/>
          <w:color w:val="auto"/>
        </w:rPr>
        <w:t>In addition, the Credit Agreement contains financial covenants, restrictions on indebtedness, liens, investments, mergers, dispositions, prepayment of other indebtedness and dividends and other distributions. The financial covenants in the Credit Agreement require that we do not exceed a maximum leverage ratio and maintain a minimum net worth at the end of each quarter. Our insurance subsidiaries are also required to maintain a minimum risk-based capital ratio at the end of each year and must always maintain a minimum AM Best Financial Strength rating. All of these covenants and restrictions impact how we operate our business and may limit our flexibility in planning for, or reacting to, changes in our business and industry. Our ability to comply with these covenants may be affected by events beyond our control. If we breach any of the covenants and do not obtain a waiver from the noteholders or lenders, then, subject to applicable cure periods, any outstanding debt may be declared immediately due and payable.</w:t>
      </w:r>
    </w:p>
    <w:p>
      <w:pPr>
        <w:spacing w:after="0" w:line="13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Volatility in crop prices, as a result of weather conditions or other events, could adversely impact the performance of our crop business and our results of operations.</w:t>
      </w:r>
    </w:p>
    <w:p>
      <w:pPr>
        <w:spacing w:after="0" w:line="105"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8"/>
          <w:szCs w:val="18"/>
          <w:color w:val="auto"/>
        </w:rPr>
        <w:t>Weather conditions, including too much moisture (flooding or excessive rainfall), insufficient moisture (droughts), and the level of crop prices in the commodities market, heavily impact our crop insurance products. These factors are inherently unpredictable and could result in significant volatility in our operating results from period to period. Our results could also be negatively impacted by pests, plant disease or other biological risks. A significant decline in the commodity prices for one or more of the major crops that we insure could have a material adverse effect on our results of operations or financial condition.</w:t>
      </w:r>
    </w:p>
    <w:p>
      <w:pPr>
        <w:spacing w:after="0" w:line="15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Instability in the surety market, resulting from construction defaults, contractual disputes, or evolving regulatory requirements, could negatively impact the performance of our surety products;</w:t>
      </w:r>
    </w:p>
    <w:p>
      <w:pPr>
        <w:spacing w:after="0" w:line="131" w:lineRule="exact"/>
        <w:rPr>
          <w:sz w:val="20"/>
          <w:szCs w:val="20"/>
          <w:color w:val="auto"/>
        </w:rPr>
      </w:pPr>
    </w:p>
    <w:p>
      <w:pPr>
        <w:jc w:val="both"/>
        <w:ind w:right="220" w:firstLine="749"/>
        <w:spacing w:after="0" w:line="250" w:lineRule="auto"/>
        <w:rPr>
          <w:sz w:val="20"/>
          <w:szCs w:val="20"/>
          <w:color w:val="auto"/>
        </w:rPr>
      </w:pPr>
      <w:r>
        <w:rPr>
          <w:rFonts w:ascii="Times New Roman" w:cs="Times New Roman" w:eastAsia="Times New Roman" w:hAnsi="Times New Roman"/>
          <w:sz w:val="18"/>
          <w:szCs w:val="18"/>
          <w:color w:val="auto"/>
        </w:rPr>
        <w:t>Fluctuations in construction industry performance, defaults on bonded projects, contractual disagreements and regulatory changes are inherent risks in the surety insurance industry. These events may lead to increased challenges in underwriting, claims management, and regulatory compliance. If we are unable to effectively manage the impact of these risks, we could face increased loss reserves, higher underwriting losses, and increased operating costs, all of which could materially adversely affect our financial performance and overall profitability.</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the Economic Environment</w:t>
      </w:r>
    </w:p>
    <w:p>
      <w:pPr>
        <w:spacing w:after="0" w:line="17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spacing w:after="0" w:line="128"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8"/>
          <w:szCs w:val="18"/>
          <w:color w:val="auto"/>
        </w:rPr>
        <w:t>Factors such as general economic conditions, the volatility and strength of the capital markets, and inflation can affect the business and economic environment. These same factors affect our ability to generate revenue and profits. In an economic downturn that is characterized by higher unemployment, declining spending, and reduced corporate revenue, the demand for insurance products could be adversely affected, which directly affects our premium levels and profitability. Negative economic factors may also affect our ability to receive the appropriate rate for the risk we insure with our policyholders and may adversely affect the number of policies we can write, and our opportunities to underwrite profitable business. In an economic downturn, our customers may have less need for insurance coverage, cancel or cease payment on existing insurance policies, modify their coverage, or not renew the policies they hold with us. Existing policyholders may exaggerate or misrepresent claims to obtain higher claims payments. These outcomes would reduce our underwriting profit to the extent these factors are not reflected in the rates we charge.</w:t>
      </w:r>
    </w:p>
    <w:p>
      <w:pPr>
        <w:spacing w:after="0" w:line="13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We underwrite a significant portion of our insurance in California. An economic downturn which particularly impacts California could have an adverse effect on our financial condition and results of operations.</w:t>
      </w:r>
    </w:p>
    <w:p>
      <w:pPr>
        <w:spacing w:after="0" w:line="10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global trade policies, including the imposition of tariffs, along with broader economic uncertainty, could contribute to financial market volatility, interest rate fluctuations, and disruptions to the sectors we insure.</w:t>
      </w:r>
    </w:p>
    <w:p>
      <w:pPr>
        <w:spacing w:after="0" w:line="105"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8"/>
          <w:szCs w:val="18"/>
          <w:color w:val="auto"/>
        </w:rPr>
        <w:t>Ongoing global economic uncertainty, including the effects of inflation, interest rate volatility, and changes in international trade policies such as the imposition of tariffs, could have wide-ranging impacts on the markets in which we operate. These conditions may lead to shifts in consumer behavior, changes in exposure levels across personal and commercial lines, and increased costs associated with claims, operations, and policy administration. In addition, market volatility may negatively impact the performance of our investment portfolio and influence policyholder behavior. Together, these developments could adversely affect our financial results, capital position, and ability to execute our long-term business strategy.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of our investment portfolio is subject to a variety of investment risks that may adversely affect our financial results.</w:t>
      </w:r>
    </w:p>
    <w:p>
      <w:pPr>
        <w:spacing w:after="0" w:line="18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Our results of operations depend, in part, on the performance of our investment portfolio. We seek to hold a diversified portfolio of investments that is managed by a professional investment advisory management firm in accordance with our investment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policy and routinely reviewed by our Investment Committee. Our investments are subject to general economic conditions and market risks as well as risks inherent to particular securities.</w:t>
      </w:r>
    </w:p>
    <w:p>
      <w:pPr>
        <w:spacing w:after="0" w:line="135" w:lineRule="exact"/>
        <w:rPr>
          <w:sz w:val="20"/>
          <w:szCs w:val="20"/>
          <w:color w:val="auto"/>
        </w:rPr>
      </w:pPr>
    </w:p>
    <w:p>
      <w:pPr>
        <w:ind w:right="60" w:firstLine="749"/>
        <w:spacing w:after="0" w:line="217" w:lineRule="exact"/>
        <w:rPr>
          <w:sz w:val="20"/>
          <w:szCs w:val="20"/>
          <w:color w:val="auto"/>
        </w:rPr>
      </w:pPr>
      <w:r>
        <w:rPr>
          <w:rFonts w:ascii="Times New Roman" w:cs="Times New Roman" w:eastAsia="Times New Roman" w:hAnsi="Times New Roman"/>
          <w:sz w:val="18"/>
          <w:szCs w:val="18"/>
          <w:color w:val="auto"/>
        </w:rPr>
        <w:t>Our primary market risk exposures relate to changes in interest rates and credit quality considerations. Future increases in interest rates could cause the values of our fixed maturity securities portfolios to decline, with the magnitude of the decline depending on the duration of securities included in our portfolio and the amount by which interest rates increase. Interest rate fluctuations can also impact the business and results of operations of the companies that issue fixed maturity securities and may cause a decline in fair value of their securities. Some fixed maturity securities have call or prepayment options, which create reinvestment risk in declining rate environments. Other fixed maturity securities, such as mortgage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and asset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securities, carry prepayment risk or, in a rising interest rate environment, may not prepay as quickly as expected.</w:t>
      </w:r>
    </w:p>
    <w:p>
      <w:pPr>
        <w:spacing w:after="0" w:line="119" w:lineRule="exact"/>
        <w:rPr>
          <w:sz w:val="20"/>
          <w:szCs w:val="20"/>
          <w:color w:val="auto"/>
        </w:rPr>
      </w:pPr>
    </w:p>
    <w:p>
      <w:pPr>
        <w:ind w:right="200" w:firstLine="749"/>
        <w:spacing w:after="0" w:line="250" w:lineRule="auto"/>
        <w:rPr>
          <w:sz w:val="20"/>
          <w:szCs w:val="20"/>
          <w:color w:val="auto"/>
        </w:rPr>
      </w:pPr>
      <w:r>
        <w:rPr>
          <w:rFonts w:ascii="Times New Roman" w:cs="Times New Roman" w:eastAsia="Times New Roman" w:hAnsi="Times New Roman"/>
          <w:sz w:val="18"/>
          <w:szCs w:val="18"/>
          <w:color w:val="auto"/>
        </w:rPr>
        <w:t>The value of our investment portfolio is subject to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Such deteriorations may be caused or magnified by interest rate fluctuations. Downgrades in the credit ratings of fixed maturities also have a significant negative effect on the market valuation of such securities.</w:t>
      </w:r>
    </w:p>
    <w:p>
      <w:pPr>
        <w:spacing w:after="0" w:line="150"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Such factors could reduce our net investment income and result in realized investment losses. Our investment portfolio is subject to increased valuation uncertainties when investment markets are illiquid. The valuation of investments is more subjective when markets are illiquid, thereby increasing the risk that the estimated fair value (i.e., the carrying amount) of the securities we hold in our portfolio does not reflect prices at which actual transactions would occur.</w:t>
      </w:r>
    </w:p>
    <w:p>
      <w:pPr>
        <w:spacing w:after="0" w:line="137"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We also invest in marketable equity securities. These securities are carried on the balance sheet at fair market value and are subject to potential losses and declines in market value based on the performance of equity markets.</w:t>
      </w:r>
    </w:p>
    <w:p>
      <w:pPr>
        <w:spacing w:after="0" w:line="108" w:lineRule="exact"/>
        <w:rPr>
          <w:sz w:val="20"/>
          <w:szCs w:val="20"/>
          <w:color w:val="auto"/>
        </w:rPr>
      </w:pPr>
    </w:p>
    <w:p>
      <w:pPr>
        <w:ind w:right="200" w:firstLine="749"/>
        <w:spacing w:after="0" w:line="250" w:lineRule="auto"/>
        <w:rPr>
          <w:sz w:val="20"/>
          <w:szCs w:val="20"/>
          <w:color w:val="auto"/>
        </w:rPr>
      </w:pPr>
      <w:r>
        <w:rPr>
          <w:rFonts w:ascii="Times New Roman" w:cs="Times New Roman" w:eastAsia="Times New Roman" w:hAnsi="Times New Roman"/>
          <w:sz w:val="18"/>
          <w:szCs w:val="18"/>
          <w:color w:val="auto"/>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National Association of Insurance Commissioners (“NAIC”), and the respective state insurance departments regulating each of our insurance company subsidiaries.</w:t>
      </w:r>
    </w:p>
    <w:p>
      <w:pPr>
        <w:spacing w:after="0" w:line="15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spacing w:after="0" w:line="1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Our investment portfolio could also be adversely impacted by ratings downgrades, increased bankruptcies and credit spread widenings caused by economic downturns or other events. Severe economic downturns could cause impairments in our fixed income portfolio. In addition, declines in fixed income yields would result in decreases in net investment income from future investment activity, including re-investments.</w:t>
      </w:r>
    </w:p>
    <w:p>
      <w:pPr>
        <w:spacing w:after="0" w:line="1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may, in certain circumstances, invest a small percentage of our investment portfolio in private companies or limited partnerships which we believe provide strategic opportunities. These types of investments are typically illiquid, and we have limited ability to take actions that protect or increase the value of this type of investment. Net losses from these investments or impairment of these investments may negatively impact our operating results.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forced to sell investments to meet our liquidity requirements.</w:t>
      </w:r>
    </w:p>
    <w:p>
      <w:pPr>
        <w:spacing w:after="0" w:line="175" w:lineRule="exact"/>
        <w:rPr>
          <w:sz w:val="20"/>
          <w:szCs w:val="20"/>
          <w:color w:val="auto"/>
        </w:rPr>
      </w:pPr>
    </w:p>
    <w:p>
      <w:pPr>
        <w:ind w:right="140" w:firstLine="749"/>
        <w:spacing w:after="0" w:line="247" w:lineRule="auto"/>
        <w:rPr>
          <w:sz w:val="20"/>
          <w:szCs w:val="20"/>
          <w:color w:val="auto"/>
        </w:rPr>
      </w:pPr>
      <w:r>
        <w:rPr>
          <w:rFonts w:ascii="Times New Roman" w:cs="Times New Roman" w:eastAsia="Times New Roman" w:hAnsi="Times New Roman"/>
          <w:sz w:val="18"/>
          <w:szCs w:val="18"/>
          <w:color w:val="auto"/>
        </w:rPr>
        <w:t>We invest the premiums we receive from our insureds until they are needed to pay policyholder claims. Consequently, we seek to manage the duration of our investment portfolio based on the duration of our losses and loss adjustment expense reserves to provide sufficient liquidity and avoid having to liquidate investments to fund claims. Risks such as inadequate loss and loss adjustment reserves, a significant catastrophe event, or unfavorable litigation trends could potentially result in the need to sell investments to fund these liabilities. We may not be able to sell our investments at favorable prices, or at all. Sales could result in significant realized losses depending on the conditions of the general market, interest rates, and credit issues with individual securities.</w:t>
      </w:r>
    </w:p>
    <w:p>
      <w:pPr>
        <w:spacing w:after="0" w:line="14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Risks Related to Technology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or disruption of our information technology and telecommunications systems could adversely affect our business.</w:t>
      </w:r>
    </w:p>
    <w:p>
      <w:pPr>
        <w:spacing w:after="0" w:line="189" w:lineRule="exact"/>
        <w:rPr>
          <w:sz w:val="20"/>
          <w:szCs w:val="20"/>
          <w:color w:val="auto"/>
        </w:rPr>
      </w:pPr>
    </w:p>
    <w:p>
      <w:pPr>
        <w:jc w:val="both"/>
        <w:ind w:right="120" w:firstLine="749"/>
        <w:spacing w:after="0" w:line="221" w:lineRule="exact"/>
        <w:rPr>
          <w:sz w:val="20"/>
          <w:szCs w:val="20"/>
          <w:color w:val="auto"/>
        </w:rPr>
      </w:pPr>
      <w:r>
        <w:rPr>
          <w:rFonts w:ascii="Times New Roman" w:cs="Times New Roman" w:eastAsia="Times New Roman" w:hAnsi="Times New Roman"/>
          <w:sz w:val="18"/>
          <w:szCs w:val="18"/>
          <w:color w:val="auto"/>
        </w:rPr>
        <w:t>Our business is highly dependent on our information technology and telecommunications systems, including our underwriting system. We rely on these systems to interact with brokers and insureds, underwrite business, prepare policies and process premiums, perform actuarial and other modeling functions, process claims and make claims payments, and prepare internal and external financial statements and information. Some of these systems may include or rely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systems not located on our</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premises or under our control. Events such as natural catastrophes, pandemics, cyber-attacks, terrorist acts, industrial accidents, system vulnerabilities, or malware may cause our systems to fail or be inaccessible for extended periods of time. While we have implemented business contingency plans and other reasonable plans to protect our systems, sustained or repeated system failures or service denials could severely limit our ability to write and process new and renewal business, provide customer service, pay claims in a timely manner or otherwise operate in the ordinary course of business.</w:t>
      </w:r>
    </w:p>
    <w:p>
      <w:pPr>
        <w:spacing w:after="0" w:line="150"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A portion of our employees work remotely and outside of our primary offices on a regular basis. We believe remote work increases the need for our information technology and telecommunications systems to work properly and creates additional operational risk and difficulty should these systems fail.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breaches or cyber-attacks could expose us to liability and damage our reputation and business.</w:t>
      </w:r>
    </w:p>
    <w:p>
      <w:pPr>
        <w:spacing w:after="0" w:line="189" w:lineRule="exact"/>
        <w:rPr>
          <w:sz w:val="20"/>
          <w:szCs w:val="20"/>
          <w:color w:val="auto"/>
        </w:rPr>
      </w:pPr>
    </w:p>
    <w:p>
      <w:pPr>
        <w:ind w:right="320" w:firstLine="749"/>
        <w:spacing w:after="0" w:line="222" w:lineRule="exact"/>
        <w:rPr>
          <w:sz w:val="20"/>
          <w:szCs w:val="20"/>
          <w:color w:val="auto"/>
        </w:rPr>
      </w:pPr>
      <w:r>
        <w:rPr>
          <w:rFonts w:ascii="Times New Roman" w:cs="Times New Roman" w:eastAsia="Times New Roman" w:hAnsi="Times New Roman"/>
          <w:sz w:val="18"/>
          <w:szCs w:val="18"/>
          <w:color w:val="auto"/>
        </w:rPr>
        <w:t>Our operations depend on the reliable and secure processing, storage, and transmission of confidential and other data and information in our computer systems and networks. Computer viruses, hackers, employee misconduct, and other external hazards could expose our systems to security breaches, cyber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attacks or other disruptions.</w:t>
      </w:r>
    </w:p>
    <w:p>
      <w:pPr>
        <w:spacing w:after="0" w:line="132" w:lineRule="exact"/>
        <w:rPr>
          <w:sz w:val="20"/>
          <w:szCs w:val="20"/>
          <w:color w:val="auto"/>
        </w:rPr>
      </w:pPr>
    </w:p>
    <w:p>
      <w:pPr>
        <w:ind w:right="240" w:firstLine="749"/>
        <w:spacing w:after="0" w:line="244" w:lineRule="auto"/>
        <w:rPr>
          <w:sz w:val="20"/>
          <w:szCs w:val="20"/>
          <w:color w:val="auto"/>
        </w:rPr>
      </w:pPr>
      <w:r>
        <w:rPr>
          <w:rFonts w:ascii="Times New Roman" w:cs="Times New Roman" w:eastAsia="Times New Roman" w:hAnsi="Times New Roman"/>
          <w:sz w:val="18"/>
          <w:szCs w:val="18"/>
          <w:color w:val="auto"/>
        </w:rPr>
        <w:t>Cyberthreats are constantly evolving and becoming increasingly sophisticated and complex, making it increasingly difficult to detect and successfully defend against them. In addition, cyber-attackers (which may include individuals or groups, as well as sophisticated groups such as nation-state and state-sponsored attackers, which can deploy significant resources to plan and carry out exploits) also develop and deploy viruses, worms, credential stuffing attack tools and other malicious software programs, some of which may be specifically designed to attack our products, information systems or networks. Outside parties have in the past and may in the future attempt to fraudulently induce our employees or users of our products or services to disclose sensitive, personal or confidential information via illegal electronic spamming, phishing or other tactics.</w:t>
      </w:r>
    </w:p>
    <w:p>
      <w:pPr>
        <w:spacing w:after="0" w:line="155" w:lineRule="exact"/>
        <w:rPr>
          <w:sz w:val="20"/>
          <w:szCs w:val="20"/>
          <w:color w:val="auto"/>
        </w:rPr>
      </w:pPr>
    </w:p>
    <w:p>
      <w:pPr>
        <w:ind w:right="60" w:firstLine="749"/>
        <w:spacing w:after="0" w:line="247" w:lineRule="auto"/>
        <w:rPr>
          <w:sz w:val="20"/>
          <w:szCs w:val="20"/>
          <w:color w:val="auto"/>
        </w:rPr>
      </w:pPr>
      <w:r>
        <w:rPr>
          <w:rFonts w:ascii="Times New Roman" w:cs="Times New Roman" w:eastAsia="Times New Roman" w:hAnsi="Times New Roman"/>
          <w:sz w:val="18"/>
          <w:szCs w:val="18"/>
          <w:color w:val="auto"/>
        </w:rPr>
        <w:t>While we have implemented security measures and employee training designed to protect against breaches of security and other interference with our systems and networks, our systems and networks may be, and at times are, subject to breaches or interference. Any such event may result in operational disruptions as well as unauthorized access to or the disclosure or loss of our proprietary information or our customers’ data and information, which in turn may result in legal claims, regulatory scrutiny and liability, reputational damage, the incurrence of costs to eliminate or mitigate further exposure, the loss of customers or affiliated advisors, reputational harm or other damage to our business. While we maintain insurance coverage that may, subject to policy terms and conditions, cover certain aspects of cyber risks, such insurance coverage may be insufficient to cover all losses.</w:t>
      </w:r>
    </w:p>
    <w:p>
      <w:pPr>
        <w:spacing w:after="0" w:line="139" w:lineRule="exact"/>
        <w:rPr>
          <w:sz w:val="20"/>
          <w:szCs w:val="20"/>
          <w:color w:val="auto"/>
        </w:rPr>
      </w:pPr>
    </w:p>
    <w:p>
      <w:pPr>
        <w:ind w:right="20" w:firstLine="749"/>
        <w:spacing w:after="0" w:line="213" w:lineRule="exact"/>
        <w:rPr>
          <w:sz w:val="20"/>
          <w:szCs w:val="20"/>
          <w:color w:val="auto"/>
        </w:rPr>
      </w:pPr>
      <w:r>
        <w:rPr>
          <w:rFonts w:ascii="Times New Roman" w:cs="Times New Roman" w:eastAsia="Times New Roman" w:hAnsi="Times New Roman"/>
          <w:sz w:val="18"/>
          <w:szCs w:val="18"/>
          <w:color w:val="auto"/>
        </w:rPr>
        <w:t>Increased regulatory and public disclosure requirements related to cybersecurity incidents could exacerbate the harm to our business, financial condition and results of operations. Even if we successfully protect our technology infrastructure and the confidentiality of sensitive data, we could suffer harm to our business and reputation if attempted security breaches are publicized. We cannot be certain that advances in criminal capabilities, discovery of new vulnerabilities, attempts to exploit vulnerabilities in our systems, data thefts, physical system or network break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 or inappropriate access, or other developments will not compromise or breach the technology or other security measures protecting the networks and systems used in connection with our business.</w:t>
      </w:r>
    </w:p>
    <w:p>
      <w:pPr>
        <w:spacing w:after="0" w:line="104" w:lineRule="exact"/>
        <w:rPr>
          <w:sz w:val="20"/>
          <w:szCs w:val="20"/>
          <w:color w:val="auto"/>
        </w:rPr>
      </w:pPr>
    </w:p>
    <w:p>
      <w:pPr>
        <w:ind w:right="4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We employ third</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party licensed software for use in our business, and the inability to maintain these licenses, problems with the software we license, or increases to the cost of software licenses could adversely affect our business.</w:t>
      </w:r>
    </w:p>
    <w:p>
      <w:pPr>
        <w:spacing w:after="0" w:line="104" w:lineRule="exact"/>
        <w:rPr>
          <w:sz w:val="20"/>
          <w:szCs w:val="20"/>
          <w:color w:val="auto"/>
        </w:rPr>
      </w:pPr>
    </w:p>
    <w:p>
      <w:pPr>
        <w:ind w:firstLine="749"/>
        <w:spacing w:after="0" w:line="220" w:lineRule="exact"/>
        <w:rPr>
          <w:sz w:val="20"/>
          <w:szCs w:val="20"/>
          <w:color w:val="auto"/>
        </w:rPr>
      </w:pPr>
      <w:r>
        <w:rPr>
          <w:rFonts w:ascii="Times New Roman" w:cs="Times New Roman" w:eastAsia="Times New Roman" w:hAnsi="Times New Roman"/>
          <w:sz w:val="18"/>
          <w:szCs w:val="18"/>
          <w:color w:val="auto"/>
        </w:rPr>
        <w:t>Multiple areas of our business rely on certain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obtained under licenses from other companies, and we expect to continue to rely on such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in the future. Unforeseen issues may arise in third-party software platforms which may have an adverse impact on our operations. Integration of new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or modifications to our existing third-party software may require substantial investment of our time and resources. The inability to integrate or operate third-party software successfully or the inadequacy of third-party software may have a material adverse impact on our operations. In addition, the cost of third-party software is significant and we expect it to increase in the future. If we have issues with the functionality or expense of third-party software, we may not be able to identify or implement acceptable alternatives in a timely manner, or at all. Many of the risks associated with the use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cannot be eliminated, and these risks could negatively affect our business.</w:t>
      </w:r>
    </w:p>
    <w:p>
      <w:pPr>
        <w:spacing w:after="0" w:line="135" w:lineRule="exact"/>
        <w:rPr>
          <w:sz w:val="20"/>
          <w:szCs w:val="20"/>
          <w:color w:val="auto"/>
        </w:rPr>
      </w:pPr>
    </w:p>
    <w:p>
      <w:pPr>
        <w:ind w:right="160" w:firstLine="749"/>
        <w:spacing w:after="0" w:line="210" w:lineRule="exact"/>
        <w:rPr>
          <w:sz w:val="20"/>
          <w:szCs w:val="20"/>
          <w:color w:val="auto"/>
        </w:rPr>
      </w:pPr>
      <w:r>
        <w:rPr>
          <w:rFonts w:ascii="Times New Roman" w:cs="Times New Roman" w:eastAsia="Times New Roman" w:hAnsi="Times New Roman"/>
          <w:sz w:val="18"/>
          <w:szCs w:val="18"/>
          <w:color w:val="auto"/>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disclose the affected portions of our source code or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 weaknesses or failures in cloud-based software could adversely affect our business.</w:t>
      </w:r>
    </w:p>
    <w:p>
      <w:pPr>
        <w:spacing w:after="0" w:line="189" w:lineRule="exact"/>
        <w:rPr>
          <w:sz w:val="20"/>
          <w:szCs w:val="20"/>
          <w:color w:val="auto"/>
        </w:rPr>
      </w:pPr>
    </w:p>
    <w:p>
      <w:pPr>
        <w:ind w:right="40" w:firstLine="749"/>
        <w:spacing w:after="0" w:line="241" w:lineRule="auto"/>
        <w:rPr>
          <w:sz w:val="20"/>
          <w:szCs w:val="20"/>
          <w:color w:val="auto"/>
        </w:rPr>
      </w:pPr>
      <w:r>
        <w:rPr>
          <w:rFonts w:ascii="Times New Roman" w:cs="Times New Roman" w:eastAsia="Times New Roman" w:hAnsi="Times New Roman"/>
          <w:sz w:val="18"/>
          <w:szCs w:val="18"/>
          <w:color w:val="auto"/>
        </w:rPr>
        <w:t>We use cloud-based third-party software to host applications and support key financial and operational systems, and we expect to expand their use in the future. We will increasingly rely on third-party software providers to maintain appropriate controls and safeguards to protect the integrity of our data and any information we transmit, including personal, personally identifiable, sensitive, confidential or proprietary information. While we conduct due diligence on these cloud providers with respect to their security and business controls, we may not have the visibility to effectively monitor the implementation and efficacy of these controls. If these controls do not operate effectively, we may not be able to rely on their software and cyber attackers may be able to exploit vulnerabilities, resulting in operational disruption, data loss, defects or a cybersecurity event. Migrating our software to the cloud increases the risk of operational disruption should internet service be interrupted. While we have implemented business contingency and other plans to facilitate continuous internet access, sustained or concurrent service denials or similar failures could limit our ability to write and process new and renewal business, provide customer service, pay claims in a timely manner, maintain our accounting function, or otherwise operate our business. Any such event or failure could have a material adverse effect on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growth and evolution of artificial intelligence (AI) will impact our business and operations.</w:t>
      </w:r>
    </w:p>
    <w:p>
      <w:pPr>
        <w:spacing w:after="0" w:line="189" w:lineRule="exact"/>
        <w:rPr>
          <w:sz w:val="20"/>
          <w:szCs w:val="20"/>
          <w:color w:val="auto"/>
        </w:rPr>
      </w:pPr>
    </w:p>
    <w:p>
      <w:pPr>
        <w:ind w:right="120" w:firstLine="749"/>
        <w:spacing w:after="0" w:line="245" w:lineRule="auto"/>
        <w:rPr>
          <w:sz w:val="20"/>
          <w:szCs w:val="20"/>
          <w:color w:val="auto"/>
        </w:rPr>
      </w:pPr>
      <w:r>
        <w:rPr>
          <w:rFonts w:ascii="Times New Roman" w:cs="Times New Roman" w:eastAsia="Times New Roman" w:hAnsi="Times New Roman"/>
          <w:sz w:val="18"/>
          <w:szCs w:val="18"/>
          <w:color w:val="auto"/>
        </w:rPr>
        <w:t>We are incorporating AI and AI adjacent technology and tools in certain business processes and workflows and expect AI to have a more meaningful impact on our Company in the future. While we are attempting to implement AI deliberately to enhance automation, efficiency, and risk management, we believe it introduces several additional risks. The increased investment in and reliance on AI for business processes creates risks should AI not provide the anticipated benefits or operate as anticipated. There are numerous AI adjacent tools which may improve the efficiency or effectiveness of our processes, and there is a risk that we do not implement the correct tools or do not implement the tools effectively. While we issue guidelines to employees on the use of AI, employees may use it in unanticipated ways that introduce additional risk to us. Generative AI tools may provide inaccurate, incomplete or false information or introduce biases.</w:t>
      </w:r>
    </w:p>
    <w:p>
      <w:pPr>
        <w:spacing w:after="0" w:line="141"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8"/>
          <w:szCs w:val="18"/>
          <w:color w:val="auto"/>
        </w:rPr>
        <w:t>There is also risk around third-party use of AI as our customers, software vendors and other service providers are increasingly incorporating AI into their processes, which may expose us to additional risks should they not be able to incorporate the technology effectively. Our competitors may incorporate AI more effectively than us causing us to lose market share. We also believe AI increases the information technology and cybersecurity risks described above and could enhance cyberattack capabilities. AI-related issues, deficiencies and/or failures could adversely impact our operations, damage our reputation, and give rise to legal or regulatory action.</w:t>
      </w:r>
    </w:p>
    <w:p>
      <w:pPr>
        <w:spacing w:after="0" w:line="137"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While we aim to develop and use AI deliberately and responsibly, we cannot anticipate all of the ways AI will impact us and cannot guarantee that the risks associated with AI use will be fully mitigated. Failure to manage AI risks could adversely impact our business.</w:t>
      </w:r>
    </w:p>
    <w:p>
      <w:pPr>
        <w:spacing w:after="0" w:line="1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Risks Related to Laws and Regulations</w:t>
      </w:r>
    </w:p>
    <w:p>
      <w:pPr>
        <w:spacing w:after="0" w:line="185" w:lineRule="exact"/>
        <w:rPr>
          <w:sz w:val="20"/>
          <w:szCs w:val="20"/>
          <w:color w:val="auto"/>
        </w:rPr>
      </w:pPr>
    </w:p>
    <w:p>
      <w:pPr>
        <w:jc w:val="both"/>
        <w:ind w:right="1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regulation, which may adversely affect our ability to achieve our business objectives. In addition, if we fail to comply with these regulations, we may be subject to penalties, including fines and suspensions, which may adversely affect our financial condition and results of operations.</w:t>
      </w:r>
    </w:p>
    <w:p>
      <w:pPr>
        <w:spacing w:after="0" w:line="149" w:lineRule="exact"/>
        <w:rPr>
          <w:sz w:val="20"/>
          <w:szCs w:val="20"/>
          <w:color w:val="auto"/>
        </w:rPr>
      </w:pPr>
    </w:p>
    <w:p>
      <w:pPr>
        <w:jc w:val="both"/>
        <w:ind w:right="300" w:firstLine="749"/>
        <w:spacing w:after="0" w:line="250" w:lineRule="auto"/>
        <w:rPr>
          <w:sz w:val="20"/>
          <w:szCs w:val="20"/>
          <w:color w:val="auto"/>
        </w:rPr>
      </w:pPr>
      <w:r>
        <w:rPr>
          <w:rFonts w:ascii="Times New Roman" w:cs="Times New Roman" w:eastAsia="Times New Roman" w:hAnsi="Times New Roman"/>
          <w:sz w:val="18"/>
          <w:szCs w:val="18"/>
          <w:color w:val="auto"/>
        </w:rPr>
        <w:t>Our insurance company subsidiaries, PSIC, PESIC, FIA and PCSC, are subject to extensive rules and regulations enforced by the insurance regulator of the state in which they are commercially domiciled. To a lesser degree, they are also subject to regulations in the other states in which they operate. Our Bermuda domiciled reinsurance subsidiary, Palomar Specialty Reinsurance Company Bermuda Ltd. (“PSRE”), is subject to regulation in Bermuda.</w:t>
      </w:r>
    </w:p>
    <w:p>
      <w:pPr>
        <w:spacing w:after="0" w:line="150"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color w:val="auto"/>
        </w:rPr>
        <w:t>Most insurance regulations are designed to protect the interests of insurance policyholders, as opposed to the interests of investors or stockholders. These regulations generally are administered by a department of insurance in each state and relate to, among other things, capital and surplus requirements, investment and underwriting limitations, affiliate transactions, dividend limitations, changes in control, solvency and a variety of other financial and non-financial aspects of our business. Significant changes in these laws and regulations could further limit our discretion or make it more expensive to conduct our business. State insurance regulators and the Bermuda Monetary Authority (the “BMA”), also conduct periodic examinations of the affairs of insurance and reinsurance companies and require the filing of annual and other reports relating to financial condition, holding company issues and other matters. These regulatory requirements may impose timing and expense constraints that could adversely affect our ability to achieve some or all our business objectives.</w:t>
      </w:r>
    </w:p>
    <w:p>
      <w:pPr>
        <w:spacing w:after="0" w:line="146"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Our U.S. insurance subsidiaries are part of an “insurance holding company system” within the meaning of applicable state statutes and regulations. As a result of such status, certain transactions between our U.S. insurance subsidiaries and one or more of their affiliates, such as a tax sharing agreement or cost sharing arrangement, may not be effected unless the insurer has provided notice of that transaction to the respective state regulator, at least 30 days prior to engaging in the transaction, and the regulator has not</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disapproved such transaction within the 30-day time period. These prior notification requirements may result in business delays and additional business expenses. If any of our U.S. insurance subsidiaries fail to file a required notification or fail to comply with other applicable insurance regulations, we may be subject to significant fines and penalties and our working relationship with the state insurance regulators may be impaired.</w:t>
      </w:r>
    </w:p>
    <w:p>
      <w:pPr>
        <w:spacing w:after="0" w:line="129"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color w:val="auto"/>
        </w:rPr>
        <w:t>In addition, state insurance regulators have broad discretion to deny, suspend, or revoke licenses for various reasons, including the violation of regulations. In some instances, where there is uncertainty as to applicability, we follow practices based on our interpretations of regulations or practices that we believe generally to be followed by the industry. These practices may turn out to be different from the interpretations of regulatory authorities. If we do not have the requisite licenses and approvals or do not comply with applicable regulatory requirements, state insurance regulators could preclude or temporarily suspend us from carrying on some or all of our activities or could otherwise penalize us. This could adversely affect our ability to operate our business. Further, changes in the level of regulation of the insurance industry or changes in laws or regulations themselves or interpretations by regulatory authorities could interfere with our operations and require us to bear additional costs of compliance, which could adversely affect our ability to operate our business.</w:t>
      </w:r>
    </w:p>
    <w:p>
      <w:pPr>
        <w:spacing w:after="0" w:line="119" w:lineRule="exact"/>
        <w:rPr>
          <w:sz w:val="20"/>
          <w:szCs w:val="20"/>
          <w:color w:val="auto"/>
        </w:rPr>
      </w:pPr>
    </w:p>
    <w:p>
      <w:pPr>
        <w:ind w:right="120" w:firstLine="749"/>
        <w:spacing w:after="0" w:line="217" w:lineRule="exact"/>
        <w:rPr>
          <w:sz w:val="20"/>
          <w:szCs w:val="20"/>
          <w:color w:val="auto"/>
        </w:rPr>
      </w:pPr>
      <w:r>
        <w:rPr>
          <w:rFonts w:ascii="Times New Roman" w:cs="Times New Roman" w:eastAsia="Times New Roman" w:hAnsi="Times New Roman"/>
          <w:sz w:val="18"/>
          <w:szCs w:val="18"/>
          <w:color w:val="auto"/>
        </w:rPr>
        <w:t>Our U.S. insurance subsidiaries are subject to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capital requirements, based upon the “risk-based capital model” adopted by the NAIC, and other minimum capital and surplus restrictions imposed under the laws of the state in which they are domiciled. These requirements establish the minimum amount of risk-based capital necessary for a company to support its overall business operations. The model identifies property and casualty insurers that may be inadequately capitalized by looking at certain inherent risks of each insurer’s assets and liabilities and its mix of net written premium. Insurers falling below a calculated threshold may be subject to varying degrees of regulatory action, including supervision, rehabilitation or liquidation. Failure by any of our U.S. subsidiaries to maintain risk-based capital at the required levels could adversely affect their ability to maintain regulatory authority to conduct business.</w:t>
      </w:r>
    </w:p>
    <w:p>
      <w:pPr>
        <w:spacing w:after="0" w:line="159" w:lineRule="exact"/>
        <w:rPr>
          <w:sz w:val="20"/>
          <w:szCs w:val="20"/>
          <w:color w:val="auto"/>
        </w:rPr>
      </w:pPr>
    </w:p>
    <w:p>
      <w:pPr>
        <w:ind w:right="300" w:firstLine="749"/>
        <w:spacing w:after="0" w:line="250" w:lineRule="auto"/>
        <w:rPr>
          <w:sz w:val="20"/>
          <w:szCs w:val="20"/>
          <w:color w:val="auto"/>
        </w:rPr>
      </w:pPr>
      <w:r>
        <w:rPr>
          <w:rFonts w:ascii="Times New Roman" w:cs="Times New Roman" w:eastAsia="Times New Roman" w:hAnsi="Times New Roman"/>
          <w:sz w:val="18"/>
          <w:szCs w:val="18"/>
          <w:color w:val="auto"/>
        </w:rPr>
        <w:t>PSRE is subject to regulation by the European Union. The European Union adopted the Economic Substance Act 2018 and the Economic Substance Regulations 2018 (together, the “ES Requirements”). As an insurance company, our Bermuda subsidiary conducts a relevant activity and is subject to the ES Requirements. As a result, our Bermuda subsidiary may be required to change or increase our business operations in Bermuda to meet these requirements.</w:t>
      </w:r>
    </w:p>
    <w:p>
      <w:pPr>
        <w:spacing w:after="0" w:line="137" w:lineRule="exact"/>
        <w:rPr>
          <w:sz w:val="20"/>
          <w:szCs w:val="20"/>
          <w:color w:val="auto"/>
        </w:rPr>
      </w:pPr>
    </w:p>
    <w:p>
      <w:pPr>
        <w:jc w:val="both"/>
        <w:ind w:right="140" w:firstLine="749"/>
        <w:spacing w:after="0" w:line="250" w:lineRule="auto"/>
        <w:rPr>
          <w:sz w:val="20"/>
          <w:szCs w:val="20"/>
          <w:color w:val="auto"/>
        </w:rPr>
      </w:pPr>
      <w:r>
        <w:rPr>
          <w:rFonts w:ascii="Times New Roman" w:cs="Times New Roman" w:eastAsia="Times New Roman" w:hAnsi="Times New Roman"/>
          <w:sz w:val="18"/>
          <w:szCs w:val="18"/>
          <w:color w:val="auto"/>
        </w:rPr>
        <w:t>Laulima is subject to regulation by the Hawaii Department of Commerce and Consumer Affairs, Hawaii Insurance Division which requires that Laulima comply with Hawaii Statutes and Insurance Code. If Laulima is unable to comply with the applicable insurance regulations in Hawaii, it may be subject to significant fines and penalties and its working relationship with the Hawaii Department of Commerce and Consumer Affairs, Hawaii Insurance Division may be impaired.</w:t>
      </w:r>
    </w:p>
    <w:p>
      <w:pPr>
        <w:spacing w:after="0" w:line="150"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FIA is subject to regulation by the New Jersey Department of Banking and Insurance, which requires that FIA comply with New Jersey Statutes and Insurance Code. Failure to meet these regulatory requirements could result in substantial fines or penalties and may negatively affect FIA’s relationship with the New Jersey Department of Banking and Insurance.</w:t>
      </w:r>
    </w:p>
    <w:p>
      <w:pPr>
        <w:spacing w:after="0" w:line="150"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18"/>
          <w:szCs w:val="18"/>
          <w:color w:val="auto"/>
        </w:rPr>
        <w:t>PCSC is subject to regulation by the Louisiana Department of Insurance and must comply with applicable Louisiana insurance laws and regulations. Failure to comply with these requirements may result in regulatory action, including fines, penalties, or other sanctions, and could adversely affect PCSC’s ability to conduct business in Louisiana.</w:t>
      </w:r>
    </w:p>
    <w:p>
      <w:pPr>
        <w:spacing w:after="0" w:line="1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Unexpected changes in the interpretation of our coverage or provisions, including loss limitations and exclusions, in our policies could have a material adverse effect on our financial condition and results of operations.</w:t>
      </w:r>
    </w:p>
    <w:p>
      <w:pPr>
        <w:spacing w:after="0" w:line="105"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18"/>
          <w:szCs w:val="18"/>
          <w:color w:val="auto"/>
        </w:rPr>
        <w:t>There can be no assurances that specifically negotiated loss limitations or exclusions in our policies will be enforceable in the manner we intend. As industry practices and legal, judicial, social, and other conditions change, unexpected and unintended issues related to claims and coverage may emerge. For example, many of our policies limit the period during which a policyholder may bring a claim, which may be shorter than the statutory period under which such claims can be brought against our policyholders. While these limitations and exclusions help us assess and mitigate our loss exposure, it is possible that a court or regulatory authority or an executive action could nullify or void a limitation or exclusion, such as limitations on business interruption claims caused by pandemics or other crises, or legislation could be enacted modifying or barring the use of such limitations or exclusions. These types of governmental actions could result in higher than anticipated losses and loss adjustment expenses,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w:t>
      </w:r>
    </w:p>
    <w:p>
      <w:pPr>
        <w:spacing w:after="0" w:line="145" w:lineRule="exact"/>
        <w:rPr>
          <w:sz w:val="20"/>
          <w:szCs w:val="20"/>
          <w:color w:val="auto"/>
        </w:rPr>
      </w:pPr>
    </w:p>
    <w:p>
      <w:pPr>
        <w:jc w:val="both"/>
        <w:ind w:right="120" w:firstLine="749"/>
        <w:spacing w:after="0" w:line="258" w:lineRule="auto"/>
        <w:rPr>
          <w:sz w:val="20"/>
          <w:szCs w:val="20"/>
          <w:color w:val="auto"/>
        </w:rPr>
      </w:pPr>
      <w:r>
        <w:rPr>
          <w:rFonts w:ascii="Times New Roman" w:cs="Times New Roman" w:eastAsia="Times New Roman" w:hAnsi="Times New Roman"/>
          <w:sz w:val="18"/>
          <w:szCs w:val="18"/>
          <w:color w:val="auto"/>
        </w:rPr>
        <w:t>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crop insurance business is subject to extensive regulation and non-compliance with the regulations or changes in the regulations may adversely impact our business.</w:t>
      </w:r>
    </w:p>
    <w:p>
      <w:pPr>
        <w:spacing w:after="0" w:line="131" w:lineRule="exact"/>
        <w:rPr>
          <w:sz w:val="20"/>
          <w:szCs w:val="20"/>
          <w:color w:val="auto"/>
        </w:rPr>
      </w:pPr>
    </w:p>
    <w:p>
      <w:pPr>
        <w:ind w:right="20" w:firstLine="749"/>
        <w:spacing w:after="0" w:line="245" w:lineRule="auto"/>
        <w:rPr>
          <w:sz w:val="20"/>
          <w:szCs w:val="20"/>
          <w:color w:val="auto"/>
        </w:rPr>
      </w:pPr>
      <w:r>
        <w:rPr>
          <w:rFonts w:ascii="Times New Roman" w:cs="Times New Roman" w:eastAsia="Times New Roman" w:hAnsi="Times New Roman"/>
          <w:sz w:val="18"/>
          <w:szCs w:val="18"/>
          <w:color w:val="auto"/>
        </w:rPr>
        <w:t>Palomar Crop Insurance Services, Inc. (“PCIS”) participates in the federal crop insurance program and is impacted by any regulatory and legislative changes affecting that program. For example, the reinsurance levels that the federal government provides to authorized carriers could be reduced by future legislation. Additionally, the United States Department of Agriculture’s Risk Management Agency (“RMA”) establishes policy terms and conditions, rates and forms and is also responsible for setting compliance standards for our Crop insurance policies. We report all details of policies to the RMA and are party to a Standard Reinsurance Agreement (“SRA”) which sets out the relationship between private insurance companies and the Federal Crop Insurance Corporation. Noncompliance with any of the aforementioned regulations or legislative changes to the federal crop insurance program may impact PCIS’ ability to write crop insurance premiums in the future.</w:t>
      </w:r>
    </w:p>
    <w:p>
      <w:pPr>
        <w:spacing w:after="0" w:line="15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additional government or market regulation, including additional regulation around cybersecurity and AI, which may have a material adverse impact on our business.</w:t>
      </w:r>
    </w:p>
    <w:p>
      <w:pPr>
        <w:spacing w:after="0" w:line="117" w:lineRule="exact"/>
        <w:rPr>
          <w:sz w:val="20"/>
          <w:szCs w:val="20"/>
          <w:color w:val="auto"/>
        </w:rPr>
      </w:pPr>
    </w:p>
    <w:p>
      <w:pPr>
        <w:ind w:firstLine="749"/>
        <w:spacing w:after="0" w:line="212" w:lineRule="exact"/>
        <w:rPr>
          <w:sz w:val="20"/>
          <w:szCs w:val="20"/>
          <w:color w:val="auto"/>
        </w:rPr>
      </w:pPr>
      <w:r>
        <w:rPr>
          <w:rFonts w:ascii="Times New Roman" w:cs="Times New Roman" w:eastAsia="Times New Roman" w:hAnsi="Times New Roman"/>
          <w:sz w:val="18"/>
          <w:szCs w:val="18"/>
          <w:color w:val="auto"/>
        </w:rPr>
        <w:t>Our business could be adversely affected by changes in state laws, including those relating to asset and reserve valuation requirements, surplus requirements, limitations on investments and dividends, enterprise risk and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capital requirements, and, at the federal level, by laws and regulations that may affect certain aspects of the insurance industry, including proposals for preemptive federal regulation. The U.S. federal government generally has not directly regulated the insurance industry except for certain areas of the market, such as insurance for flood, nuclear and terrorism risks. However, the federal government has undertaken initiatives or considered legislation in several areas that may affect the insurance industry, including tort reform, corporate governance and the taxation of reinsurance companies. In addition, the Bermuda reinsurance regulatory framework has become subject to increased scrutiny in many jurisdictions. As a result, the BMA has implemented and imposed additional requirements on the companies it regulates, which requirements could adversely impact the operations of PSRE.</w:t>
      </w:r>
    </w:p>
    <w:p>
      <w:pPr>
        <w:spacing w:after="0" w:line="146"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Government mandates and/or legislative changes related to mandated premium refunds or credits and extended premium grace periods, could have a material adverse effect on our results of operations and financial condition. Premium grace periods could significantly increase our expenses while decreasing our short-term revenues which would adversely impact our liquidity.</w:t>
      </w:r>
    </w:p>
    <w:p>
      <w:pPr>
        <w:spacing w:after="0" w:line="142"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8"/>
          <w:szCs w:val="18"/>
          <w:color w:val="auto"/>
        </w:rPr>
        <w:t>Additionally, in response to the growing threat of cyber-attacks in the insurance industry, cybersecurity regulations have been adopted, which, among other things, require insurance companies to establish and maintain a cybersecurity program and implement and maintain cybersecurity policies and procedures. In 2017, the NAIC adopted its Insurance Data Security Model Law, intended to serve as model legislation for states to enact in order to govern cybersecurity and data protection practices of insurers, insurance agents, and other licensed entities registered under state insurance laws. We are required to abide by the provisions of and file compliance certifications pertaining to this legislation.</w:t>
      </w:r>
    </w:p>
    <w:p>
      <w:pPr>
        <w:spacing w:after="0" w:line="141"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routinely transmit and receive personal, confidential and proprietary data and information by electronic means and are subject to numerous data privacy laws and regulations enacted in the jurisdictions in which we do business, including recent laws in California whose impact on our business is difficult to predict.</w:t>
      </w:r>
    </w:p>
    <w:p>
      <w:pPr>
        <w:spacing w:after="0" w:line="142"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While we have implemented cybersecurity policies and procedures, there is no guarantee our policies and procedures will protect our systems against all attacks or comply with all provisions of these evolving regulations.</w:t>
      </w:r>
    </w:p>
    <w:p>
      <w:pPr>
        <w:spacing w:after="0" w:line="135"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8"/>
          <w:szCs w:val="18"/>
          <w:color w:val="auto"/>
        </w:rPr>
        <w:t>In addition, regulatory standards relating to the use of artificial intelligence are evolving in the states where certain states have issued regulatory guidance to insurance companies on the use AI. Certain states have adopted the NAIC Model Bulletin on the Use of Artificial Intelligence, while the New York Department of Financial Services issued its circular letter. Such state guidance on the use of AI sets forth expectations that companies have governance and risk management practices in place to ensure the use of AI complies with various state laws governing the business of insurance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as a result of the enactment of tax legislation could impact our operations and profitability.</w:t>
      </w:r>
    </w:p>
    <w:p>
      <w:pPr>
        <w:spacing w:after="0" w:line="18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Future tax legislation or changes to tax laws such as changing the corporate or personal tax rate or changes to allowed tax deductions could have a negative impact on our results of operations and profitability by causing us to incur additional tax expense or by having a financial impact on our policyholders.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states increase the assessments we are required to pay, our business, financial condition and results of operations would suffer.</w:t>
      </w:r>
    </w:p>
    <w:p>
      <w:pPr>
        <w:spacing w:after="0" w:line="189"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18"/>
          <w:szCs w:val="18"/>
          <w:color w:val="auto"/>
        </w:rPr>
        <w:t>Certain jurisdictions in which PSIC is admitted to transact business require property and casualty insurers doing business within that jurisdiction to participate in insurance guaranty associations. These organizations pay contractual benefits owed pursuant to insurance policies issued by impaired, insolvent or failed insurers. They levy assessments, up to prescribed limits, on all member insurers in a particular state based on the proportionate share of the premiums written by member insurers in the lines of business in which the impaired, insolvent or failed insurer is engaged. States may also assess admitted companies to fund their respective</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department of insurance operations. Some states permit member insurers to recover assessments paid through full or partial premium tax offset or in limited circumstances by surcharging policyholders.</w:t>
      </w:r>
    </w:p>
    <w:p>
      <w:pPr>
        <w:spacing w:after="0" w:line="135" w:lineRule="exact"/>
        <w:rPr>
          <w:sz w:val="20"/>
          <w:szCs w:val="20"/>
          <w:color w:val="auto"/>
        </w:rPr>
      </w:pPr>
    </w:p>
    <w:p>
      <w:pPr>
        <w:ind w:right="40" w:firstLine="749"/>
        <w:spacing w:after="0" w:line="242" w:lineRule="auto"/>
        <w:rPr>
          <w:sz w:val="20"/>
          <w:szCs w:val="20"/>
          <w:color w:val="auto"/>
        </w:rPr>
      </w:pPr>
      <w:r>
        <w:rPr>
          <w:rFonts w:ascii="Times New Roman" w:cs="Times New Roman" w:eastAsia="Times New Roman" w:hAnsi="Times New Roman"/>
          <w:sz w:val="18"/>
          <w:szCs w:val="18"/>
          <w:color w:val="auto"/>
        </w:rPr>
        <w:t>PSIC is licensed to conduct insurance operations on an admitted basis in 50 states. As PSIC grows, its share of any assessments in each state in which it underwrites business on an admitted basis may increase. We cannot predict with certainty the amount of future assessments, because they depend on factors outside our control, such as insolvencies of other insurance companies as well as the occurrence of significant catastrophes. Assessments may be covered by our catastrophe XOL treaties and, to the extent we have experienced a net loss from an event in excess of our net retention, assessments would be recovered from our reinsurers with no additional expense to us. Although reinsurance makes the reinsurer liable to us to the extent the risk is transferred or ceded to the reinsurer, it does not relieve us (the ceding insurer) of our primary liability to our policyholders. Significant assessments could result in higher operating expenses and have a material adverse effect on our business, financial condition, or results of operations. In addition, while some states permit member insurers to recover assessments paid through full or partial premium tax offset or, in limited circumstances, by surcharging policyholders, there is no certainty that offsets or surcharges will be permitted in connection with any future assessments.</w:t>
      </w:r>
    </w:p>
    <w:p>
      <w:pPr>
        <w:spacing w:after="0" w:line="156"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are a holding company and substantially all our operations are conducted by our insurance subsidiaries, our ability to pay dividends depends on our ability to obtain cash dividends or other permitted payments from our insurance subsidiaries.</w:t>
      </w:r>
    </w:p>
    <w:p>
      <w:pPr>
        <w:spacing w:after="0" w:line="131" w:lineRule="exact"/>
        <w:rPr>
          <w:sz w:val="20"/>
          <w:szCs w:val="20"/>
          <w:color w:val="auto"/>
        </w:rPr>
      </w:pPr>
    </w:p>
    <w:p>
      <w:pPr>
        <w:ind w:right="440" w:firstLine="749"/>
        <w:spacing w:after="0" w:line="258" w:lineRule="auto"/>
        <w:rPr>
          <w:sz w:val="20"/>
          <w:szCs w:val="20"/>
          <w:color w:val="auto"/>
        </w:rPr>
      </w:pPr>
      <w:r>
        <w:rPr>
          <w:rFonts w:ascii="Times New Roman" w:cs="Times New Roman" w:eastAsia="Times New Roman" w:hAnsi="Times New Roman"/>
          <w:sz w:val="18"/>
          <w:szCs w:val="18"/>
          <w:color w:val="auto"/>
        </w:rPr>
        <w:t>The continued operation and growth of our business will require substantial capital. We do not intend to declare and pay cash dividends on shares of our common stock in the foreseeable future. Because we are a holding company with no business operations of our own, our ability to pay dividends to stockholders largely depends on dividends and other distributions from our insurance subsidiaries, PSIC, PESIC, PSRE, FIA, and PCSC.</w:t>
      </w:r>
    </w:p>
    <w:p>
      <w:pPr>
        <w:spacing w:after="0" w:line="129" w:lineRule="exact"/>
        <w:rPr>
          <w:sz w:val="20"/>
          <w:szCs w:val="20"/>
          <w:color w:val="auto"/>
        </w:rPr>
      </w:pPr>
    </w:p>
    <w:p>
      <w:pPr>
        <w:ind w:right="220" w:firstLine="749"/>
        <w:spacing w:after="0" w:line="214" w:lineRule="exact"/>
        <w:rPr>
          <w:sz w:val="20"/>
          <w:szCs w:val="20"/>
          <w:color w:val="auto"/>
        </w:rPr>
      </w:pPr>
      <w:r>
        <w:rPr>
          <w:rFonts w:ascii="Times New Roman" w:cs="Times New Roman" w:eastAsia="Times New Roman" w:hAnsi="Times New Roman"/>
          <w:sz w:val="18"/>
          <w:szCs w:val="18"/>
          <w:color w:val="auto"/>
        </w:rPr>
        <w:t>Insurance laws in jurisdictions such as various U.S. states and Bermuda restrict the ability of our subsidiaries to declare stockholder dividends. State insurance regulators require insurance companies to maintain specified levels of statutory capital and surplus. The maximum dividend distribution absent the approval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disapproval of the insurance regulatory authority in Oregon, California, Arizona, New Jersey, and Louisiana is limited by Oregon law at ORS 732.576, California law at Cal. Ins. Code 1215.5(g), Arizona Revised Statute 20-481, New Jersey statute N.J.S.A. 17:27A-4, and Louisiana law at La. R.S. 22:691.7.</w:t>
      </w:r>
    </w:p>
    <w:p>
      <w:pPr>
        <w:spacing w:after="0" w:line="146" w:lineRule="exact"/>
        <w:rPr>
          <w:sz w:val="20"/>
          <w:szCs w:val="20"/>
          <w:color w:val="auto"/>
        </w:rPr>
      </w:pPr>
    </w:p>
    <w:p>
      <w:pPr>
        <w:ind w:right="280" w:firstLine="749"/>
        <w:spacing w:after="0" w:line="246" w:lineRule="auto"/>
        <w:rPr>
          <w:sz w:val="20"/>
          <w:szCs w:val="20"/>
          <w:color w:val="auto"/>
        </w:rPr>
      </w:pPr>
      <w:r>
        <w:rPr>
          <w:rFonts w:ascii="Times New Roman" w:cs="Times New Roman" w:eastAsia="Times New Roman" w:hAnsi="Times New Roman"/>
          <w:sz w:val="18"/>
          <w:szCs w:val="18"/>
          <w:color w:val="auto"/>
        </w:rPr>
        <w:t>Under Oregon statute, dividend payments from PSIC are further limited to that part of available policyholder surplus that is derived from net profits on our business. State insurance regulators have broad powers to prevent the reduction of statutory surplus to inadequate levels, and there is no assurance that dividends up to the maximum amounts calculated under any applicable formula would be permitted. Moreover, state insurance regulators that have jurisdiction over the payment of dividends by PSIC, PESIC, FIA, and PCSC may in the future adopt statutory provisions more restrictive than those currently in effect.</w:t>
      </w:r>
    </w:p>
    <w:p>
      <w:pPr>
        <w:spacing w:after="0" w:line="154"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18"/>
          <w:szCs w:val="18"/>
          <w:color w:val="auto"/>
        </w:rPr>
        <w:t>PSRE is highly regulated and is required to comply with various conditions before it is able to pay dividends or make distributions to us. Bermuda law, including the Insurance Act 1978, as amended (“Insurance Act”) and the Companies Act 1981, as amended (“Companies Act”) impose restrictions on PSRE’s ability to pay dividends to us based on solvency margins and surplus and capital requirements. These restrictions, and any other future restrictions adopted by the BMA, could have the effect, under certain circumstances, of significantly reducing dividends or other amounts payable to us by PSRE without affirmative approval of the BMA.</w:t>
      </w:r>
    </w:p>
    <w:p>
      <w:pPr>
        <w:spacing w:after="0" w:line="154" w:lineRule="exact"/>
        <w:rPr>
          <w:sz w:val="20"/>
          <w:szCs w:val="20"/>
          <w:color w:val="auto"/>
        </w:rPr>
      </w:pPr>
    </w:p>
    <w:p>
      <w:pPr>
        <w:jc w:val="both"/>
        <w:ind w:right="200" w:firstLine="749"/>
        <w:spacing w:after="0" w:line="250" w:lineRule="auto"/>
        <w:rPr>
          <w:sz w:val="20"/>
          <w:szCs w:val="20"/>
          <w:color w:val="auto"/>
        </w:rPr>
      </w:pPr>
      <w:r>
        <w:rPr>
          <w:rFonts w:ascii="Times New Roman" w:cs="Times New Roman" w:eastAsia="Times New Roman" w:hAnsi="Times New Roman"/>
          <w:sz w:val="18"/>
          <w:szCs w:val="18"/>
          <w:color w:val="auto"/>
        </w:rPr>
        <w:t>Any determination to pay dividends in the future will be at the discretion of our Board of Directors and will depend upon results of operations, financial condition,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effects of litigation on our business are uncertain and could have an adverse effect on our business.</w:t>
      </w:r>
    </w:p>
    <w:p>
      <w:pPr>
        <w:spacing w:after="0" w:line="175" w:lineRule="exact"/>
        <w:rPr>
          <w:sz w:val="20"/>
          <w:szCs w:val="20"/>
          <w:color w:val="auto"/>
        </w:rPr>
      </w:pPr>
    </w:p>
    <w:p>
      <w:pPr>
        <w:ind w:right="120" w:firstLine="749"/>
        <w:spacing w:after="0" w:line="247" w:lineRule="auto"/>
        <w:rPr>
          <w:sz w:val="20"/>
          <w:szCs w:val="20"/>
          <w:color w:val="auto"/>
        </w:rPr>
      </w:pPr>
      <w:r>
        <w:rPr>
          <w:rFonts w:ascii="Times New Roman" w:cs="Times New Roman" w:eastAsia="Times New Roman" w:hAnsi="Times New Roman"/>
          <w:sz w:val="18"/>
          <w:szCs w:val="18"/>
          <w:color w:val="auto"/>
        </w:rPr>
        <w:t>As is typical in our industry, we continually face risks associated with litigation of various types, including disputes relating to insurance claims under our policies as well as other general commercial and corporate litigation. Although we are not currently involved in any material litigation with our customers, other members of the insurance industry are the target of class action lawsuits and other types of litigation, some of which involve claims for substantial or indeterminate amounts, and the outcomes of which are unpredictable and can be influenced by evolving legal trends, including third-party litigation funding and social inflation. This litigation is based on a variety of issues, including insurance and claim settlement practices. We cannot predict with any certainty whether we will be involved in such litigation in the future or what impact such litigation would have on our business.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rely on the use of credit scoring in pricing and underwriting certain of our insurance policies and any legal or regulatory requirements that restrict our ability to access credit score information could decrease the accuracy of our pricing and underwriting process and thus decrease our ability to be profitable.</w:t>
      </w:r>
    </w:p>
    <w:p>
      <w:pPr>
        <w:spacing w:after="0" w:line="128"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8"/>
          <w:szCs w:val="18"/>
          <w:color w:val="auto"/>
        </w:rPr>
        <w:t>We use credit scoring as a factor in pricing and underwriting decisions where allowed by state law. Consumer groups and regulators have questioned whether the use of credit scoring unfairly discriminates against some groups of people and are calling for laws and regulations to prohibit or restrict the use of credit scoring in underwriting and pricing. Laws or regulations that significantly curtail or regulate the use of credit scoring, if enacted in states in which we operate, could impact the integrity of our pricing and underwriting processes, which could, in turn, materially and adversely affect our business, financial condition, results of operations and prospects, and make it harder for us to be profitable over time.</w:t>
      </w:r>
    </w:p>
    <w:p>
      <w:pPr>
        <w:spacing w:after="0" w:line="13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rights could impair our ability to protect our intellectual property, proprietary technology platform and brand, or we may be sued by third parties for alleged infringement of their proprietary rights.</w:t>
      </w:r>
    </w:p>
    <w:p>
      <w:pPr>
        <w:spacing w:after="0" w:line="105" w:lineRule="exact"/>
        <w:rPr>
          <w:sz w:val="20"/>
          <w:szCs w:val="20"/>
          <w:color w:val="auto"/>
        </w:rPr>
      </w:pPr>
    </w:p>
    <w:p>
      <w:pPr>
        <w:ind w:right="20" w:firstLine="749"/>
        <w:spacing w:after="0" w:line="211" w:lineRule="exact"/>
        <w:rPr>
          <w:sz w:val="20"/>
          <w:szCs w:val="20"/>
          <w:color w:val="auto"/>
        </w:rPr>
      </w:pPr>
      <w:r>
        <w:rPr>
          <w:rFonts w:ascii="Times New Roman" w:cs="Times New Roman" w:eastAsia="Times New Roman" w:hAnsi="Times New Roman"/>
          <w:sz w:val="18"/>
          <w:szCs w:val="18"/>
          <w:color w:val="auto"/>
        </w:rPr>
        <w:t>Our success and ability to compete depend in part on our intellectual property, which includes our rights in our proprietary technology platform and our brand. We primarily rely on copyright, trade secret and trademark laws, and confidentiality agreements with our employees, customers, service providers, partners and others to protect our intellectual property rights. However, the steps we take to protect our intellectual property may be inadequate. Litigation brought to protect and enforce our intellectual property rights could be costly,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distracting to management and could result in the impairment or loss of portions of our intellectual property. Additionally, our efforts to enforce our intellectual property rights may be met with defenses, counterclaims and countersuits attacking the validity and enforceability and scope of our intellectual property rights. Our failure to secure, protect and enforce our intellectual property rights could adversely affect our brand and adversely impact our business.</w:t>
      </w:r>
    </w:p>
    <w:p>
      <w:pPr>
        <w:spacing w:after="0" w:line="160" w:lineRule="exact"/>
        <w:rPr>
          <w:sz w:val="20"/>
          <w:szCs w:val="20"/>
          <w:color w:val="auto"/>
        </w:rPr>
      </w:pPr>
    </w:p>
    <w:p>
      <w:pPr>
        <w:ind w:right="100" w:firstLine="749"/>
        <w:spacing w:after="0" w:line="214" w:lineRule="exact"/>
        <w:rPr>
          <w:sz w:val="20"/>
          <w:szCs w:val="20"/>
          <w:color w:val="auto"/>
        </w:rPr>
      </w:pPr>
      <w:r>
        <w:rPr>
          <w:rFonts w:ascii="Times New Roman" w:cs="Times New Roman" w:eastAsia="Times New Roman" w:hAnsi="Times New Roman"/>
          <w:sz w:val="18"/>
          <w:szCs w:val="18"/>
          <w:color w:val="auto"/>
        </w:rPr>
        <w:t>Our success also depends in part on us not infringing on the intellectual property rights of others. Our competitors, as well as a number of other entities and individuals, may own or claim to own intellectual property relating to our industry. In the future, third parties may claim that we are infringing on their intellectual property rights, and we may be found to be infringing on such rights. Any claims or litigation could cause us to incur significant expenses and, if successfully asserted against us, could require that we pay substantial damages or ongoing royalty payments, prevent us from offering our services, or require that we comply with other unfavorable terms. Even if we were to prevail in such a dispute, any litigation could be costly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divert the attention of our management and key personnel from our business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standards and future pronouncements may materially affect our reported financial results.</w:t>
      </w:r>
    </w:p>
    <w:p>
      <w:pPr>
        <w:spacing w:after="0" w:line="189"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18"/>
          <w:szCs w:val="18"/>
          <w:color w:val="auto"/>
        </w:rPr>
        <w:t>Developments in accounting practices may require us to incur considerable additional expenses to comply, particularly if we are required to prepare information relating to prior periods for comparative purposes or to apply the new requirements retroactively. Our consolidated financial statements are prepared in accordance with Generally Accepted Accounting Principles (“GAAP”). The impact of changes in GAAP cannot be predicted, but may affect the calculation of net income, stockholders’ equity, and other relevant financial statement line items.</w:t>
      </w:r>
    </w:p>
    <w:p>
      <w:pPr>
        <w:spacing w:after="0" w:line="154" w:lineRule="exact"/>
        <w:rPr>
          <w:sz w:val="20"/>
          <w:szCs w:val="20"/>
          <w:color w:val="auto"/>
        </w:rPr>
      </w:pPr>
    </w:p>
    <w:p>
      <w:pPr>
        <w:ind w:right="200" w:firstLine="749"/>
        <w:spacing w:after="0" w:line="247" w:lineRule="auto"/>
        <w:rPr>
          <w:sz w:val="20"/>
          <w:szCs w:val="20"/>
          <w:color w:val="auto"/>
        </w:rPr>
      </w:pPr>
      <w:r>
        <w:rPr>
          <w:rFonts w:ascii="Times New Roman" w:cs="Times New Roman" w:eastAsia="Times New Roman" w:hAnsi="Times New Roman"/>
          <w:sz w:val="18"/>
          <w:szCs w:val="18"/>
          <w:color w:val="auto"/>
        </w:rPr>
        <w:t>In addition to compliance with GAAP on a consolidated basis, many of our subsidiaries are required to comply with statutory accounting principles (“SAP”). SAP and various components of SAP are subject to constant review by the NAIC and its task forces and committees, as well as state insurance departments to address emerging issues and otherwise improve financial reporting. Various proposals are pending before committees and task forces of the NAIC, some of which, if enacted, could have negative effects on insurance industry participants. The NAIC continuously examines existing laws and regulations. We cannot predict whether or in what form such reforms will be enacted and, if so, whether the enacted reforms will positively or negatively affect us.</w:t>
      </w:r>
    </w:p>
    <w:p>
      <w:pPr>
        <w:spacing w:after="0" w:line="135"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public company, and our management is required to devote substantial time to complying with public company regulations.</w:t>
      </w:r>
    </w:p>
    <w:p>
      <w:pPr>
        <w:spacing w:after="0" w:line="105" w:lineRule="exact"/>
        <w:rPr>
          <w:sz w:val="20"/>
          <w:szCs w:val="20"/>
          <w:color w:val="auto"/>
        </w:rPr>
      </w:pPr>
    </w:p>
    <w:p>
      <w:pPr>
        <w:ind w:right="40" w:firstLine="749"/>
        <w:spacing w:after="0" w:line="210" w:lineRule="exact"/>
        <w:rPr>
          <w:sz w:val="20"/>
          <w:szCs w:val="20"/>
          <w:color w:val="auto"/>
        </w:rPr>
      </w:pPr>
      <w:r>
        <w:rPr>
          <w:rFonts w:ascii="Times New Roman" w:cs="Times New Roman" w:eastAsia="Times New Roman" w:hAnsi="Times New Roman"/>
          <w:sz w:val="18"/>
          <w:szCs w:val="18"/>
          <w:color w:val="auto"/>
        </w:rPr>
        <w:t>As a public company, we incur certain legal, accounting, and other expenses that we would not incur as a private company. We are subject to the reporting requirements of the Exchange Act, which require, among other things, that we file with the SEC annual, quarterly, and current reports with respect to our business and financial condition and therefore we need to have the ability to prepare financial statements that comply with all SEC reporting requirements on a timely basis. In addition, we are subject to other reporting and corporate governance requirements, including certain requirements of and certain provisions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and the regulations promulgated thereunder, which impose significant compliance obligations upon us.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Our compliance with Section 404 requires that we incur substantial accounting expense and expend significant management efforts. We must maintain accounting and finance staff and consultants with appropriate public company reporting, technical accounting, and internal control knowledge to satisfy the ongoing requirements of Section 404 and provide internal audit services.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40" w:firstLine="749"/>
        <w:spacing w:after="0" w:line="231" w:lineRule="exact"/>
        <w:rPr>
          <w:sz w:val="20"/>
          <w:szCs w:val="20"/>
          <w:color w:val="auto"/>
        </w:rPr>
      </w:pPr>
      <w:r>
        <w:rPr>
          <w:rFonts w:ascii="Times New Roman" w:cs="Times New Roman" w:eastAsia="Times New Roman" w:hAnsi="Times New Roman"/>
          <w:sz w:val="18"/>
          <w:szCs w:val="18"/>
          <w:color w:val="auto"/>
        </w:rPr>
        <w:t>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and the Dodd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Frank Act, as well as new rules subsequently implemented by the SEC and Nasdaq, have increased regulation of, and imposed enhanced disclosure and corporate governance requirements on, public companies. We expect disclosure requirements to increase in the future and expand to areas such as climate change and greenhouse gas emissions. Our efforts to comply with these evolving laws, regulations and standards increases our operating costs and divert management’s time and attention from revenue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generating activities.</w:t>
      </w:r>
    </w:p>
    <w:p>
      <w:pPr>
        <w:spacing w:after="0" w:line="132"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18"/>
          <w:szCs w:val="18"/>
          <w:color w:val="auto"/>
        </w:rPr>
        <w:t>These requirements also place significant additional demands on our finance and accounting staff and on our financial accounting and information systems. We must retain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and listing fees, as well as other expenses. As a public company, we are required, among other things, to:</w:t>
      </w:r>
    </w:p>
    <w:p>
      <w:pPr>
        <w:spacing w:after="0" w:line="154" w:lineRule="exact"/>
        <w:rPr>
          <w:sz w:val="20"/>
          <w:szCs w:val="20"/>
          <w:color w:val="auto"/>
        </w:rPr>
      </w:pPr>
    </w:p>
    <w:p>
      <w:pPr>
        <w:ind w:left="1140" w:right="520" w:hanging="383"/>
        <w:spacing w:after="0" w:line="266"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periodic reports and distribute other stockholder communications, in compliance with the federal securities laws and requirements of Nasdaq;</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and expand the roles and the duties of our Board of Directors and its committees;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comprehensive compliance and investor relations functions; and</w:t>
      </w:r>
    </w:p>
    <w:p>
      <w:pPr>
        <w:spacing w:after="0" w:line="184" w:lineRule="exact"/>
        <w:rPr>
          <w:rFonts w:ascii="Times New Roman" w:cs="Times New Roman" w:eastAsia="Times New Roman" w:hAnsi="Times New Roman"/>
          <w:sz w:val="18"/>
          <w:szCs w:val="18"/>
          <w:color w:val="auto"/>
        </w:rPr>
      </w:pPr>
    </w:p>
    <w:p>
      <w:pPr>
        <w:ind w:left="1140" w:right="800" w:hanging="383"/>
        <w:spacing w:after="0" w:line="266"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maintain our system of internal control over financial reporting, and report on management’s assessment thereof, in compliance with rules and regulations of the SEC and the Public Company Accounting Oversight Board.</w:t>
      </w:r>
    </w:p>
    <w:p>
      <w:pPr>
        <w:spacing w:after="0" w:line="135"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8"/>
          <w:szCs w:val="18"/>
          <w:color w:val="auto"/>
        </w:rPr>
        <w:t>We may not be successful in complying with these requirements, and compliance with them could materially adversely affect our business. These requirements increase our costs and may cause us to reduce costs in other areas of our business or increase the prices of our products or services. For example, these rules and regulations may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54" w:lineRule="exact"/>
        <w:rPr>
          <w:sz w:val="20"/>
          <w:szCs w:val="20"/>
          <w:color w:val="auto"/>
        </w:rPr>
      </w:pPr>
    </w:p>
    <w:p>
      <w:pPr>
        <w:ind w:right="140" w:firstLine="749"/>
        <w:spacing w:after="0" w:line="246" w:lineRule="auto"/>
        <w:rPr>
          <w:sz w:val="20"/>
          <w:szCs w:val="20"/>
          <w:color w:val="auto"/>
        </w:rPr>
      </w:pPr>
      <w:r>
        <w:rPr>
          <w:rFonts w:ascii="Times New Roman" w:cs="Times New Roman" w:eastAsia="Times New Roman" w:hAnsi="Times New Roman"/>
          <w:sz w:val="18"/>
          <w:szCs w:val="18"/>
          <w:color w:val="auto"/>
        </w:rPr>
        <w:t>In addition, if we fail to implement and maintain the required controls with respect to our internal accounting and audit functions, our ability to report our results of operations on a timely and accurate basis could be impaired. If we do not implement the required controls in a timely manner or with adequate compliance, we may be subject to sanctions or investigation by regulatory authorities, such as the SEC or Nasdaq. Any such action could harm our reputation and the confidence of our investors and customers and could negatively affect our business and cause the price of our shares of common stock to decline.</w:t>
      </w:r>
    </w:p>
    <w:p>
      <w:pPr>
        <w:spacing w:after="0" w:line="100" w:lineRule="exact"/>
        <w:rPr>
          <w:sz w:val="20"/>
          <w:szCs w:val="20"/>
          <w:color w:val="auto"/>
        </w:rPr>
      </w:pPr>
    </w:p>
    <w:p>
      <w:pPr>
        <w:ind w:right="120"/>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We are required by Section 404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Oxley Act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spacing w:after="0" w:line="157" w:lineRule="exact"/>
        <w:rPr>
          <w:sz w:val="20"/>
          <w:szCs w:val="20"/>
          <w:color w:val="auto"/>
        </w:rPr>
      </w:pPr>
    </w:p>
    <w:p>
      <w:pPr>
        <w:ind w:right="120" w:firstLine="749"/>
        <w:spacing w:after="0" w:line="214" w:lineRule="exact"/>
        <w:rPr>
          <w:sz w:val="20"/>
          <w:szCs w:val="20"/>
          <w:color w:val="auto"/>
        </w:rPr>
      </w:pPr>
      <w:r>
        <w:rPr>
          <w:rFonts w:ascii="Times New Roman" w:cs="Times New Roman" w:eastAsia="Times New Roman" w:hAnsi="Times New Roman"/>
          <w:sz w:val="18"/>
          <w:szCs w:val="18"/>
          <w:color w:val="auto"/>
        </w:rPr>
        <w:t>As a public company with SEC reporting obligations, we are required to document and test our internal control procedures to satisfy the requirements of Section 404(b)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which requires annual assessments by management of the effectiveness of our internal control over financial reporting. We must implement and maintain substantial internal control systems and procedures to satisfy the reporting requirements under the Exchange Act.</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our assessments, we may identify deficiencies that we are unable to remediate in a timely manner. Testing and maintaining our internal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over financial reporting may also divert management’s attention from other matters that are important to the operation of our business. We may not</w:t>
      </w:r>
    </w:p>
    <w:p>
      <w:pPr>
        <w:spacing w:after="0" w:line="234" w:lineRule="auto"/>
        <w:rPr>
          <w:sz w:val="20"/>
          <w:szCs w:val="20"/>
          <w:color w:val="auto"/>
        </w:rPr>
      </w:pPr>
      <w:r>
        <w:rPr>
          <w:rFonts w:ascii="Times New Roman" w:cs="Times New Roman" w:eastAsia="Times New Roman" w:hAnsi="Times New Roman"/>
          <w:sz w:val="18"/>
          <w:szCs w:val="18"/>
          <w:color w:val="auto"/>
        </w:rPr>
        <w:t>be able to conclude on an ongoing basis that we have effective internal control over financial reporting in accordance with Section 404(b) of</w:t>
      </w:r>
    </w:p>
    <w:p>
      <w:pPr>
        <w:spacing w:after="0" w:line="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If we conclude that our internal control over financial reporting is not effective, the cost and scope of remediation actions and their effect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our operations may be significant. Moreover, any material weaknesses or other deficiencies in our internal control over financial reporting may impede</w:t>
      </w:r>
    </w:p>
    <w:p>
      <w:pPr>
        <w:spacing w:after="0" w:line="234" w:lineRule="auto"/>
        <w:rPr>
          <w:sz w:val="20"/>
          <w:szCs w:val="20"/>
          <w:color w:val="auto"/>
        </w:rPr>
      </w:pPr>
      <w:r>
        <w:rPr>
          <w:rFonts w:ascii="Times New Roman" w:cs="Times New Roman" w:eastAsia="Times New Roman" w:hAnsi="Times New Roman"/>
          <w:sz w:val="18"/>
          <w:szCs w:val="18"/>
          <w:color w:val="auto"/>
        </w:rPr>
        <w:t>our ability to file timely and accurate reports with the SEC. Any of the above could cause investors to lose confidence in our reported financial information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our common stock listing on Nasdaq to be suspended or terminated, which could have a negative effect on the trading price of our common stock.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Applicable insurance laws may make it difficult to effect a change of control.</w:t>
      </w:r>
    </w:p>
    <w:p>
      <w:pPr>
        <w:spacing w:after="0" w:line="175" w:lineRule="exact"/>
        <w:rPr>
          <w:sz w:val="20"/>
          <w:szCs w:val="20"/>
          <w:color w:val="auto"/>
        </w:rPr>
      </w:pPr>
    </w:p>
    <w:p>
      <w:pPr>
        <w:ind w:right="220" w:firstLine="749"/>
        <w:spacing w:after="0" w:line="214" w:lineRule="exact"/>
        <w:rPr>
          <w:sz w:val="20"/>
          <w:szCs w:val="20"/>
          <w:color w:val="auto"/>
        </w:rPr>
      </w:pPr>
      <w:r>
        <w:rPr>
          <w:rFonts w:ascii="Times New Roman" w:cs="Times New Roman" w:eastAsia="Times New Roman" w:hAnsi="Times New Roman"/>
          <w:sz w:val="18"/>
          <w:szCs w:val="18"/>
          <w:color w:val="auto"/>
        </w:rPr>
        <w:t>Under applicable state insurance laws and regulations which govern our subsidiaries’ operations, no person may acquire control of a domestic insurer until written approval is obtained from the state insurance commissioner following a public hearing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competitive results that may arise from the consummation of the acquisition of control. State insurance</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laws and regulations pertaining to changes of control apply to both the direct and indirect acquisition of ten percent or more of the voting stock of an insurer domiciled in that state. Accordingly, the acquisition of ten percent or more of our common stock would be considered an indirect change of control of Palomar Holdings, Inc. and would trigger the applicable change of control filing requirements under state insurance laws and regulations, absent a disclaimer of control filing and its acceptance by the respective state insurance departments. These requirements may discourage potential acquisition proposals and may delay, deter or prevent a change of control of Palomar Holdings, Inc., including through transactions that some or all of the stockholders of Palomar Holdings, Inc. might consider to be desirable.</w:t>
      </w:r>
    </w:p>
    <w:p>
      <w:pPr>
        <w:spacing w:after="0" w:line="135" w:lineRule="exact"/>
        <w:rPr>
          <w:sz w:val="20"/>
          <w:szCs w:val="20"/>
          <w:color w:val="auto"/>
        </w:rPr>
      </w:pPr>
    </w:p>
    <w:p>
      <w:pPr>
        <w:ind w:right="3620" w:firstLine="3649"/>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Risks Related to Ownership of Our Common Stock </w:t>
      </w:r>
      <w:r>
        <w:rPr>
          <w:rFonts w:ascii="Times New Roman" w:cs="Times New Roman" w:eastAsia="Times New Roman" w:hAnsi="Times New Roman"/>
          <w:sz w:val="18"/>
          <w:szCs w:val="18"/>
          <w:b w:val="1"/>
          <w:bCs w:val="1"/>
          <w:i w:val="1"/>
          <w:iCs w:val="1"/>
          <w:color w:val="auto"/>
        </w:rPr>
        <w:t>Future transactions in which we raise capital may negatively affect our stock price.</w:t>
      </w: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We are currently a “Well-Known Seasoned Issuer” and may file automatic shelf registration statements at any time with the SEC. Sales of substantial amounts of shares of our common stock or other securities under our current or future shelf registration statements could lower the market price of our common stock and impair our ability to raise capital through the sale of equity securities.</w:t>
      </w:r>
    </w:p>
    <w:p>
      <w:pPr>
        <w:spacing w:after="0" w:line="14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stock price may be volatile, or may decline regardless of our operating performance, and holders of our common stock could lose all or part of their investment.</w:t>
      </w:r>
    </w:p>
    <w:p>
      <w:pPr>
        <w:spacing w:after="0" w:line="131"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color w:val="auto"/>
        </w:rPr>
        <w:t>Our quarterly operating results are likely to fluctuate in the future as a publicly traded company.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Although we believe we have adequate sources of liquidity over the short- and long-term, the success of our operations, the global economic outlook, and the pace of sustainable growth in our markets, among other factors, could impact our business and liquidity. You should consider an investment in our common stock to be risky, and you should invest in our common stock only if you can withstand a significant loss and wide fluctuation in the market value of your investment. The market price of our common stock is likely to continue to be subject to significant fluctuations in response to the factors described in this “Risk Factors” section and other factors, many of which are beyond our control. Among the factors that could affect our stock price are:</w:t>
      </w:r>
    </w:p>
    <w:p>
      <w:pPr>
        <w:spacing w:after="0" w:line="146" w:lineRule="exact"/>
        <w:rPr>
          <w:sz w:val="20"/>
          <w:szCs w:val="20"/>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broader stock market;</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and operating results;</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by us or our competitors;</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expectations of securities analysts and investors;</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common stock;</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competitors or our acquisition targets;</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our stock, including by our directors, executive officers and principal stockholders;</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in our Board of Directors, senior management or other key personnel;</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legal or political developments;</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response to press releases or other public announcements by us or third parties, including our filings with the SEC;</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economic conditions;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we may incur or securities we may issue in the future;</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agreements governing our indebtedness;</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capital and credit market risks that adversely affect our investment portfolio or our capital resources;</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ratings;</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corporate tax rates;</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or exchange rate fluctuations; and</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from natural disasters, war, pandemics, acts of terrorism, cyber-attacks or responses to these events.</w:t>
      </w:r>
    </w:p>
    <w:p>
      <w:pPr>
        <w:spacing w:after="0" w:line="185"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The securities markets have from time to time experienced extreme price and volume fluctuations that often have been unrelated or disproportionate to the operating performance of particular companies. As a result of these factors, investors in our common stock may not be able to resell their shares at or above the price at which they purchased their shares. These broad market fluctuations, as well as general market, economic and political conditions, such as recessions, loss of investor confidence or interest rate changes, may negatively affect the market price of our common stock.</w:t>
      </w:r>
    </w:p>
    <w:p>
      <w:pPr>
        <w:spacing w:after="0" w:line="137" w:lineRule="exact"/>
        <w:rPr>
          <w:sz w:val="20"/>
          <w:szCs w:val="20"/>
          <w:color w:val="auto"/>
        </w:rPr>
      </w:pPr>
    </w:p>
    <w:p>
      <w:pPr>
        <w:ind w:right="160" w:firstLine="749"/>
        <w:spacing w:after="0" w:line="242" w:lineRule="auto"/>
        <w:rPr>
          <w:sz w:val="20"/>
          <w:szCs w:val="20"/>
          <w:color w:val="auto"/>
        </w:rPr>
      </w:pPr>
      <w:r>
        <w:rPr>
          <w:rFonts w:ascii="Times New Roman" w:cs="Times New Roman" w:eastAsia="Times New Roman" w:hAnsi="Times New Roman"/>
          <w:sz w:val="18"/>
          <w:szCs w:val="18"/>
          <w:color w:val="auto"/>
        </w:rPr>
        <w:t>In addition, the stock markets, including Nasdaq, have experienced extreme price and volume fluctuations that have affected and continue to affect the market prices of equity securities of many companies. If any of the foregoing occurs, it could cause our stock price to fall and may expose us to securities class action litigation that, even if unsuccessful, could be costly to defend, divert management’s attention and resources or harm our business.</w:t>
      </w:r>
    </w:p>
    <w:p>
      <w:pPr>
        <w:spacing w:after="0" w:line="10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Anti</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takeover provisions in our organizational documents could delay or prevent a change in management and limit our share price.</w:t>
      </w:r>
    </w:p>
    <w:p>
      <w:pPr>
        <w:spacing w:after="0" w:line="212" w:lineRule="exact"/>
        <w:rPr>
          <w:sz w:val="20"/>
          <w:szCs w:val="20"/>
          <w:color w:val="auto"/>
        </w:rPr>
      </w:pPr>
    </w:p>
    <w:p>
      <w:pPr>
        <w:ind w:right="360" w:firstLine="749"/>
        <w:spacing w:after="0" w:line="250" w:lineRule="auto"/>
        <w:rPr>
          <w:sz w:val="20"/>
          <w:szCs w:val="20"/>
          <w:color w:val="auto"/>
        </w:rPr>
      </w:pPr>
      <w:r>
        <w:rPr>
          <w:rFonts w:ascii="Times New Roman" w:cs="Times New Roman" w:eastAsia="Times New Roman" w:hAnsi="Times New Roman"/>
          <w:sz w:val="18"/>
          <w:szCs w:val="18"/>
          <w:color w:val="auto"/>
        </w:rPr>
        <w:t>Provisions in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 management.</w:t>
      </w:r>
    </w:p>
    <w:p>
      <w:pPr>
        <w:spacing w:after="0" w:line="96" w:lineRule="exact"/>
        <w:rPr>
          <w:sz w:val="20"/>
          <w:szCs w:val="20"/>
          <w:color w:val="auto"/>
        </w:rPr>
      </w:pPr>
    </w:p>
    <w:p>
      <w:pPr>
        <w:ind w:right="300" w:firstLine="749"/>
        <w:spacing w:after="0" w:line="246" w:lineRule="exact"/>
        <w:rPr>
          <w:sz w:val="20"/>
          <w:szCs w:val="20"/>
          <w:color w:val="auto"/>
        </w:rPr>
      </w:pPr>
      <w:r>
        <w:rPr>
          <w:rFonts w:ascii="Times New Roman" w:cs="Times New Roman" w:eastAsia="Times New Roman" w:hAnsi="Times New Roman"/>
          <w:sz w:val="18"/>
          <w:szCs w:val="18"/>
          <w:color w:val="auto"/>
        </w:rPr>
        <w:t>Our charter documents contain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 that will hinder takeover attempts and could reduce the market value of our common stock or prevent sale at a premium. Our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w:t>
      </w:r>
    </w:p>
    <w:p>
      <w:pPr>
        <w:spacing w:after="0" w:line="116" w:lineRule="exact"/>
        <w:rPr>
          <w:sz w:val="20"/>
          <w:szCs w:val="20"/>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171" w:lineRule="exact"/>
        <w:rPr>
          <w:rFonts w:ascii="Times New Roman" w:cs="Times New Roman" w:eastAsia="Times New Roman" w:hAnsi="Times New Roman"/>
          <w:sz w:val="18"/>
          <w:szCs w:val="18"/>
          <w:color w:val="auto"/>
        </w:rPr>
      </w:pPr>
    </w:p>
    <w:p>
      <w:pPr>
        <w:ind w:left="1140" w:right="180" w:hanging="383"/>
        <w:spacing w:after="0" w:line="266"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through 2027, that our Board of Directors are classified into three classes with staggered, three year terms and that directors may only be removed for cause;</w:t>
      </w:r>
    </w:p>
    <w:p>
      <w:pPr>
        <w:spacing w:after="0" w:line="81" w:lineRule="exact"/>
        <w:rPr>
          <w:rFonts w:ascii="Times New Roman" w:cs="Times New Roman" w:eastAsia="Times New Roman" w:hAnsi="Times New Roman"/>
          <w:sz w:val="18"/>
          <w:szCs w:val="18"/>
          <w:color w:val="auto"/>
        </w:rPr>
      </w:pPr>
    </w:p>
    <w:p>
      <w:pPr>
        <w:ind w:left="1140" w:hanging="383"/>
        <w:spacing w:after="0" w:line="207" w:lineRule="exact"/>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through 2027, super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majority voting to amend provisions in our certificate of incorporation and bylaws;</w:t>
      </w:r>
    </w:p>
    <w:p>
      <w:pPr>
        <w:spacing w:after="0" w:line="171" w:lineRule="exact"/>
        <w:rPr>
          <w:rFonts w:ascii="Times New Roman" w:cs="Times New Roman" w:eastAsia="Times New Roman" w:hAnsi="Times New Roman"/>
          <w:sz w:val="18"/>
          <w:szCs w:val="18"/>
          <w:color w:val="auto"/>
        </w:rPr>
      </w:pPr>
    </w:p>
    <w:p>
      <w:pPr>
        <w:ind w:left="1140" w:right="160" w:hanging="383"/>
        <w:spacing w:after="0" w:line="222" w:lineRule="exact"/>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blank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check preferred stock, the preference, rights and other terms of which may be set by the Board of Directors and could delay or prevent a transaction or a change in control that might involve a premium price for our common stock or otherwise benefit our stockholders;</w:t>
      </w:r>
    </w:p>
    <w:p>
      <w:pPr>
        <w:spacing w:after="0" w:line="14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71" w:lineRule="exact"/>
        <w:rPr>
          <w:rFonts w:ascii="Times New Roman" w:cs="Times New Roman" w:eastAsia="Times New Roman" w:hAnsi="Times New Roman"/>
          <w:sz w:val="18"/>
          <w:szCs w:val="18"/>
          <w:color w:val="auto"/>
        </w:rPr>
      </w:pPr>
    </w:p>
    <w:p>
      <w:pPr>
        <w:ind w:left="1140" w:right="200" w:hanging="383"/>
        <w:spacing w:after="0" w:line="266"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other than unanimous written consent;</w:t>
      </w:r>
    </w:p>
    <w:p>
      <w:pPr>
        <w:spacing w:after="0" w:line="171" w:lineRule="exact"/>
        <w:rPr>
          <w:rFonts w:ascii="Times New Roman" w:cs="Times New Roman" w:eastAsia="Times New Roman" w:hAnsi="Times New Roman"/>
          <w:sz w:val="18"/>
          <w:szCs w:val="18"/>
          <w:color w:val="auto"/>
        </w:rPr>
      </w:pPr>
    </w:p>
    <w:p>
      <w:pPr>
        <w:ind w:left="1140" w:right="580" w:hanging="383"/>
        <w:spacing w:after="0" w:line="266"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 and</w:t>
      </w:r>
    </w:p>
    <w:p>
      <w:pPr>
        <w:spacing w:after="0" w:line="171" w:lineRule="exact"/>
        <w:rPr>
          <w:rFonts w:ascii="Times New Roman" w:cs="Times New Roman" w:eastAsia="Times New Roman" w:hAnsi="Times New Roman"/>
          <w:sz w:val="18"/>
          <w:szCs w:val="18"/>
          <w:color w:val="auto"/>
        </w:rPr>
      </w:pPr>
    </w:p>
    <w:p>
      <w:pPr>
        <w:ind w:left="1140" w:hanging="383"/>
        <w:spacing w:after="0" w:line="266"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40" w:firstLine="749"/>
        <w:spacing w:after="0" w:line="296" w:lineRule="auto"/>
        <w:rPr>
          <w:sz w:val="20"/>
          <w:szCs w:val="20"/>
          <w:color w:val="auto"/>
        </w:rPr>
      </w:pPr>
      <w:r>
        <w:rPr>
          <w:rFonts w:ascii="Times New Roman" w:cs="Times New Roman" w:eastAsia="Times New Roman" w:hAnsi="Times New Roman"/>
          <w:sz w:val="17"/>
          <w:szCs w:val="17"/>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w:t>
      </w:r>
    </w:p>
    <w:p>
      <w:pPr>
        <w:spacing w:after="0" w:line="108"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provide that the Court of Chancery of the State of Delaware is the exclusive forum for substantially all disputes between us and our stockholders, which could limit our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obtain a favorable judicial forum for disputes with us or our directors, officers or employees.</w:t>
      </w:r>
    </w:p>
    <w:p>
      <w:pPr>
        <w:spacing w:after="0" w:line="128"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Court of Chancery of the State of Delaware is the exclusive forum for the following civil actions:</w:t>
      </w:r>
    </w:p>
    <w:p>
      <w:pPr>
        <w:spacing w:after="0" w:line="94" w:lineRule="exact"/>
        <w:rPr>
          <w:sz w:val="20"/>
          <w:szCs w:val="20"/>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by any of our directors, officers, employees or agents or our stockholders;</w:t>
      </w:r>
    </w:p>
    <w:p>
      <w:pPr>
        <w:spacing w:after="0" w:line="171" w:lineRule="exact"/>
        <w:rPr>
          <w:rFonts w:ascii="Times New Roman" w:cs="Times New Roman" w:eastAsia="Times New Roman" w:hAnsi="Times New Roman"/>
          <w:sz w:val="18"/>
          <w:szCs w:val="18"/>
          <w:color w:val="auto"/>
        </w:rPr>
      </w:pPr>
    </w:p>
    <w:p>
      <w:pPr>
        <w:ind w:left="1140" w:right="160" w:hanging="383"/>
        <w:spacing w:after="0" w:line="266"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our certificate of incorporation or bylaws or as to which the DGCL confers jurisdiction on the Court of Chancery of the State of Delaware;</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our certificate of incorporation or our bylaws; or</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w:t>
      </w:r>
    </w:p>
    <w:p>
      <w:pPr>
        <w:spacing w:after="0" w:line="185"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color w:val="auto"/>
        </w:rPr>
        <w:t>However, this provision would not apply to suits brought to enforce a duty or liability created by the Exchange Act. Furthermore, this provision applies to Securities Act claims and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provision, and our stockholders will not be deemed to have waived our compliance with the federal securities laws and the rules and regulations thereunder. This choice of forum provision, if enforced,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14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05"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and our industry. If one or more of the analysts who cover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Our purchases of our equity securities in the first quarter of fiscal year 2026 were: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Approximate Dollar</w:t>
            </w:r>
          </w:p>
        </w:tc>
      </w:tr>
      <w:tr>
        <w:trPr>
          <w:trHeight w:val="203"/>
        </w:trPr>
        <w:tc>
          <w:tcPr>
            <w:tcW w:w="3920" w:type="dxa"/>
            <w:vAlign w:val="bottom"/>
          </w:tcPr>
          <w:p>
            <w:pPr>
              <w:spacing w:after="0"/>
              <w:rPr>
                <w:sz w:val="17"/>
                <w:szCs w:val="17"/>
                <w:color w:val="auto"/>
              </w:rPr>
            </w:pPr>
          </w:p>
        </w:tc>
        <w:tc>
          <w:tcPr>
            <w:tcW w:w="136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jc w:val="center"/>
              <w:ind w:right="2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Value of Shares</w:t>
            </w:r>
          </w:p>
        </w:tc>
      </w:tr>
      <w:tr>
        <w:trPr>
          <w:trHeight w:val="203"/>
        </w:trPr>
        <w:tc>
          <w:tcPr>
            <w:tcW w:w="3920" w:type="dxa"/>
            <w:vAlign w:val="bottom"/>
          </w:tcPr>
          <w:p>
            <w:pPr>
              <w:spacing w:after="0"/>
              <w:rPr>
                <w:sz w:val="17"/>
                <w:szCs w:val="17"/>
                <w:color w:val="auto"/>
              </w:rPr>
            </w:pPr>
          </w:p>
        </w:tc>
        <w:tc>
          <w:tcPr>
            <w:tcW w:w="136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7"/>
                <w:szCs w:val="17"/>
                <w:color w:val="auto"/>
              </w:rPr>
            </w:pPr>
          </w:p>
        </w:tc>
        <w:tc>
          <w:tcPr>
            <w:tcW w:w="176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rPr>
              <w:t>Shares Purchased</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jc w:val="center"/>
              <w:ind w:right="29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that May Yet Be</w:t>
            </w:r>
          </w:p>
        </w:tc>
      </w:tr>
      <w:tr>
        <w:trPr>
          <w:trHeight w:val="184"/>
        </w:trPr>
        <w:tc>
          <w:tcPr>
            <w:tcW w:w="3920" w:type="dxa"/>
            <w:vAlign w:val="bottom"/>
          </w:tcPr>
          <w:p>
            <w:pPr>
              <w:spacing w:after="0"/>
              <w:rPr>
                <w:sz w:val="16"/>
                <w:szCs w:val="16"/>
                <w:color w:val="auto"/>
              </w:rPr>
            </w:pPr>
          </w:p>
        </w:tc>
        <w:tc>
          <w:tcPr>
            <w:tcW w:w="136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b w:val="1"/>
                <w:bCs w:val="1"/>
                <w:color w:val="auto"/>
              </w:rPr>
              <w:t>Price Paid</w:t>
            </w:r>
          </w:p>
        </w:tc>
        <w:tc>
          <w:tcPr>
            <w:tcW w:w="120" w:type="dxa"/>
            <w:vAlign w:val="bottom"/>
          </w:tcPr>
          <w:p>
            <w:pPr>
              <w:spacing w:after="0"/>
              <w:rPr>
                <w:sz w:val="16"/>
                <w:szCs w:val="16"/>
                <w:color w:val="auto"/>
              </w:rPr>
            </w:pPr>
          </w:p>
        </w:tc>
        <w:tc>
          <w:tcPr>
            <w:tcW w:w="176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b w:val="1"/>
                <w:bCs w:val="1"/>
                <w:color w:val="auto"/>
              </w:rPr>
              <w:t>as Part of Publicly</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Pr>
          <w:p>
            <w:pPr>
              <w:jc w:val="center"/>
              <w:ind w:right="270"/>
              <w:spacing w:after="0" w:line="184" w:lineRule="exact"/>
              <w:rPr>
                <w:sz w:val="20"/>
                <w:szCs w:val="20"/>
                <w:color w:val="auto"/>
              </w:rPr>
            </w:pPr>
            <w:r>
              <w:rPr>
                <w:rFonts w:ascii="Times New Roman" w:cs="Times New Roman" w:eastAsia="Times New Roman" w:hAnsi="Times New Roman"/>
                <w:sz w:val="18"/>
                <w:szCs w:val="18"/>
                <w:b w:val="1"/>
                <w:bCs w:val="1"/>
                <w:color w:val="auto"/>
              </w:rPr>
              <w:t>Purchased Under the</w:t>
            </w:r>
          </w:p>
        </w:tc>
      </w:tr>
      <w:tr>
        <w:trPr>
          <w:trHeight w:val="229"/>
        </w:trPr>
        <w:tc>
          <w:tcPr>
            <w:tcW w:w="3920" w:type="dxa"/>
            <w:vAlign w:val="bottom"/>
          </w:tcPr>
          <w:p>
            <w:pPr>
              <w:spacing w:after="0"/>
              <w:rPr>
                <w:sz w:val="19"/>
                <w:szCs w:val="19"/>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30"/>
              <w:spacing w:after="0" w:line="229" w:lineRule="exact"/>
              <w:rPr>
                <w:sz w:val="20"/>
                <w:szCs w:val="20"/>
                <w:color w:val="auto"/>
              </w:rPr>
            </w:pPr>
            <w:r>
              <w:rPr>
                <w:rFonts w:ascii="Times New Roman" w:cs="Times New Roman" w:eastAsia="Times New Roman" w:hAnsi="Times New Roman"/>
                <w:sz w:val="18"/>
                <w:szCs w:val="18"/>
                <w:b w:val="1"/>
                <w:bCs w:val="1"/>
                <w:color w:val="auto"/>
                <w:w w:val="94"/>
              </w:rPr>
              <w:t>Per Share</w:t>
            </w:r>
            <w:r>
              <w:rPr>
                <w:rFonts w:ascii="Times New Roman" w:cs="Times New Roman" w:eastAsia="Times New Roman" w:hAnsi="Times New Roman"/>
                <w:sz w:val="24"/>
                <w:szCs w:val="24"/>
                <w:b w:val="1"/>
                <w:bCs w:val="1"/>
                <w:color w:val="auto"/>
                <w:w w:val="94"/>
                <w:vertAlign w:val="superscript"/>
              </w:rPr>
              <w:t>(1)</w:t>
            </w:r>
          </w:p>
        </w:tc>
        <w:tc>
          <w:tcPr>
            <w:tcW w:w="120" w:type="dxa"/>
            <w:vAlign w:val="bottom"/>
          </w:tcPr>
          <w:p>
            <w:pPr>
              <w:spacing w:after="0"/>
              <w:rPr>
                <w:sz w:val="19"/>
                <w:szCs w:val="19"/>
                <w:color w:val="auto"/>
              </w:rPr>
            </w:pPr>
          </w:p>
        </w:tc>
        <w:tc>
          <w:tcPr>
            <w:tcW w:w="17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right="290"/>
              <w:spacing w:after="0" w:line="229" w:lineRule="exact"/>
              <w:rPr>
                <w:sz w:val="20"/>
                <w:szCs w:val="20"/>
                <w:color w:val="auto"/>
              </w:rPr>
            </w:pPr>
            <w:r>
              <w:rPr>
                <w:rFonts w:ascii="Times New Roman" w:cs="Times New Roman" w:eastAsia="Times New Roman" w:hAnsi="Times New Roman"/>
                <w:sz w:val="18"/>
                <w:szCs w:val="18"/>
                <w:b w:val="1"/>
                <w:bCs w:val="1"/>
                <w:color w:val="auto"/>
                <w:w w:val="97"/>
              </w:rPr>
              <w:t>Plans or Programs</w:t>
            </w:r>
            <w:r>
              <w:rPr>
                <w:rFonts w:ascii="Times New Roman" w:cs="Times New Roman" w:eastAsia="Times New Roman" w:hAnsi="Times New Roman"/>
                <w:sz w:val="24"/>
                <w:szCs w:val="24"/>
                <w:b w:val="1"/>
                <w:bCs w:val="1"/>
                <w:color w:val="auto"/>
                <w:w w:val="97"/>
                <w:vertAlign w:val="superscript"/>
              </w:rPr>
              <w:t>(2)</w:t>
            </w:r>
          </w:p>
        </w:tc>
      </w:tr>
      <w:tr>
        <w:trPr>
          <w:trHeight w:val="183"/>
        </w:trPr>
        <w:tc>
          <w:tcPr>
            <w:tcW w:w="3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tcPr>
          <w:p>
            <w:pPr>
              <w:jc w:val="center"/>
              <w:ind w:right="270"/>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w:t>
            </w:r>
          </w:p>
        </w:tc>
      </w:tr>
      <w:tr>
        <w:trPr>
          <w:trHeight w:val="189"/>
        </w:trPr>
        <w:tc>
          <w:tcPr>
            <w:tcW w:w="39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January 1, 2026 to January 31, 2026</w:t>
            </w:r>
          </w:p>
        </w:tc>
        <w:tc>
          <w:tcPr>
            <w:tcW w:w="13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112,723</w:t>
            </w:r>
          </w:p>
        </w:tc>
      </w:tr>
      <w:tr>
        <w:trPr>
          <w:trHeight w:val="189"/>
        </w:trPr>
        <w:tc>
          <w:tcPr>
            <w:tcW w:w="3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February 1, 2026 to February 28, 2026</w:t>
            </w:r>
          </w:p>
        </w:tc>
        <w:tc>
          <w:tcPr>
            <w:tcW w:w="13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130,406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122.58</w:t>
            </w:r>
          </w:p>
        </w:tc>
        <w:tc>
          <w:tcPr>
            <w:tcW w:w="1880" w:type="dxa"/>
            <w:vAlign w:val="bottom"/>
            <w:gridSpan w:val="2"/>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130,406</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96,735</w:t>
            </w:r>
          </w:p>
        </w:tc>
      </w:tr>
      <w:tr>
        <w:trPr>
          <w:trHeight w:val="189"/>
        </w:trPr>
        <w:tc>
          <w:tcPr>
            <w:tcW w:w="392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March 1, 2026 to March 31, 2026</w:t>
            </w:r>
          </w:p>
        </w:tc>
        <w:tc>
          <w:tcPr>
            <w:tcW w:w="13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59,849</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118.61</w:t>
            </w:r>
          </w:p>
        </w:tc>
        <w:tc>
          <w:tcPr>
            <w:tcW w:w="120" w:type="dxa"/>
            <w:vAlign w:val="bottom"/>
            <w:tcBorders>
              <w:bottom w:val="single" w:sz="8" w:color="CFF0FC"/>
            </w:tcBorders>
            <w:shd w:val="clear" w:color="auto" w:fill="CFF0FC"/>
          </w:tcPr>
          <w:p>
            <w:pPr>
              <w:spacing w:after="0"/>
              <w:rPr>
                <w:sz w:val="16"/>
                <w:szCs w:val="16"/>
                <w:color w:val="auto"/>
              </w:rPr>
            </w:pPr>
          </w:p>
        </w:tc>
        <w:tc>
          <w:tcPr>
            <w:tcW w:w="17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59,849</w:t>
            </w:r>
          </w:p>
        </w:tc>
        <w:tc>
          <w:tcPr>
            <w:tcW w:w="1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240" w:type="dxa"/>
            <w:vAlign w:val="bottom"/>
            <w:tcBorders>
              <w:bottom w:val="single" w:sz="8" w:color="CFF0FC"/>
            </w:tcBorders>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89,635</w:t>
            </w:r>
          </w:p>
        </w:tc>
      </w:tr>
      <w:tr>
        <w:trPr>
          <w:trHeight w:val="183"/>
        </w:trPr>
        <w:tc>
          <w:tcPr>
            <w:tcW w:w="39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190,255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80" w:type="dxa"/>
            <w:vAlign w:val="bottom"/>
            <w:gridSpan w:val="2"/>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190,255</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20"/>
        </w:trPr>
        <w:tc>
          <w:tcPr>
            <w:tcW w:w="39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-153670</wp:posOffset>
            </wp:positionV>
            <wp:extent cx="1111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-153670</wp:posOffset>
            </wp:positionV>
            <wp:extent cx="1111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4" w:lineRule="exact"/>
        <w:rPr>
          <w:sz w:val="20"/>
          <w:szCs w:val="20"/>
          <w:color w:val="auto"/>
        </w:rPr>
      </w:pPr>
    </w:p>
    <w:p>
      <w:pPr>
        <w:ind w:left="760" w:hanging="752"/>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 excludes cash paid for commissions.</w:t>
      </w:r>
    </w:p>
    <w:p>
      <w:pPr>
        <w:spacing w:after="0" w:line="144" w:lineRule="exact"/>
        <w:rPr>
          <w:rFonts w:ascii="Times New Roman" w:cs="Times New Roman" w:eastAsia="Times New Roman" w:hAnsi="Times New Roman"/>
          <w:sz w:val="18"/>
          <w:szCs w:val="18"/>
          <w:color w:val="auto"/>
        </w:rPr>
      </w:pPr>
    </w:p>
    <w:p>
      <w:pPr>
        <w:ind w:left="760" w:right="180" w:hanging="752"/>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31, 2025, our Board of Directors approved the adoption of a share repurchase plan that authorizes the repurchase of up to $150 million of outstanding shares of common stock through the period ending on July 31, 2027.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14"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During the quarter ended March 31, 2026, none of our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40" w:type="dxa"/>
            <w:vAlign w:val="bottom"/>
            <w:gridSpan w:val="21"/>
            <w:vMerge w:val="restart"/>
          </w:tcPr>
          <w:p>
            <w:pPr>
              <w:ind w:left="37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25"/>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40" w:type="dxa"/>
            <w:vAlign w:val="bottom"/>
            <w:gridSpan w:val="21"/>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4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3"/>
                <w:szCs w:val="13"/>
                <w:color w:val="auto"/>
              </w:rPr>
            </w:pPr>
          </w:p>
        </w:tc>
        <w:tc>
          <w:tcPr>
            <w:tcW w:w="9560" w:type="dxa"/>
            <w:vAlign w:val="bottom"/>
            <w:tcBorders>
              <w:top w:val="single" w:sz="8" w:color="auto"/>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Equity Purchase Agreement, dated October 27, 2025, by and among Palomar Insurance Holdings, Inc., The Gray Casualty &amp; Surety</w:t>
              </w:r>
            </w:hyperlink>
          </w:p>
        </w:tc>
        <w:tc>
          <w:tcPr>
            <w:tcW w:w="340" w:type="dxa"/>
            <w:vAlign w:val="bottom"/>
            <w:tcBorders>
              <w:top w:val="single" w:sz="8" w:color="auto"/>
            </w:tcBorders>
            <w:gridSpan w:val="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900" w:type="dxa"/>
            <w:vAlign w:val="bottom"/>
            <w:tcBorders>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Company and BCP Surety Group Sole Member, LLC. (incorporated by reference from the Current Report on Form 8-K filed on October</w:t>
              </w:r>
            </w:hyperlink>
          </w:p>
        </w:tc>
        <w:tc>
          <w:tcPr>
            <w:tcW w:w="0" w:type="dxa"/>
            <w:vAlign w:val="bottom"/>
          </w:tcPr>
          <w:p>
            <w:pPr>
              <w:spacing w:after="0"/>
              <w:rPr>
                <w:sz w:val="1"/>
                <w:szCs w:val="1"/>
                <w:color w:val="auto"/>
              </w:rPr>
            </w:pPr>
          </w:p>
        </w:tc>
      </w:tr>
      <w:tr>
        <w:trPr>
          <w:trHeight w:val="169"/>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4"/>
                <w:szCs w:val="14"/>
                <w:color w:val="auto"/>
              </w:rPr>
            </w:pPr>
          </w:p>
        </w:tc>
        <w:tc>
          <w:tcPr>
            <w:tcW w:w="74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322">
              <w:r>
                <w:rPr>
                  <w:rFonts w:ascii="Times New Roman" w:cs="Times New Roman" w:eastAsia="Times New Roman" w:hAnsi="Times New Roman"/>
                  <w:sz w:val="18"/>
                  <w:szCs w:val="18"/>
                  <w:color w:val="0000FF"/>
                  <w:w w:val="97"/>
                </w:rPr>
                <w:t>30, 2025).</w:t>
              </w:r>
            </w:hyperlink>
          </w:p>
        </w:tc>
        <w:tc>
          <w:tcPr>
            <w:tcW w:w="20" w:type="dxa"/>
            <w:vAlign w:val="bottom"/>
            <w:tcBorders>
              <w:bottom w:val="single" w:sz="8" w:color="0000EE"/>
            </w:tcBorders>
          </w:tcPr>
          <w:p>
            <w:pPr>
              <w:spacing w:after="0"/>
              <w:rPr>
                <w:sz w:val="14"/>
                <w:szCs w:val="14"/>
                <w:color w:val="auto"/>
              </w:rPr>
            </w:pPr>
          </w:p>
        </w:tc>
        <w:tc>
          <w:tcPr>
            <w:tcW w:w="9140" w:type="dxa"/>
            <w:vAlign w:val="bottom"/>
            <w:gridSpan w:val="21"/>
            <w:vMerge w:val="restart"/>
          </w:tcPr>
          <w:p>
            <w:pPr>
              <w:ind w:left="180"/>
              <w:spacing w:after="0"/>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to Equity Purchase Agreement, dated January 30, 2026, by and among Palomar Insurance Holdings, Inc. and BCP Surety</w:t>
              </w:r>
            </w:hyperlink>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spacing w:after="0" w:line="169" w:lineRule="exact"/>
              <w:rPr>
                <w:rFonts w:ascii="Times New Roman" w:cs="Times New Roman" w:eastAsia="Times New Roman" w:hAnsi="Times New Roman"/>
                <w:sz w:val="18"/>
                <w:szCs w:val="18"/>
                <w:color w:val="0000FF"/>
                <w:w w:val="83"/>
              </w:rPr>
            </w:pPr>
            <w:hyperlink r:id="rId323">
              <w:r>
                <w:rPr>
                  <w:rFonts w:ascii="Times New Roman" w:cs="Times New Roman" w:eastAsia="Times New Roman" w:hAnsi="Times New Roman"/>
                  <w:sz w:val="18"/>
                  <w:szCs w:val="18"/>
                  <w:color w:val="0000FF"/>
                  <w:w w:val="83"/>
                </w:rPr>
                <w:t>Amendment</w:t>
              </w:r>
            </w:hyperlink>
          </w:p>
        </w:tc>
        <w:tc>
          <w:tcPr>
            <w:tcW w:w="9140" w:type="dxa"/>
            <w:vAlign w:val="bottom"/>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4"/>
                <w:szCs w:val="14"/>
                <w:color w:val="auto"/>
              </w:rPr>
            </w:pPr>
          </w:p>
        </w:tc>
        <w:tc>
          <w:tcPr>
            <w:tcW w:w="972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Group Sole Member, LLC (incorporated by reference to the Current Report on Form 8-K filed on February 2, 2026).</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8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4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900" w:type="dxa"/>
            <w:vAlign w:val="bottom"/>
            <w:gridSpan w:val="23"/>
          </w:tcPr>
          <w:p>
            <w:pPr>
              <w:spacing w:after="0" w:line="169"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Credit Agreement, dated January 27, 2026, by and among Palomar Holdings, Inc. and (i) U.S. Bank National Association, as</w:t>
              </w:r>
            </w:hyperlink>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2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administrative agent for the lenders, (ii) KeyBank National Association, as syndication agent, (iii) Citizens Bank, N.A, The</w:t>
              </w:r>
            </w:hyperlink>
          </w:p>
        </w:tc>
        <w:tc>
          <w:tcPr>
            <w:tcW w:w="880" w:type="dxa"/>
            <w:vAlign w:val="bottom"/>
            <w:gridSpan w:val="9"/>
          </w:tcPr>
          <w:p>
            <w:pPr>
              <w:spacing w:after="0" w:line="169"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Huntington</w:t>
              </w:r>
            </w:hyperlink>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National Bank, PNC Bank, National Association, and Wells Fargo Banks, National Association, each as documentation agent, and (iv)</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78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U.S. Bank National Association and KeyBank National Association, each as joint lead arranger and joint book runner (incorporated by</w:t>
              </w:r>
            </w:hyperlink>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4"/>
                <w:szCs w:val="14"/>
                <w:color w:val="auto"/>
              </w:rPr>
            </w:pPr>
          </w:p>
        </w:tc>
        <w:tc>
          <w:tcPr>
            <w:tcW w:w="52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324">
              <w:r>
                <w:rPr>
                  <w:rFonts w:ascii="Times New Roman" w:cs="Times New Roman" w:eastAsia="Times New Roman" w:hAnsi="Times New Roman"/>
                  <w:sz w:val="18"/>
                  <w:szCs w:val="18"/>
                  <w:color w:val="0000FF"/>
                  <w:w w:val="99"/>
                </w:rPr>
                <w:t>reference to the Current Report on Form 8-K filed on February 2, 2026).</w:t>
              </w:r>
            </w:hyperlink>
          </w:p>
        </w:tc>
        <w:tc>
          <w:tcPr>
            <w:tcW w:w="20" w:type="dxa"/>
            <w:vAlign w:val="bottom"/>
            <w:tcBorders>
              <w:top w:val="single" w:sz="8" w:color="0000FF"/>
              <w:bottom w:val="single" w:sz="8" w:color="0000EE"/>
            </w:tcBorders>
          </w:tcPr>
          <w:p>
            <w:pPr>
              <w:spacing w:after="0"/>
              <w:rPr>
                <w:sz w:val="14"/>
                <w:szCs w:val="14"/>
                <w:color w:val="auto"/>
              </w:rPr>
            </w:pPr>
          </w:p>
        </w:tc>
        <w:tc>
          <w:tcPr>
            <w:tcW w:w="4520" w:type="dxa"/>
            <w:vAlign w:val="bottom"/>
            <w:tcBorders>
              <w:top w:val="single" w:sz="8" w:color="0000FF"/>
            </w:tcBorders>
            <w:gridSpan w:val="13"/>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900" w:type="dxa"/>
            <w:vAlign w:val="bottom"/>
            <w:gridSpan w:val="23"/>
          </w:tcPr>
          <w:p>
            <w:pPr>
              <w:spacing w:after="0" w:line="169"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Guaranty, dated January 27, 2026, by and among Palomar Insurance Holdings, Inc., Palomar Specialty Insurance Company, Palomar</w:t>
              </w:r>
            </w:hyperlink>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20" w:type="dxa"/>
            <w:vAlign w:val="bottom"/>
            <w:tcBorders>
              <w:top w:val="single" w:sz="8" w:color="0000FF"/>
              <w:bottom w:val="single" w:sz="8" w:color="0000FF"/>
            </w:tcBorders>
            <w:gridSpan w:val="16"/>
          </w:tcPr>
          <w:p>
            <w:pPr>
              <w:spacing w:after="0" w:line="169" w:lineRule="exact"/>
              <w:rPr>
                <w:rFonts w:ascii="Times New Roman" w:cs="Times New Roman" w:eastAsia="Times New Roman" w:hAnsi="Times New Roman"/>
                <w:sz w:val="18"/>
                <w:szCs w:val="18"/>
                <w:color w:val="0000FF"/>
                <w:w w:val="98"/>
              </w:rPr>
            </w:pPr>
            <w:hyperlink r:id="rId325">
              <w:r>
                <w:rPr>
                  <w:rFonts w:ascii="Times New Roman" w:cs="Times New Roman" w:eastAsia="Times New Roman" w:hAnsi="Times New Roman"/>
                  <w:sz w:val="18"/>
                  <w:szCs w:val="18"/>
                  <w:color w:val="0000FF"/>
                  <w:w w:val="98"/>
                </w:rPr>
                <w:t>Excess and Surplus Insurance Company, Palomar Insurance Agency, Inc., Palomar Underwriters Exchange Organization, Inc., Palomar</w:t>
              </w:r>
            </w:hyperlink>
          </w:p>
        </w:tc>
        <w:tc>
          <w:tcPr>
            <w:tcW w:w="200" w:type="dxa"/>
            <w:vAlign w:val="bottom"/>
            <w:tcBorders>
              <w:bottom w:val="single" w:sz="8" w:color="0000FF"/>
            </w:tcBorders>
            <w:gridSpan w:val="5"/>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20" w:type="dxa"/>
            <w:vAlign w:val="bottom"/>
            <w:tcBorders>
              <w:bottom w:val="single" w:sz="8" w:color="0000FF"/>
            </w:tcBorders>
            <w:gridSpan w:val="21"/>
          </w:tcPr>
          <w:p>
            <w:pPr>
              <w:spacing w:after="0" w:line="169" w:lineRule="exact"/>
              <w:rPr>
                <w:rFonts w:ascii="Times New Roman" w:cs="Times New Roman" w:eastAsia="Times New Roman" w:hAnsi="Times New Roman"/>
                <w:sz w:val="18"/>
                <w:szCs w:val="18"/>
                <w:color w:val="0000FF"/>
                <w:w w:val="99"/>
              </w:rPr>
            </w:pPr>
            <w:hyperlink r:id="rId325">
              <w:r>
                <w:rPr>
                  <w:rFonts w:ascii="Times New Roman" w:cs="Times New Roman" w:eastAsia="Times New Roman" w:hAnsi="Times New Roman"/>
                  <w:sz w:val="18"/>
                  <w:szCs w:val="18"/>
                  <w:color w:val="0000FF"/>
                  <w:w w:val="99"/>
                </w:rPr>
                <w:t>Crop Insurance Services, Inc. and First Indemnity of America Insurance Company and U.S. Bank National Association (incorporated by</w:t>
              </w:r>
            </w:hyperlink>
          </w:p>
        </w:tc>
        <w:tc>
          <w:tcPr>
            <w:tcW w:w="6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4"/>
                <w:szCs w:val="14"/>
                <w:color w:val="auto"/>
              </w:rPr>
            </w:pPr>
          </w:p>
        </w:tc>
        <w:tc>
          <w:tcPr>
            <w:tcW w:w="522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325">
              <w:r>
                <w:rPr>
                  <w:rFonts w:ascii="Times New Roman" w:cs="Times New Roman" w:eastAsia="Times New Roman" w:hAnsi="Times New Roman"/>
                  <w:sz w:val="18"/>
                  <w:szCs w:val="18"/>
                  <w:color w:val="0000FF"/>
                  <w:w w:val="99"/>
                </w:rPr>
                <w:t>reference to the Current Report on Form 8-K filed on February 2, 2026).</w:t>
              </w:r>
            </w:hyperlink>
          </w:p>
        </w:tc>
        <w:tc>
          <w:tcPr>
            <w:tcW w:w="20" w:type="dxa"/>
            <w:vAlign w:val="bottom"/>
            <w:tcBorders>
              <w:bottom w:val="single" w:sz="8" w:color="0000EE"/>
            </w:tcBorders>
          </w:tcPr>
          <w:p>
            <w:pPr>
              <w:spacing w:after="0"/>
              <w:rPr>
                <w:sz w:val="14"/>
                <w:szCs w:val="14"/>
                <w:color w:val="auto"/>
              </w:rPr>
            </w:pPr>
          </w:p>
        </w:tc>
        <w:tc>
          <w:tcPr>
            <w:tcW w:w="4640" w:type="dxa"/>
            <w:vAlign w:val="bottom"/>
            <w:gridSpan w:val="1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900" w:type="dxa"/>
            <w:vAlign w:val="bottom"/>
            <w:gridSpan w:val="23"/>
          </w:tcPr>
          <w:p>
            <w:pPr>
              <w:spacing w:after="0" w:line="169" w:lineRule="exact"/>
              <w:rPr>
                <w:sz w:val="20"/>
                <w:szCs w:val="20"/>
                <w:color w:val="auto"/>
              </w:rPr>
            </w:pPr>
            <w:r>
              <w:rPr>
                <w:rFonts w:ascii="Times New Roman" w:cs="Times New Roman" w:eastAsia="Times New Roman" w:hAnsi="Times New Roman"/>
                <w:sz w:val="18"/>
                <w:szCs w:val="18"/>
                <w:color w:val="0000FF"/>
              </w:rPr>
              <w:t>Notice to Grant Non-Executive Restricted Stock Units, dated January, 28 2026</w:t>
            </w: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4"/>
                <w:szCs w:val="14"/>
                <w:color w:val="auto"/>
              </w:rPr>
            </w:pPr>
          </w:p>
        </w:tc>
        <w:tc>
          <w:tcPr>
            <w:tcW w:w="5680" w:type="dxa"/>
            <w:vAlign w:val="bottom"/>
            <w:tcBorders>
              <w:top w:val="single" w:sz="8" w:color="0000EE"/>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Form of Non-Executive Restricted Stock Units Agreement, dated January, 28</w:t>
            </w:r>
          </w:p>
        </w:tc>
        <w:tc>
          <w:tcPr>
            <w:tcW w:w="500" w:type="dxa"/>
            <w:vAlign w:val="bottom"/>
            <w:gridSpan w:val="4"/>
          </w:tcPr>
          <w:p>
            <w:pPr>
              <w:jc w:val="right"/>
              <w:ind w:right="200"/>
              <w:spacing w:after="0" w:line="169" w:lineRule="exact"/>
              <w:rPr>
                <w:sz w:val="20"/>
                <w:szCs w:val="20"/>
                <w:color w:val="auto"/>
              </w:rPr>
            </w:pPr>
            <w:r>
              <w:rPr>
                <w:rFonts w:ascii="Times New Roman" w:cs="Times New Roman" w:eastAsia="Times New Roman" w:hAnsi="Times New Roman"/>
                <w:sz w:val="18"/>
                <w:szCs w:val="18"/>
                <w:color w:val="0000FF"/>
                <w:w w:val="77"/>
              </w:rPr>
              <w:t>2026</w:t>
            </w:r>
          </w:p>
        </w:tc>
        <w:tc>
          <w:tcPr>
            <w:tcW w:w="37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4"/>
                <w:szCs w:val="14"/>
                <w:color w:val="auto"/>
              </w:rPr>
            </w:pPr>
          </w:p>
        </w:tc>
        <w:tc>
          <w:tcPr>
            <w:tcW w:w="5980" w:type="dxa"/>
            <w:vAlign w:val="bottom"/>
            <w:tcBorders>
              <w:top w:val="single" w:sz="8" w:color="0000EE"/>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Notice to Grant Executive Restricted Stock Units, dated January, 28 2026</w:t>
            </w:r>
          </w:p>
        </w:tc>
        <w:tc>
          <w:tcPr>
            <w:tcW w:w="200" w:type="dxa"/>
            <w:vAlign w:val="bottom"/>
          </w:tcPr>
          <w:p>
            <w:pPr>
              <w:spacing w:after="0"/>
              <w:rPr>
                <w:sz w:val="14"/>
                <w:szCs w:val="14"/>
                <w:color w:val="auto"/>
              </w:rPr>
            </w:pPr>
          </w:p>
        </w:tc>
        <w:tc>
          <w:tcPr>
            <w:tcW w:w="37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14"/>
                <w:szCs w:val="14"/>
                <w:color w:val="auto"/>
              </w:rPr>
            </w:pPr>
          </w:p>
        </w:tc>
        <w:tc>
          <w:tcPr>
            <w:tcW w:w="4780" w:type="dxa"/>
            <w:vAlign w:val="bottom"/>
            <w:tcBorders>
              <w:top w:val="single" w:sz="8" w:color="0000EE"/>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Form of Executive Restricted Stock Units, dated January, 28 2026</w:t>
            </w:r>
          </w:p>
        </w:tc>
        <w:tc>
          <w:tcPr>
            <w:tcW w:w="520" w:type="dxa"/>
            <w:vAlign w:val="bottom"/>
            <w:tcBorders>
              <w:top w:val="single" w:sz="8" w:color="0000EE"/>
            </w:tcBorders>
            <w:gridSpan w:val="3"/>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37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14"/>
                <w:szCs w:val="14"/>
                <w:color w:val="auto"/>
              </w:rPr>
            </w:pPr>
          </w:p>
        </w:tc>
        <w:tc>
          <w:tcPr>
            <w:tcW w:w="9900" w:type="dxa"/>
            <w:vAlign w:val="bottom"/>
            <w:gridSpan w:val="23"/>
          </w:tcPr>
          <w:p>
            <w:pPr>
              <w:spacing w:after="0" w:line="169" w:lineRule="exact"/>
              <w:rPr>
                <w:sz w:val="20"/>
                <w:szCs w:val="20"/>
                <w:color w:val="auto"/>
              </w:rPr>
            </w:pPr>
            <w:r>
              <w:rPr>
                <w:rFonts w:ascii="Times New Roman" w:cs="Times New Roman" w:eastAsia="Times New Roman" w:hAnsi="Times New Roman"/>
                <w:sz w:val="18"/>
                <w:szCs w:val="18"/>
                <w:color w:val="0000FF"/>
              </w:rPr>
              <w:t>Notice to Grant Non-Executive Performance Stock Units, dated January 28, 2026</w:t>
            </w: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4"/>
                <w:szCs w:val="14"/>
                <w:color w:val="auto"/>
              </w:rPr>
            </w:pPr>
          </w:p>
        </w:tc>
        <w:tc>
          <w:tcPr>
            <w:tcW w:w="5860" w:type="dxa"/>
            <w:vAlign w:val="bottom"/>
            <w:tcBorders>
              <w:top w:val="single" w:sz="8" w:color="0000EE"/>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Form of Non-Executive Performance Stock Units Agreement, dated January 28,</w:t>
            </w:r>
          </w:p>
        </w:tc>
        <w:tc>
          <w:tcPr>
            <w:tcW w:w="4040" w:type="dxa"/>
            <w:vAlign w:val="bottom"/>
            <w:gridSpan w:val="13"/>
          </w:tcPr>
          <w:p>
            <w:pPr>
              <w:jc w:val="right"/>
              <w:ind w:right="3720"/>
              <w:spacing w:after="0" w:line="169" w:lineRule="exact"/>
              <w:rPr>
                <w:sz w:val="20"/>
                <w:szCs w:val="20"/>
                <w:color w:val="auto"/>
              </w:rPr>
            </w:pPr>
            <w:r>
              <w:rPr>
                <w:rFonts w:ascii="Times New Roman" w:cs="Times New Roman" w:eastAsia="Times New Roman" w:hAnsi="Times New Roman"/>
                <w:sz w:val="18"/>
                <w:szCs w:val="18"/>
                <w:color w:val="0000FF"/>
                <w:w w:val="83"/>
              </w:rPr>
              <w:t>2026</w:t>
            </w: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14"/>
                <w:szCs w:val="14"/>
                <w:color w:val="auto"/>
              </w:rPr>
            </w:pPr>
          </w:p>
        </w:tc>
        <w:tc>
          <w:tcPr>
            <w:tcW w:w="6180" w:type="dxa"/>
            <w:vAlign w:val="bottom"/>
            <w:tcBorders>
              <w:top w:val="single" w:sz="8" w:color="0000EE"/>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Notice to Grant Executive Performance Stock Units, dated January 28, 2026</w:t>
            </w:r>
          </w:p>
        </w:tc>
        <w:tc>
          <w:tcPr>
            <w:tcW w:w="37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14"/>
                <w:szCs w:val="14"/>
                <w:color w:val="auto"/>
              </w:rPr>
            </w:pPr>
          </w:p>
        </w:tc>
        <w:tc>
          <w:tcPr>
            <w:tcW w:w="5500" w:type="dxa"/>
            <w:vAlign w:val="bottom"/>
            <w:tcBorders>
              <w:top w:val="single" w:sz="8" w:color="0000EE"/>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Form of Executive Performance Stock Units Agreement, dated January 28,</w:t>
            </w:r>
          </w:p>
        </w:tc>
        <w:tc>
          <w:tcPr>
            <w:tcW w:w="4400" w:type="dxa"/>
            <w:vAlign w:val="bottom"/>
            <w:gridSpan w:val="16"/>
          </w:tcPr>
          <w:p>
            <w:pPr>
              <w:jc w:val="right"/>
              <w:ind w:right="4100"/>
              <w:spacing w:after="0" w:line="169" w:lineRule="exact"/>
              <w:rPr>
                <w:sz w:val="20"/>
                <w:szCs w:val="20"/>
                <w:color w:val="auto"/>
              </w:rPr>
            </w:pPr>
            <w:r>
              <w:rPr>
                <w:rFonts w:ascii="Times New Roman" w:cs="Times New Roman" w:eastAsia="Times New Roman" w:hAnsi="Times New Roman"/>
                <w:sz w:val="18"/>
                <w:szCs w:val="18"/>
                <w:color w:val="0000FF"/>
                <w:w w:val="77"/>
              </w:rPr>
              <w:t>2026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360" w:hanging="1352"/>
        <w:spacing w:after="0" w:line="203" w:lineRule="auto"/>
        <w:tabs>
          <w:tab w:leader="none" w:pos="1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FF"/>
        </w:rPr>
        <w:t>Insider Trading Policy</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36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49"/>
        </w:trPr>
        <w:tc>
          <w:tcPr>
            <w:tcW w:w="136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31.1</w:t>
            </w:r>
          </w:p>
        </w:tc>
        <w:tc>
          <w:tcPr>
            <w:tcW w:w="9600" w:type="dxa"/>
            <w:vAlign w:val="bottom"/>
            <w:gridSpan w:val="5"/>
          </w:tcPr>
          <w:p>
            <w:pPr>
              <w:spacing w:after="0" w:line="149" w:lineRule="exact"/>
              <w:rPr>
                <w:sz w:val="20"/>
                <w:szCs w:val="20"/>
                <w:color w:val="auto"/>
              </w:rPr>
            </w:pPr>
            <w:r>
              <w:rPr>
                <w:rFonts w:ascii="Times New Roman" w:cs="Times New Roman" w:eastAsia="Times New Roman" w:hAnsi="Times New Roman"/>
                <w:sz w:val="17"/>
                <w:szCs w:val="17"/>
                <w:color w:val="0000FF"/>
              </w:rPr>
              <w:t>Certification of principal executive officer pursuant to Section 302 of the Sarbanes-Oxley Act of 2002</w:t>
            </w:r>
          </w:p>
        </w:tc>
      </w:tr>
      <w:tr>
        <w:trPr>
          <w:trHeight w:val="169"/>
        </w:trPr>
        <w:tc>
          <w:tcPr>
            <w:tcW w:w="13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31.2</w:t>
            </w:r>
          </w:p>
        </w:tc>
        <w:tc>
          <w:tcPr>
            <w:tcW w:w="7360" w:type="dxa"/>
            <w:vAlign w:val="bottom"/>
            <w:tcBorders>
              <w:top w:val="single" w:sz="8" w:color="0000EE"/>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Section 302 of the Sarbanes-Oxley Act of 2002</w:t>
            </w:r>
          </w:p>
        </w:tc>
        <w:tc>
          <w:tcPr>
            <w:tcW w:w="2240" w:type="dxa"/>
            <w:vAlign w:val="bottom"/>
          </w:tcPr>
          <w:p>
            <w:pPr>
              <w:spacing w:after="0"/>
              <w:rPr>
                <w:sz w:val="14"/>
                <w:szCs w:val="14"/>
                <w:color w:val="auto"/>
              </w:rPr>
            </w:pPr>
          </w:p>
        </w:tc>
      </w:tr>
      <w:tr>
        <w:trPr>
          <w:trHeight w:val="169"/>
        </w:trPr>
        <w:tc>
          <w:tcPr>
            <w:tcW w:w="13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32.1</w:t>
            </w:r>
          </w:p>
        </w:tc>
        <w:tc>
          <w:tcPr>
            <w:tcW w:w="7300" w:type="dxa"/>
            <w:vAlign w:val="bottom"/>
            <w:tcBorders>
              <w:top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Certifications pursuant to Section 906 of the Sarbanes-Oxley Act of 2002</w:t>
            </w:r>
          </w:p>
        </w:tc>
        <w:tc>
          <w:tcPr>
            <w:tcW w:w="2300" w:type="dxa"/>
            <w:vAlign w:val="bottom"/>
            <w:gridSpan w:val="2"/>
          </w:tcPr>
          <w:p>
            <w:pPr>
              <w:spacing w:after="0"/>
              <w:rPr>
                <w:sz w:val="14"/>
                <w:szCs w:val="14"/>
                <w:color w:val="auto"/>
              </w:rPr>
            </w:pPr>
          </w:p>
        </w:tc>
      </w:tr>
      <w:tr>
        <w:trPr>
          <w:trHeight w:val="164"/>
        </w:trPr>
        <w:tc>
          <w:tcPr>
            <w:tcW w:w="136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101.INS</w:t>
            </w:r>
          </w:p>
        </w:tc>
        <w:tc>
          <w:tcPr>
            <w:tcW w:w="5280" w:type="dxa"/>
            <w:vAlign w:val="bottom"/>
            <w:tcBorders>
              <w:top w:val="single" w:sz="8" w:color="0000EE"/>
            </w:tcBorders>
            <w:gridSpan w:val="2"/>
          </w:tcPr>
          <w:p>
            <w:pPr>
              <w:spacing w:after="0" w:line="164" w:lineRule="exact"/>
              <w:rPr>
                <w:sz w:val="20"/>
                <w:szCs w:val="20"/>
                <w:color w:val="auto"/>
              </w:rPr>
            </w:pPr>
            <w:r>
              <w:rPr>
                <w:rFonts w:ascii="Times New Roman" w:cs="Times New Roman" w:eastAsia="Times New Roman" w:hAnsi="Times New Roman"/>
                <w:sz w:val="18"/>
                <w:szCs w:val="18"/>
                <w:color w:val="auto"/>
                <w:w w:val="98"/>
              </w:rPr>
              <w:t>Inline XBRL Instance Document - the instance document does not appear</w:t>
            </w:r>
          </w:p>
        </w:tc>
        <w:tc>
          <w:tcPr>
            <w:tcW w:w="4320" w:type="dxa"/>
            <w:vAlign w:val="bottom"/>
            <w:gridSpan w:val="3"/>
          </w:tcPr>
          <w:p>
            <w:pPr>
              <w:ind w:left="80"/>
              <w:spacing w:after="0" w:line="164" w:lineRule="exact"/>
              <w:rPr>
                <w:sz w:val="20"/>
                <w:szCs w:val="20"/>
                <w:color w:val="auto"/>
              </w:rPr>
            </w:pPr>
            <w:r>
              <w:rPr>
                <w:rFonts w:ascii="Times New Roman" w:cs="Times New Roman" w:eastAsia="Times New Roman" w:hAnsi="Times New Roman"/>
                <w:sz w:val="18"/>
                <w:szCs w:val="18"/>
                <w:color w:val="auto"/>
                <w:w w:val="99"/>
              </w:rPr>
              <w:t>in the Interactive Data File as its XBRL tags are embedded</w:t>
            </w:r>
          </w:p>
        </w:tc>
      </w:tr>
      <w:tr>
        <w:trPr>
          <w:trHeight w:val="189"/>
        </w:trPr>
        <w:tc>
          <w:tcPr>
            <w:tcW w:w="1360" w:type="dxa"/>
            <w:vAlign w:val="bottom"/>
          </w:tcPr>
          <w:p>
            <w:pPr>
              <w:spacing w:after="0"/>
              <w:rPr>
                <w:sz w:val="16"/>
                <w:szCs w:val="16"/>
                <w:color w:val="auto"/>
              </w:rPr>
            </w:pPr>
          </w:p>
        </w:tc>
        <w:tc>
          <w:tcPr>
            <w:tcW w:w="96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within the Inline XBRL document</w:t>
            </w:r>
          </w:p>
        </w:tc>
      </w:tr>
      <w:tr>
        <w:trPr>
          <w:trHeight w:val="189"/>
        </w:trPr>
        <w:tc>
          <w:tcPr>
            <w:tcW w:w="1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101.SCH</w:t>
            </w:r>
          </w:p>
        </w:tc>
        <w:tc>
          <w:tcPr>
            <w:tcW w:w="96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r>
    </w:tbl>
    <w:p>
      <w:pPr>
        <w:spacing w:after="0" w:line="184"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*Schedules and exhibits have been omitted from this exhibit pursuant to Item 601(a)(5) of Regulation S-K. The registrant hereby undertakes to furnish copies of any of the omitted schedules and exhibits upon request by the U.S. Securities and Exchange Commission. + Management contract or compensatory plan or arrangement.</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Palomar Holdings, Inc.</w:t>
      </w:r>
    </w:p>
    <w:p>
      <w:pPr>
        <w:spacing w:after="0" w:line="175" w:lineRule="exact"/>
        <w:rPr>
          <w:sz w:val="20"/>
          <w:szCs w:val="20"/>
          <w:color w:val="auto"/>
        </w:rPr>
      </w:pPr>
    </w:p>
    <w:p>
      <w:pPr>
        <w:ind w:left="5640" w:right="3720" w:hanging="5972"/>
        <w:spacing w:after="0" w:line="238" w:lineRule="auto"/>
        <w:tabs>
          <w:tab w:leader="none" w:pos="562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 /s/ Mac Armstrong Mac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-120015</wp:posOffset>
            </wp:positionV>
            <wp:extent cx="335153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line="220" w:lineRule="auto"/>
        <w:rPr>
          <w:sz w:val="20"/>
          <w:szCs w:val="20"/>
          <w:color w:val="auto"/>
        </w:rPr>
      </w:pPr>
      <w:r>
        <w:rPr>
          <w:rFonts w:ascii="Times New Roman" w:cs="Times New Roman" w:eastAsia="Times New Roman" w:hAnsi="Times New Roman"/>
          <w:sz w:val="18"/>
          <w:szCs w:val="18"/>
          <w:color w:val="auto"/>
        </w:rPr>
        <w:t>Chairman of the Board and Chief Executive Officer</w:t>
      </w: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51"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 /s/ T. Christopher Uchida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8890</wp:posOffset>
            </wp:positionV>
            <wp:extent cx="335153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80"/>
        <w:spacing w:after="0" w:line="237" w:lineRule="auto"/>
        <w:rPr>
          <w:sz w:val="20"/>
          <w:szCs w:val="20"/>
          <w:color w:val="auto"/>
        </w:rPr>
      </w:pPr>
      <w:r>
        <w:rPr>
          <w:rFonts w:ascii="Times New Roman" w:cs="Times New Roman" w:eastAsia="Times New Roman" w:hAnsi="Times New Roman"/>
          <w:sz w:val="18"/>
          <w:szCs w:val="18"/>
          <w:color w:val="auto"/>
        </w:rPr>
        <w:t>T. Christopher Uchida</w:t>
      </w:r>
    </w:p>
    <w:p>
      <w:pPr>
        <w:ind w:left="5960"/>
        <w:spacing w:after="0" w:line="219" w:lineRule="auto"/>
        <w:rPr>
          <w:sz w:val="20"/>
          <w:szCs w:val="20"/>
          <w:color w:val="auto"/>
        </w:rPr>
      </w:pPr>
      <w:r>
        <w:rPr>
          <w:rFonts w:ascii="Times New Roman" w:cs="Times New Roman" w:eastAsia="Times New Roman" w:hAnsi="Times New Roman"/>
          <w:sz w:val="18"/>
          <w:szCs w:val="18"/>
          <w:color w:val="auto"/>
        </w:rPr>
        <w:t>Chief Financial Officer</w:t>
      </w:r>
    </w:p>
    <w:p>
      <w:pPr>
        <w:ind w:left="5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PALOMAR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NOTICE OF GRANT OF RESTRICTED STOCK UNITS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U.S. Participants)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Palomar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to the Participant an award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of certain units pursuant to the Palomar Holdings,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each of which represents the right to receive on the applicable Settlement Date one (1) share of Stock,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7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Employee ID:</w:t>
            </w:r>
          </w:p>
        </w:tc>
        <w:tc>
          <w:tcPr>
            <w:tcW w:w="7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Grant:</w:t>
            </w:r>
          </w:p>
        </w:tc>
        <w:tc>
          <w:tcPr>
            <w:tcW w:w="7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Number of Units:</w:t>
            </w:r>
          </w:p>
        </w:tc>
        <w:tc>
          <w:tcPr>
            <w:tcW w:w="7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TOTAL_SHARES_GRANTED,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320" w:type="dxa"/>
            <w:vAlign w:val="bottom"/>
          </w:tcPr>
          <w:p>
            <w:pPr>
              <w:spacing w:after="0"/>
              <w:rPr>
                <w:sz w:val="20"/>
                <w:szCs w:val="20"/>
                <w:color w:val="auto"/>
              </w:rPr>
            </w:pPr>
          </w:p>
        </w:tc>
        <w:tc>
          <w:tcPr>
            <w:tcW w:w="7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b w:val="1"/>
                <w:bCs w:val="1"/>
                <w:i w:val="1"/>
                <w:iCs w:val="1"/>
                <w:color w:val="auto"/>
              </w:rPr>
              <w:t>Unit</w:t>
            </w:r>
            <w:r>
              <w:rPr>
                <w:rFonts w:ascii="Times New Roman" w:cs="Times New Roman" w:eastAsia="Times New Roman" w:hAnsi="Times New Roman"/>
                <w:sz w:val="18"/>
                <w:szCs w:val="18"/>
                <w:color w:val="auto"/>
              </w:rPr>
              <w:t>”), subject to adjustment as provided by the Restricted Stock Units Agreement.</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 Date:</w:t>
            </w:r>
          </w:p>
        </w:tc>
        <w:tc>
          <w:tcPr>
            <w:tcW w:w="89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Except as provided by the Restricted Stock Units Agreement, the date on which a Unit becomes a Vested Unit.</w:t>
            </w:r>
          </w:p>
        </w:tc>
        <w:tc>
          <w:tcPr>
            <w:tcW w:w="0" w:type="dxa"/>
            <w:vAlign w:val="bottom"/>
          </w:tcPr>
          <w:p>
            <w:pPr>
              <w:spacing w:after="0"/>
              <w:rPr>
                <w:sz w:val="1"/>
                <w:szCs w:val="1"/>
                <w:color w:val="auto"/>
              </w:rPr>
            </w:pPr>
          </w:p>
        </w:tc>
      </w:tr>
      <w:tr>
        <w:trPr>
          <w:trHeight w:val="378"/>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Start Date:</w:t>
            </w:r>
          </w:p>
        </w:tc>
        <w:tc>
          <w:tcPr>
            <w:tcW w:w="7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Vested Shares:</w:t>
            </w:r>
          </w:p>
        </w:tc>
        <w:tc>
          <w:tcPr>
            <w:tcW w:w="89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Subject to the provisions in the Agreement, provided that the Participant’s Service has not terminated, the number of</w:t>
            </w:r>
          </w:p>
        </w:tc>
        <w:tc>
          <w:tcPr>
            <w:tcW w:w="0" w:type="dxa"/>
            <w:vAlign w:val="bottom"/>
          </w:tcPr>
          <w:p>
            <w:pPr>
              <w:spacing w:after="0"/>
              <w:rPr>
                <w:sz w:val="1"/>
                <w:szCs w:val="1"/>
                <w:color w:val="auto"/>
              </w:rPr>
            </w:pPr>
          </w:p>
        </w:tc>
      </w:tr>
      <w:tr>
        <w:trPr>
          <w:trHeight w:val="185"/>
        </w:trPr>
        <w:tc>
          <w:tcPr>
            <w:tcW w:w="2320" w:type="dxa"/>
            <w:vAlign w:val="bottom"/>
          </w:tcPr>
          <w:p>
            <w:pPr>
              <w:spacing w:after="0"/>
              <w:rPr>
                <w:sz w:val="16"/>
                <w:szCs w:val="16"/>
                <w:color w:val="auto"/>
              </w:rPr>
            </w:pPr>
          </w:p>
        </w:tc>
        <w:tc>
          <w:tcPr>
            <w:tcW w:w="8920" w:type="dxa"/>
            <w:vAlign w:val="bottom"/>
            <w:gridSpan w:val="4"/>
          </w:tcPr>
          <w:p>
            <w:pPr>
              <w:ind w:left="300"/>
              <w:spacing w:after="0" w:line="185" w:lineRule="exact"/>
              <w:rPr>
                <w:sz w:val="20"/>
                <w:szCs w:val="20"/>
                <w:color w:val="auto"/>
              </w:rPr>
            </w:pPr>
            <w:r>
              <w:rPr>
                <w:rFonts w:ascii="Times New Roman" w:cs="Times New Roman" w:eastAsia="Times New Roman" w:hAnsi="Times New Roman"/>
                <w:sz w:val="18"/>
                <w:szCs w:val="18"/>
                <w:color w:val="auto"/>
              </w:rPr>
              <w:t>Vested Units (disregarding any resulting fractional Unit) as of any date is determined by multiplying the Total Number</w:t>
            </w:r>
          </w:p>
        </w:tc>
        <w:tc>
          <w:tcPr>
            <w:tcW w:w="0" w:type="dxa"/>
            <w:vAlign w:val="bottom"/>
          </w:tcPr>
          <w:p>
            <w:pPr>
              <w:spacing w:after="0"/>
              <w:rPr>
                <w:sz w:val="1"/>
                <w:szCs w:val="1"/>
                <w:color w:val="auto"/>
              </w:rPr>
            </w:pPr>
          </w:p>
        </w:tc>
      </w:tr>
      <w:tr>
        <w:trPr>
          <w:trHeight w:val="238"/>
        </w:trPr>
        <w:tc>
          <w:tcPr>
            <w:tcW w:w="2320" w:type="dxa"/>
            <w:vAlign w:val="bottom"/>
          </w:tcPr>
          <w:p>
            <w:pPr>
              <w:spacing w:after="0"/>
              <w:rPr>
                <w:sz w:val="20"/>
                <w:szCs w:val="20"/>
                <w:color w:val="auto"/>
              </w:rPr>
            </w:pPr>
          </w:p>
        </w:tc>
        <w:tc>
          <w:tcPr>
            <w:tcW w:w="7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 Units by the “</w:t>
            </w:r>
            <w:r>
              <w:rPr>
                <w:rFonts w:ascii="Times New Roman" w:cs="Times New Roman" w:eastAsia="Times New Roman" w:hAnsi="Times New Roman"/>
                <w:sz w:val="18"/>
                <w:szCs w:val="18"/>
                <w:b w:val="1"/>
                <w:bCs w:val="1"/>
                <w:i w:val="1"/>
                <w:iCs w:val="1"/>
                <w:color w:val="auto"/>
              </w:rPr>
              <w:t>Vested Ratio</w:t>
            </w:r>
            <w:r>
              <w:rPr>
                <w:rFonts w:ascii="Times New Roman" w:cs="Times New Roman" w:eastAsia="Times New Roman" w:hAnsi="Times New Roman"/>
                <w:sz w:val="18"/>
                <w:szCs w:val="18"/>
                <w:color w:val="auto"/>
              </w:rPr>
              <w:t>” determined as of such date, as follows: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4"/>
                <w:szCs w:val="24"/>
                <w:color w:val="auto"/>
              </w:rPr>
            </w:pPr>
          </w:p>
        </w:tc>
        <w:tc>
          <w:tcPr>
            <w:tcW w:w="7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Prior to first year anniversary of the Date of Grant</w:t>
            </w:r>
          </w:p>
        </w:tc>
        <w:tc>
          <w:tcPr>
            <w:tcW w:w="16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Vested Ratio</w:t>
            </w:r>
          </w:p>
        </w:tc>
        <w:tc>
          <w:tcPr>
            <w:tcW w:w="0" w:type="dxa"/>
            <w:vAlign w:val="bottom"/>
          </w:tcPr>
          <w:p>
            <w:pPr>
              <w:spacing w:after="0"/>
              <w:rPr>
                <w:sz w:val="1"/>
                <w:szCs w:val="1"/>
                <w:color w:val="auto"/>
              </w:rPr>
            </w:pPr>
          </w:p>
        </w:tc>
      </w:tr>
      <w:tr>
        <w:trPr>
          <w:trHeight w:val="228"/>
        </w:trPr>
        <w:tc>
          <w:tcPr>
            <w:tcW w:w="2320" w:type="dxa"/>
            <w:vAlign w:val="bottom"/>
          </w:tcPr>
          <w:p>
            <w:pPr>
              <w:spacing w:after="0"/>
              <w:rPr>
                <w:sz w:val="19"/>
                <w:szCs w:val="19"/>
                <w:color w:val="auto"/>
              </w:rPr>
            </w:pPr>
          </w:p>
        </w:tc>
        <w:tc>
          <w:tcPr>
            <w:tcW w:w="73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320" w:type="dxa"/>
            <w:vAlign w:val="bottom"/>
          </w:tcPr>
          <w:p>
            <w:pPr>
              <w:spacing w:after="0"/>
              <w:rPr>
                <w:sz w:val="24"/>
                <w:szCs w:val="24"/>
                <w:color w:val="auto"/>
              </w:rPr>
            </w:pPr>
          </w:p>
        </w:tc>
        <w:tc>
          <w:tcPr>
            <w:tcW w:w="7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On first year anniversary of the Date of Grant</w:t>
            </w:r>
          </w:p>
        </w:tc>
        <w:tc>
          <w:tcPr>
            <w:tcW w:w="12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5"/>
              </w:rPr>
              <w:t>1/3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20" w:type="dxa"/>
            <w:vAlign w:val="bottom"/>
          </w:tcPr>
          <w:p>
            <w:pPr>
              <w:spacing w:after="0"/>
              <w:rPr>
                <w:sz w:val="24"/>
                <w:szCs w:val="24"/>
                <w:color w:val="auto"/>
              </w:rPr>
            </w:pPr>
          </w:p>
        </w:tc>
        <w:tc>
          <w:tcPr>
            <w:tcW w:w="7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On second year anniversary of the Date of Grant</w:t>
            </w:r>
          </w:p>
        </w:tc>
        <w:tc>
          <w:tcPr>
            <w:tcW w:w="12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5"/>
              </w:rPr>
              <w:t>1/3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20" w:type="dxa"/>
            <w:vAlign w:val="bottom"/>
          </w:tcPr>
          <w:p>
            <w:pPr>
              <w:spacing w:after="0"/>
              <w:rPr>
                <w:sz w:val="24"/>
                <w:szCs w:val="24"/>
                <w:color w:val="auto"/>
              </w:rPr>
            </w:pPr>
          </w:p>
        </w:tc>
        <w:tc>
          <w:tcPr>
            <w:tcW w:w="7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On third year anniversary of the Date of Grant</w:t>
            </w:r>
          </w:p>
        </w:tc>
        <w:tc>
          <w:tcPr>
            <w:tcW w:w="12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5"/>
              </w:rPr>
              <w:t>1/3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Superseding Agreement:</w:t>
            </w:r>
          </w:p>
        </w:tc>
        <w:tc>
          <w:tcPr>
            <w:tcW w:w="7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None</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Mandatory Sale To Cover</w:t>
            </w:r>
          </w:p>
        </w:tc>
        <w:tc>
          <w:tcPr>
            <w:tcW w:w="89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As a condition to acceptance of this Award, to the fullest extent permitted under the Plan, Article 7 of the Restricted</w:t>
            </w:r>
          </w:p>
        </w:tc>
        <w:tc>
          <w:tcPr>
            <w:tcW w:w="0" w:type="dxa"/>
            <w:vAlign w:val="bottom"/>
          </w:tcPr>
          <w:p>
            <w:pPr>
              <w:spacing w:after="0"/>
              <w:rPr>
                <w:sz w:val="1"/>
                <w:szCs w:val="1"/>
                <w:color w:val="auto"/>
              </w:rPr>
            </w:pPr>
          </w:p>
        </w:tc>
      </w:tr>
      <w:tr>
        <w:trPr>
          <w:trHeight w:val="193"/>
        </w:trPr>
        <w:tc>
          <w:tcPr>
            <w:tcW w:w="2320" w:type="dxa"/>
            <w:vAlign w:val="bottom"/>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Withholding Taxes</w:t>
            </w:r>
          </w:p>
        </w:tc>
        <w:tc>
          <w:tcPr>
            <w:tcW w:w="8920" w:type="dxa"/>
            <w:vAlign w:val="bottom"/>
            <w:gridSpan w:val="4"/>
          </w:tcPr>
          <w:p>
            <w:pPr>
              <w:ind w:left="300"/>
              <w:spacing w:after="0" w:line="193" w:lineRule="exact"/>
              <w:rPr>
                <w:sz w:val="20"/>
                <w:szCs w:val="20"/>
                <w:color w:val="auto"/>
              </w:rPr>
            </w:pPr>
            <w:r>
              <w:rPr>
                <w:rFonts w:ascii="Times New Roman" w:cs="Times New Roman" w:eastAsia="Times New Roman" w:hAnsi="Times New Roman"/>
                <w:sz w:val="18"/>
                <w:szCs w:val="18"/>
                <w:color w:val="auto"/>
              </w:rPr>
              <w:t>Stock Units Agreement and applicable law, withholding taxes and other tax related items will be satisfied through the</w:t>
            </w: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8920" w:type="dxa"/>
            <w:vAlign w:val="bottom"/>
            <w:gridSpan w:val="4"/>
          </w:tcPr>
          <w:p>
            <w:pPr>
              <w:ind w:left="300"/>
              <w:spacing w:after="0" w:line="189" w:lineRule="exact"/>
              <w:rPr>
                <w:sz w:val="20"/>
                <w:szCs w:val="20"/>
                <w:color w:val="auto"/>
              </w:rPr>
            </w:pPr>
            <w:r>
              <w:rPr>
                <w:rFonts w:ascii="Times New Roman" w:cs="Times New Roman" w:eastAsia="Times New Roman" w:hAnsi="Times New Roman"/>
                <w:sz w:val="18"/>
                <w:szCs w:val="18"/>
                <w:color w:val="auto"/>
                <w:w w:val="99"/>
              </w:rPr>
              <w:t>sale of a number of the shares of Stock issued on the settlement of Vested Units and the remittance of the cash proceeds</w:t>
            </w: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8920" w:type="dxa"/>
            <w:vAlign w:val="bottom"/>
            <w:gridSpan w:val="4"/>
          </w:tcPr>
          <w:p>
            <w:pPr>
              <w:ind w:left="300"/>
              <w:spacing w:after="0" w:line="189" w:lineRule="exact"/>
              <w:rPr>
                <w:sz w:val="20"/>
                <w:szCs w:val="20"/>
                <w:color w:val="auto"/>
              </w:rPr>
            </w:pPr>
            <w:r>
              <w:rPr>
                <w:rFonts w:ascii="Times New Roman" w:cs="Times New Roman" w:eastAsia="Times New Roman" w:hAnsi="Times New Roman"/>
                <w:sz w:val="18"/>
                <w:szCs w:val="18"/>
                <w:color w:val="auto"/>
              </w:rPr>
              <w:t>to the Company. The Company is authorized and directed by the Participant to make payment from the cash proceeds</w:t>
            </w: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8920" w:type="dxa"/>
            <w:vAlign w:val="bottom"/>
            <w:gridSpan w:val="4"/>
          </w:tcPr>
          <w:p>
            <w:pPr>
              <w:ind w:left="300"/>
              <w:spacing w:after="0" w:line="189" w:lineRule="exact"/>
              <w:rPr>
                <w:sz w:val="20"/>
                <w:szCs w:val="20"/>
                <w:color w:val="auto"/>
              </w:rPr>
            </w:pPr>
            <w:r>
              <w:rPr>
                <w:rFonts w:ascii="Times New Roman" w:cs="Times New Roman" w:eastAsia="Times New Roman" w:hAnsi="Times New Roman"/>
                <w:sz w:val="18"/>
                <w:szCs w:val="18"/>
                <w:color w:val="auto"/>
              </w:rPr>
              <w:t>of this sale directly to the appropriate taxing authorities in an amount equal to the taxes required to be withheld. The</w:t>
            </w:r>
          </w:p>
        </w:tc>
        <w:tc>
          <w:tcPr>
            <w:tcW w:w="0" w:type="dxa"/>
            <w:vAlign w:val="bottom"/>
          </w:tcPr>
          <w:p>
            <w:pPr>
              <w:spacing w:after="0"/>
              <w:rPr>
                <w:sz w:val="1"/>
                <w:szCs w:val="1"/>
                <w:color w:val="auto"/>
              </w:rPr>
            </w:pPr>
          </w:p>
        </w:tc>
      </w:tr>
      <w:tr>
        <w:trPr>
          <w:trHeight w:val="209"/>
        </w:trPr>
        <w:tc>
          <w:tcPr>
            <w:tcW w:w="2320" w:type="dxa"/>
            <w:vAlign w:val="bottom"/>
          </w:tcPr>
          <w:p>
            <w:pPr>
              <w:spacing w:after="0"/>
              <w:rPr>
                <w:sz w:val="18"/>
                <w:szCs w:val="18"/>
                <w:color w:val="auto"/>
              </w:rPr>
            </w:pPr>
          </w:p>
        </w:tc>
        <w:tc>
          <w:tcPr>
            <w:tcW w:w="89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mandatory sale of shares of Stock to cover withholding taxes and tax related items is imposed by the Company on the</w:t>
            </w:r>
          </w:p>
        </w:tc>
        <w:tc>
          <w:tcPr>
            <w:tcW w:w="0" w:type="dxa"/>
            <w:vAlign w:val="bottom"/>
          </w:tcPr>
          <w:p>
            <w:pPr>
              <w:spacing w:after="0"/>
              <w:rPr>
                <w:sz w:val="1"/>
                <w:szCs w:val="1"/>
                <w:color w:val="auto"/>
              </w:rPr>
            </w:pPr>
          </w:p>
        </w:tc>
      </w:tr>
    </w:tbl>
    <w:p>
      <w:pPr>
        <w:ind w:left="2620"/>
        <w:spacing w:after="0" w:line="233" w:lineRule="auto"/>
        <w:rPr>
          <w:sz w:val="20"/>
          <w:szCs w:val="20"/>
          <w:color w:val="auto"/>
        </w:rPr>
      </w:pPr>
      <w:r>
        <w:rPr>
          <w:rFonts w:ascii="Times New Roman" w:cs="Times New Roman" w:eastAsia="Times New Roman" w:hAnsi="Times New Roman"/>
          <w:sz w:val="18"/>
          <w:szCs w:val="18"/>
          <w:color w:val="auto"/>
        </w:rPr>
        <w:t>Participant in connection with the receipt of this Award, and it is intended to comply with the requirements of Rule 10b5-1(c)(1)(i)(B) under the Exchange Act and be interpreted to meet the requirements of Rule 10b5-1(c).</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By their signatures below or by electronic acceptance or authentication in a form authorized by the Company, the Company and the Participant agree that the Award is governed by this Grant Notice and by the provisions of the Restricted Stock Units Agreement and the Plan, both of which are made a part of this document, and by the Superseding Agreement, if any. The Participant acknowledges that copies of the Plan, the Restricted Stock Units Agreement and the prospectus for the Plan are available on the Company’s internal web site and may be viewed and printed by the Participant for attachment to the Participant’s copy of this Grant Notice. The Participant represents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7" w:name="page68"/>
    <w:bookmarkEnd w:id="67"/>
    <w:p>
      <w:pPr>
        <w:spacing w:after="0" w:line="266" w:lineRule="auto"/>
        <w:rPr>
          <w:sz w:val="20"/>
          <w:szCs w:val="20"/>
          <w:color w:val="auto"/>
        </w:rPr>
      </w:pPr>
      <w:r>
        <w:rPr>
          <w:rFonts w:ascii="Times New Roman" w:cs="Times New Roman" w:eastAsia="Times New Roman" w:hAnsi="Times New Roman"/>
          <w:sz w:val="18"/>
          <w:szCs w:val="18"/>
          <w:color w:val="auto"/>
        </w:rPr>
        <w:t>the Participant has read and is familiar with the provisions of the Restricted Stock Units Agreement and the Plan, and hereby accepts the Award subject to all of their terms and conditions.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PALOMAR HOLDINGS, INC.</w:t>
            </w:r>
          </w:p>
        </w:tc>
        <w:tc>
          <w:tcPr>
            <w:tcW w:w="25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PARTICIPANT</w:t>
            </w:r>
          </w:p>
        </w:tc>
      </w:tr>
      <w:tr>
        <w:trPr>
          <w:trHeight w:val="337"/>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Mac Armstrong</w:t>
            </w:r>
          </w:p>
        </w:tc>
        <w:tc>
          <w:tcPr>
            <w:tcW w:w="2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Signature:</w:t>
            </w:r>
          </w:p>
        </w:tc>
      </w:tr>
      <w:tr>
        <w:trPr>
          <w:trHeight w:val="164"/>
        </w:trPr>
        <w:tc>
          <w:tcPr>
            <w:tcW w:w="260" w:type="dxa"/>
            <w:vAlign w:val="bottom"/>
          </w:tcPr>
          <w:p>
            <w:pPr>
              <w:spacing w:after="0"/>
              <w:rPr>
                <w:sz w:val="14"/>
                <w:szCs w:val="14"/>
                <w:color w:val="auto"/>
              </w:rPr>
            </w:pPr>
          </w:p>
        </w:tc>
        <w:tc>
          <w:tcPr>
            <w:tcW w:w="1500" w:type="dxa"/>
            <w:vAlign w:val="bottom"/>
            <w:tcBorders>
              <w:top w:val="single" w:sz="8" w:color="auto"/>
            </w:tcBorders>
          </w:tcPr>
          <w:p>
            <w:pPr>
              <w:spacing w:after="0" w:line="164" w:lineRule="exact"/>
              <w:rPr>
                <w:sz w:val="20"/>
                <w:szCs w:val="20"/>
                <w:color w:val="auto"/>
              </w:rPr>
            </w:pPr>
            <w:r>
              <w:rPr>
                <w:rFonts w:ascii="Times New Roman" w:cs="Times New Roman" w:eastAsia="Times New Roman" w:hAnsi="Times New Roman"/>
                <w:sz w:val="18"/>
                <w:szCs w:val="18"/>
                <w:color w:val="auto"/>
              </w:rPr>
              <w:t>Mac Armstrong</w:t>
            </w:r>
          </w:p>
        </w:tc>
        <w:tc>
          <w:tcPr>
            <w:tcW w:w="194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234"/>
        </w:trPr>
        <w:tc>
          <w:tcPr>
            <w:tcW w:w="3700" w:type="dxa"/>
            <w:vAlign w:val="bottom"/>
            <w:gridSpan w:val="3"/>
          </w:tcPr>
          <w:p>
            <w:pPr>
              <w:jc w:val="center"/>
              <w:ind w:right="1600"/>
              <w:spacing w:after="0"/>
              <w:rPr>
                <w:sz w:val="20"/>
                <w:szCs w:val="20"/>
                <w:color w:val="auto"/>
              </w:rPr>
            </w:pPr>
            <w:r>
              <w:rPr>
                <w:rFonts w:ascii="Times New Roman" w:cs="Times New Roman" w:eastAsia="Times New Roman" w:hAnsi="Times New Roman"/>
                <w:sz w:val="18"/>
                <w:szCs w:val="18"/>
                <w:color w:val="auto"/>
              </w:rPr>
              <w:t>Chief Executive Officer</w:t>
            </w:r>
          </w:p>
        </w:tc>
        <w:tc>
          <w:tcPr>
            <w:tcW w:w="2560" w:type="dxa"/>
            <w:vAlign w:val="bottom"/>
          </w:tcPr>
          <w:p>
            <w:pPr>
              <w:spacing w:after="0"/>
              <w:rPr>
                <w:sz w:val="20"/>
                <w:szCs w:val="20"/>
                <w:color w:val="auto"/>
              </w:rPr>
            </w:pPr>
          </w:p>
        </w:tc>
      </w:tr>
      <w:tr>
        <w:trPr>
          <w:trHeight w:val="333"/>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 7979 Ivanhoe Avenue, Suite 500</w:t>
            </w:r>
          </w:p>
        </w:tc>
        <w:tc>
          <w:tcPr>
            <w:tcW w:w="2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Address:</w:t>
            </w:r>
          </w:p>
        </w:tc>
      </w:tr>
      <w:tr>
        <w:trPr>
          <w:trHeight w:val="209"/>
        </w:trPr>
        <w:tc>
          <w:tcPr>
            <w:tcW w:w="260" w:type="dxa"/>
            <w:vAlign w:val="bottom"/>
          </w:tcPr>
          <w:p>
            <w:pPr>
              <w:spacing w:after="0"/>
              <w:rPr>
                <w:sz w:val="18"/>
                <w:szCs w:val="18"/>
                <w:color w:val="auto"/>
              </w:rPr>
            </w:pPr>
          </w:p>
        </w:tc>
        <w:tc>
          <w:tcPr>
            <w:tcW w:w="3440" w:type="dxa"/>
            <w:vAlign w:val="bottom"/>
            <w:gridSpan w:val="2"/>
          </w:tcPr>
          <w:p>
            <w:pPr>
              <w:jc w:val="center"/>
              <w:ind w:right="1880"/>
              <w:spacing w:after="0"/>
              <w:rPr>
                <w:sz w:val="20"/>
                <w:szCs w:val="20"/>
                <w:color w:val="auto"/>
              </w:rPr>
            </w:pPr>
            <w:r>
              <w:rPr>
                <w:rFonts w:ascii="Times New Roman" w:cs="Times New Roman" w:eastAsia="Times New Roman" w:hAnsi="Times New Roman"/>
                <w:sz w:val="18"/>
                <w:szCs w:val="18"/>
                <w:color w:val="auto"/>
                <w:w w:val="99"/>
              </w:rPr>
              <w:t>La Jolla, CA 92037</w:t>
            </w:r>
          </w:p>
        </w:tc>
        <w:tc>
          <w:tcPr>
            <w:tcW w:w="2560" w:type="dxa"/>
            <w:vAlign w:val="bottom"/>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color w:val="auto"/>
        </w:rPr>
        <w:t>ATTACHMENTS: 2019 Equity Incentive Plan, as amended to the Date of Grant; Restricted Stock Units Agreement and Plan Prospectus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PALOMAR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RESTRICTED STOCK UNITS AGREEMENT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 U.S. Participants)</w:t>
      </w:r>
    </w:p>
    <w:p>
      <w:pPr>
        <w:spacing w:after="0" w:line="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Palomar Holdings, Inc. has granted to the Participant named in the </w:t>
      </w:r>
      <w:r>
        <w:rPr>
          <w:rFonts w:ascii="Times New Roman" w:cs="Times New Roman" w:eastAsia="Times New Roman" w:hAnsi="Times New Roman"/>
          <w:sz w:val="22"/>
          <w:szCs w:val="22"/>
          <w:i w:val="1"/>
          <w:iCs w:val="1"/>
          <w:color w:val="auto"/>
        </w:rPr>
        <w:t>Notice of Grant of Restricted Stock Units</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Grant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Notice</w:t>
      </w:r>
      <w:r>
        <w:rPr>
          <w:rFonts w:ascii="Times New Roman" w:cs="Times New Roman" w:eastAsia="Times New Roman" w:hAnsi="Times New Roman"/>
          <w:sz w:val="22"/>
          <w:szCs w:val="22"/>
          <w:color w:val="auto"/>
        </w:rPr>
        <w:t>”) to which this Restricted Stock Units Agreement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attached an Award consisting of Restricted Stock</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Units (each a “</w:t>
      </w:r>
      <w:r>
        <w:rPr>
          <w:rFonts w:ascii="Times New Roman" w:cs="Times New Roman" w:eastAsia="Times New Roman" w:hAnsi="Times New Roman"/>
          <w:sz w:val="22"/>
          <w:szCs w:val="22"/>
          <w:b w:val="1"/>
          <w:bCs w:val="1"/>
          <w:i w:val="1"/>
          <w:iCs w:val="1"/>
          <w:color w:val="auto"/>
        </w:rPr>
        <w:t>Unit</w:t>
      </w:r>
      <w:r>
        <w:rPr>
          <w:rFonts w:ascii="Times New Roman" w:cs="Times New Roman" w:eastAsia="Times New Roman" w:hAnsi="Times New Roman"/>
          <w:sz w:val="22"/>
          <w:szCs w:val="22"/>
          <w:color w:val="auto"/>
        </w:rPr>
        <w:t>”) subject to the terms and conditions set forth in the Grant Notice and this Agreement. The Award has been granted pursuant to and shall in all respects be subject to the terms and conditions of the Palomar Holdings, Inc. 2019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as amended to the Date of Grant,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Times New Roman" w:cs="Times New Roman" w:eastAsia="Times New Roman" w:hAnsi="Times New Roman"/>
          <w:sz w:val="22"/>
          <w:szCs w:val="22"/>
          <w:b w:val="1"/>
          <w:bCs w:val="1"/>
          <w:i w:val="1"/>
          <w:iCs w:val="1"/>
          <w:color w:val="auto"/>
        </w:rPr>
        <w:t>Plan Prospectus</w:t>
      </w:r>
      <w:r>
        <w:rPr>
          <w:rFonts w:ascii="Times New Roman" w:cs="Times New Roman" w:eastAsia="Times New Roman" w:hAnsi="Times New Roman"/>
          <w:sz w:val="22"/>
          <w:szCs w:val="22"/>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192" w:lineRule="exact"/>
        <w:rPr>
          <w:sz w:val="20"/>
          <w:szCs w:val="20"/>
          <w:color w:val="auto"/>
        </w:rPr>
      </w:pPr>
    </w:p>
    <w:p>
      <w:pPr>
        <w:ind w:left="1020" w:hanging="263"/>
        <w:spacing w:after="0"/>
        <w:tabs>
          <w:tab w:leader="none" w:pos="10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w:t>
      </w:r>
      <w:r>
        <w:rPr>
          <w:rFonts w:ascii="Times New Roman" w:cs="Times New Roman" w:eastAsia="Times New Roman" w:hAnsi="Times New Roman"/>
          <w:sz w:val="14"/>
          <w:szCs w:val="14"/>
          <w:b w:val="1"/>
          <w:bCs w:val="1"/>
          <w:u w:val="single" w:color="auto"/>
          <w:color w:val="auto"/>
        </w:rPr>
        <w:t>efinitions and</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onstruction</w:t>
      </w:r>
      <w:r>
        <w:rPr>
          <w:rFonts w:ascii="Times New Roman" w:cs="Times New Roman" w:eastAsia="Times New Roman" w:hAnsi="Times New Roman"/>
          <w:sz w:val="22"/>
          <w:szCs w:val="22"/>
          <w:b w:val="1"/>
          <w:bCs w:val="1"/>
          <w:u w:val="single" w:color="auto"/>
          <w:color w:val="auto"/>
        </w:rPr>
        <w:t>.</w:t>
      </w:r>
    </w:p>
    <w:p>
      <w:pPr>
        <w:spacing w:after="0" w:line="204" w:lineRule="exact"/>
        <w:rPr>
          <w:sz w:val="20"/>
          <w:szCs w:val="20"/>
          <w:color w:val="auto"/>
        </w:rPr>
      </w:pPr>
    </w:p>
    <w:p>
      <w:pPr>
        <w:jc w:val="both"/>
        <w:ind w:right="20" w:firstLine="1497"/>
        <w:spacing w:after="0" w:line="276"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Unless otherwise defined herein, capitalized terms shall have the meanings assigned to such terms in the Grant Notice or the Plan.</w:t>
      </w:r>
    </w:p>
    <w:p>
      <w:pPr>
        <w:spacing w:after="0" w:line="13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b w:val="1"/>
          <w:bCs w:val="1"/>
          <w:color w:val="auto"/>
        </w:rPr>
        <w:t>Construction</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66" w:lineRule="exact"/>
        <w:rPr>
          <w:sz w:val="20"/>
          <w:szCs w:val="20"/>
          <w:color w:val="auto"/>
        </w:rPr>
      </w:pPr>
    </w:p>
    <w:p>
      <w:pPr>
        <w:ind w:left="1020" w:hanging="263"/>
        <w:spacing w:after="0"/>
        <w:tabs>
          <w:tab w:leader="none" w:pos="10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w:t>
      </w:r>
      <w:r>
        <w:rPr>
          <w:rFonts w:ascii="Times New Roman" w:cs="Times New Roman" w:eastAsia="Times New Roman" w:hAnsi="Times New Roman"/>
          <w:sz w:val="14"/>
          <w:szCs w:val="14"/>
          <w:b w:val="1"/>
          <w:bCs w:val="1"/>
          <w:u w:val="single" w:color="auto"/>
          <w:color w:val="auto"/>
        </w:rPr>
        <w:t>dministration</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1014095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9" w:name="page70"/>
    <w:bookmarkEnd w:id="69"/>
    <w:p>
      <w:pPr>
        <w:ind w:left="1020" w:hanging="263"/>
        <w:spacing w:after="0"/>
        <w:tabs>
          <w:tab w:leader="none" w:pos="10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w:t>
      </w:r>
      <w:r>
        <w:rPr>
          <w:rFonts w:ascii="Times New Roman" w:cs="Times New Roman" w:eastAsia="Times New Roman" w:hAnsi="Times New Roman"/>
          <w:sz w:val="14"/>
          <w:szCs w:val="14"/>
          <w:b w:val="1"/>
          <w:bCs w:val="1"/>
          <w:u w:val="single" w:color="auto"/>
          <w:color w:val="auto"/>
        </w:rPr>
        <w: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w:t>
      </w:r>
      <w:r>
        <w:rPr>
          <w:rFonts w:ascii="Times New Roman" w:cs="Times New Roman" w:eastAsia="Times New Roman" w:hAnsi="Times New Roman"/>
          <w:sz w:val="14"/>
          <w:szCs w:val="14"/>
          <w:b w:val="1"/>
          <w:bCs w:val="1"/>
          <w:u w:val="single" w:color="auto"/>
          <w:color w:val="auto"/>
        </w:rPr>
        <w:t>ward</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1497"/>
        <w:spacing w:after="0" w:line="270"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b w:val="1"/>
          <w:bCs w:val="1"/>
          <w:color w:val="auto"/>
        </w:rPr>
        <w:t>Grant of Units.</w:t>
      </w:r>
      <w:r>
        <w:rPr>
          <w:rFonts w:ascii="Times New Roman" w:cs="Times New Roman" w:eastAsia="Times New Roman" w:hAnsi="Times New Roman"/>
          <w:sz w:val="21"/>
          <w:szCs w:val="21"/>
          <w:color w:val="auto"/>
        </w:rPr>
        <w:t xml:space="preserve"> On the Date of Grant, the Participant shall acquire, subject to the provisions of this Agreement, the Total Number of Units set forth in the Grant Notice, subject to adjustment as provided in Section 9. Each Unit represents a right to receive on a date determined in accordance with the Grant Notice and this Agreement one (1) share of Stock.</w:t>
      </w:r>
    </w:p>
    <w:p>
      <w:pPr>
        <w:spacing w:after="0" w:line="157"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color w:val="auto"/>
        </w:rPr>
        <w:t>No Monetary Payment Required.</w:t>
      </w:r>
      <w:r>
        <w:rPr>
          <w:rFonts w:ascii="Times New Roman" w:cs="Times New Roman" w:eastAsia="Times New Roman" w:hAnsi="Times New Roman"/>
          <w:sz w:val="22"/>
          <w:szCs w:val="22"/>
          <w:color w:val="auto"/>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170" w:lineRule="exact"/>
        <w:rPr>
          <w:sz w:val="20"/>
          <w:szCs w:val="20"/>
          <w:color w:val="auto"/>
        </w:rPr>
      </w:pPr>
    </w:p>
    <w:p>
      <w:pPr>
        <w:ind w:left="1020" w:hanging="263"/>
        <w:spacing w:after="0"/>
        <w:tabs>
          <w:tab w:leader="none" w:pos="10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4"/>
          <w:szCs w:val="14"/>
          <w:b w:val="1"/>
          <w:bCs w:val="1"/>
          <w:color w:val="auto"/>
        </w:rPr>
        <w:t>esting of</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nits</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b w:val="1"/>
          <w:bCs w:val="1"/>
          <w:color w:val="auto"/>
        </w:rPr>
        <w:t>Vested Units.</w:t>
      </w:r>
      <w:r>
        <w:rPr>
          <w:rFonts w:ascii="Times New Roman" w:cs="Times New Roman" w:eastAsia="Times New Roman" w:hAnsi="Times New Roman"/>
          <w:sz w:val="22"/>
          <w:szCs w:val="22"/>
          <w:color w:val="auto"/>
        </w:rPr>
        <w:t xml:space="preserve"> Units acquired pursuant to this Agreement shall become Vested Units as provided in the Grant Notice. For purposes of determining the number of Vested Units following an Ownership Change Event, credited Service shall include all Service with any Company which is a Participating Company at the time the Service is rendered, whether or not such Company is a Participating Company both before and after the Ownership Change Event.</w:t>
      </w:r>
    </w:p>
    <w:p>
      <w:pPr>
        <w:spacing w:after="0" w:line="182"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Notwithstanding the provisions of Section 5.1 below, in the event of Participant’s Qualified Retirement, Participant shall</w:t>
      </w:r>
    </w:p>
    <w:p>
      <w:pPr>
        <w:spacing w:after="0" w:line="167" w:lineRule="exact"/>
        <w:rPr>
          <w:sz w:val="20"/>
          <w:szCs w:val="20"/>
          <w:color w:val="auto"/>
        </w:rPr>
      </w:pPr>
    </w:p>
    <w:p>
      <w:pPr>
        <w:jc w:val="both"/>
        <w:ind w:left="760" w:firstLine="1494"/>
        <w:spacing w:after="0" w:line="244" w:lineRule="auto"/>
        <w:tabs>
          <w:tab w:leader="none" w:pos="251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Award is subject to time-based vesting only, be treated as providing Service following the date of Participant’s Qualified Retirement through the remaining vesting dates pursuant to the vesting schedule set forth in the Grant Notice such that the remaining unvested portion of the Award will continue to become Vested Units on each such remaining vesting date, or</w:t>
      </w:r>
    </w:p>
    <w:p>
      <w:pPr>
        <w:spacing w:after="0" w:line="172" w:lineRule="exact"/>
        <w:rPr>
          <w:rFonts w:ascii="Times New Roman" w:cs="Times New Roman" w:eastAsia="Times New Roman" w:hAnsi="Times New Roman"/>
          <w:sz w:val="22"/>
          <w:szCs w:val="22"/>
          <w:color w:val="auto"/>
        </w:rPr>
      </w:pPr>
    </w:p>
    <w:p>
      <w:pPr>
        <w:jc w:val="both"/>
        <w:ind w:left="760" w:firstLine="1494"/>
        <w:spacing w:after="0" w:line="251" w:lineRule="auto"/>
        <w:tabs>
          <w:tab w:leader="none" w:pos="2621"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Award is subject to performance-based vesting, for purposes of any time-based vesting conditions applicable to such Award, be treated as satisfying the time-based conditions with respect to a pro-rata portion of the Award on the Participant’s Retirement Date based on the number of full months of continuous Service completed between the Award’s grant date and the Participant’s Retirement Date such that the pro-rata portion of the Award will remain outstanding, provided that, for the avoidance of doubt, performance conditions applicable to the Award, if any, shall continue to apply to such Award with the Award outstanding with respect to the pro-rata portion that satisfies the time-based conditions and eligible to become earned and Vested Units based on the satisfaction of such performance conditions. For clarity, no shares of Stock shall be issued and no payment shall be made on the Participant’s Retirement Date, and no Units shall become Vested Units, solely by reason of the Participant’s Qualified Retirement. Such Units shall become Vested Units on the applicable Settlement Dates on the Award’s original vesting schedule.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0" w:name="page71"/>
    <w:bookmarkEnd w:id="70"/>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For purposes of this Section 4.2, “Qualified Retirement” means Participant’s resignation of employment with the Company on or after attainment of age fifty-eight (58) with a minimum of five (5) years of Service with the Company (including with an acquired entity prior to the grant date and regardless of whether such Service is continuous, with a Participant’s period of Service calculated using a 365-day period to determine each year of Service), provided that:</w:t>
      </w:r>
    </w:p>
    <w:p>
      <w:pPr>
        <w:spacing w:after="0" w:line="186" w:lineRule="exact"/>
        <w:rPr>
          <w:sz w:val="20"/>
          <w:szCs w:val="20"/>
          <w:color w:val="auto"/>
        </w:rPr>
      </w:pPr>
    </w:p>
    <w:p>
      <w:pPr>
        <w:ind w:left="760" w:right="20" w:firstLine="1563"/>
        <w:spacing w:after="0" w:line="258" w:lineRule="auto"/>
        <w:tabs>
          <w:tab w:leader="none" w:pos="2635"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Retirement Date (as defined below), the Participant’s age plus years of Service with the Company equals or exceeds 65;</w:t>
      </w:r>
    </w:p>
    <w:p>
      <w:pPr>
        <w:spacing w:after="0" w:line="158" w:lineRule="exact"/>
        <w:rPr>
          <w:rFonts w:ascii="Times New Roman" w:cs="Times New Roman" w:eastAsia="Times New Roman" w:hAnsi="Times New Roman"/>
          <w:sz w:val="22"/>
          <w:szCs w:val="22"/>
          <w:color w:val="auto"/>
        </w:rPr>
      </w:pPr>
    </w:p>
    <w:p>
      <w:pPr>
        <w:ind w:left="760" w:firstLine="1494"/>
        <w:spacing w:after="0" w:line="271" w:lineRule="auto"/>
        <w:tabs>
          <w:tab w:leader="none" w:pos="259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provides the Company with the required amount of Qualified Retirement Notice regarding his or her resignation of employment, and</w:t>
      </w:r>
    </w:p>
    <w:p>
      <w:pPr>
        <w:spacing w:after="0" w:line="144" w:lineRule="exact"/>
        <w:rPr>
          <w:rFonts w:ascii="Times New Roman" w:cs="Times New Roman" w:eastAsia="Times New Roman" w:hAnsi="Times New Roman"/>
          <w:sz w:val="22"/>
          <w:szCs w:val="22"/>
          <w:color w:val="auto"/>
        </w:rPr>
      </w:pPr>
    </w:p>
    <w:p>
      <w:pPr>
        <w:jc w:val="both"/>
        <w:ind w:left="760" w:firstLine="1494"/>
        <w:spacing w:after="0" w:line="250" w:lineRule="auto"/>
        <w:tabs>
          <w:tab w:leader="none" w:pos="257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and prior to the Participant’s Retirement Date, no facts or circumstances shall exist that could give rise to the Covered Employee’s termination of employment for Cause (as defined in the Plan) regardless of whether the Company pursues termination for Cause.</w:t>
      </w:r>
    </w:p>
    <w:p>
      <w:pPr>
        <w:spacing w:after="0" w:line="16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In order to be eligible for continued or credited time-based vesting under this Section 4.2, (i) the Participant must timely deliver to the Company and not revoke a general waiver and release of claims in favor of the Company, its affiliates and related parties, in a form provided by the Company, and (ii) except as otherwise determined or affirmatively waived by the Committee, the Participant must deliver to the Company’s Chief People Officer (or such other individual designated by the Committee), no less than six (6) months prior to the date of a Qualified Retirement, advance written notice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Qualified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Retirement Notice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of such Covered Employee’s voluntary termination of employment giving rise to a Qualified Retirement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 a requested retirement date (the “</w:t>
      </w:r>
      <w:r>
        <w:rPr>
          <w:rFonts w:ascii="Times New Roman" w:cs="Times New Roman" w:eastAsia="Times New Roman" w:hAnsi="Times New Roman"/>
          <w:sz w:val="22"/>
          <w:szCs w:val="22"/>
          <w:b w:val="1"/>
          <w:bCs w:val="1"/>
          <w:i w:val="1"/>
          <w:iCs w:val="1"/>
          <w:color w:val="auto"/>
        </w:rPr>
        <w:t>Proposed Retirement Date</w:t>
      </w:r>
      <w:r>
        <w:rPr>
          <w:rFonts w:ascii="Times New Roman" w:cs="Times New Roman" w:eastAsia="Times New Roman" w:hAnsi="Times New Roman"/>
          <w:sz w:val="22"/>
          <w:szCs w:val="22"/>
          <w:color w:val="auto"/>
        </w:rPr>
        <w:t xml:space="preserve">”). The Committee (or its designee) may, in its sole discretion, designate the employee’s retirement date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Retirement Date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which may be earlier or later than the Covered Employee’s Proposed Retirement Date.</w:t>
      </w:r>
    </w:p>
    <w:p>
      <w:pPr>
        <w:spacing w:after="0" w:line="199"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The foregoing provisions shall control the vesting of the Award in the event of a Qualified Retirement notwithstanding the provisions of any Company policy.</w:t>
      </w:r>
    </w:p>
    <w:p>
      <w:pPr>
        <w:spacing w:after="0" w:line="168" w:lineRule="exact"/>
        <w:rPr>
          <w:sz w:val="20"/>
          <w:szCs w:val="20"/>
          <w:color w:val="auto"/>
        </w:rPr>
      </w:pPr>
    </w:p>
    <w:p>
      <w:pPr>
        <w:ind w:left="1020" w:hanging="263"/>
        <w:spacing w:after="0"/>
        <w:tabs>
          <w:tab w:leader="none" w:pos="10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R</w:t>
      </w:r>
      <w:r>
        <w:rPr>
          <w:rFonts w:ascii="Times New Roman" w:cs="Times New Roman" w:eastAsia="Times New Roman" w:hAnsi="Times New Roman"/>
          <w:sz w:val="14"/>
          <w:szCs w:val="14"/>
          <w:b w:val="1"/>
          <w:bCs w:val="1"/>
          <w:u w:val="single" w:color="auto"/>
          <w:color w:val="auto"/>
        </w:rPr>
        <w:t>eacquisition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R</w:t>
      </w:r>
      <w:r>
        <w:rPr>
          <w:rFonts w:ascii="Times New Roman" w:cs="Times New Roman" w:eastAsia="Times New Roman" w:hAnsi="Times New Roman"/>
          <w:sz w:val="14"/>
          <w:szCs w:val="14"/>
          <w:b w:val="1"/>
          <w:bCs w:val="1"/>
          <w:u w:val="single" w:color="auto"/>
          <w:color w:val="auto"/>
        </w:rPr>
        <w:t>ight</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b w:val="1"/>
          <w:bCs w:val="1"/>
          <w:color w:val="auto"/>
        </w:rPr>
        <w:t>Grant of Company Reacquisition Right.</w:t>
      </w:r>
      <w:r>
        <w:rPr>
          <w:rFonts w:ascii="Times New Roman" w:cs="Times New Roman" w:eastAsia="Times New Roman" w:hAnsi="Times New Roman"/>
          <w:sz w:val="22"/>
          <w:szCs w:val="22"/>
          <w:color w:val="auto"/>
        </w:rPr>
        <w:t xml:space="preserve"> Except to the extent otherwise provided by the Superseding Agreement, if any, in the event that the Participant’s Service terminates for any reason or no reason, with or without cause, the Participant shall forfeit and the Company shall automatically reacquire all Units which are not, as of the time of such termination, Vested Units (“</w:t>
      </w:r>
      <w:r>
        <w:rPr>
          <w:rFonts w:ascii="Times New Roman" w:cs="Times New Roman" w:eastAsia="Times New Roman" w:hAnsi="Times New Roman"/>
          <w:sz w:val="22"/>
          <w:szCs w:val="22"/>
          <w:b w:val="1"/>
          <w:bCs w:val="1"/>
          <w:i w:val="1"/>
          <w:iCs w:val="1"/>
          <w:color w:val="auto"/>
        </w:rPr>
        <w:t>Unvested Units</w:t>
      </w:r>
      <w:r>
        <w:rPr>
          <w:rFonts w:ascii="Times New Roman" w:cs="Times New Roman" w:eastAsia="Times New Roman" w:hAnsi="Times New Roman"/>
          <w:sz w:val="22"/>
          <w:szCs w:val="22"/>
          <w:color w:val="auto"/>
        </w:rPr>
        <w:t>”), and the Participant shall not be entitled to any payment therefor (the “</w:t>
      </w:r>
      <w:r>
        <w:rPr>
          <w:rFonts w:ascii="Times New Roman" w:cs="Times New Roman" w:eastAsia="Times New Roman" w:hAnsi="Times New Roman"/>
          <w:sz w:val="22"/>
          <w:szCs w:val="22"/>
          <w:b w:val="1"/>
          <w:bCs w:val="1"/>
          <w:i w:val="1"/>
          <w:iCs w:val="1"/>
          <w:color w:val="auto"/>
        </w:rPr>
        <w:t>Company Reacquisition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Right</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color w:val="auto"/>
        </w:rPr>
        <w:t>Ownership Change Event, Non-Cash Dividends, Distributions and Adjustments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Upon the occurrence of an Ownership Change Event, a dividend or distribution to the stockholders of the Company paid in shares of Stock or other property, or any other adjustment upon a change in the capital structure of the Company as described in Section 9, any and all new, substituted or additional securities or other property (other than regular, periodic cash dividends paid on Stock pursuant to the Company’s dividend policy) to which the Participant is entitled by reason of the Participant’s ownership of Unvested Units shall be immediately subject to the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1" w:name="page72"/>
    <w:bookmarkEnd w:id="71"/>
    <w:p>
      <w:pPr>
        <w:jc w:val="both"/>
        <w:spacing w:after="0" w:line="241" w:lineRule="auto"/>
        <w:rPr>
          <w:sz w:val="20"/>
          <w:szCs w:val="20"/>
          <w:color w:val="auto"/>
        </w:rPr>
      </w:pPr>
      <w:r>
        <w:rPr>
          <w:rFonts w:ascii="Times New Roman" w:cs="Times New Roman" w:eastAsia="Times New Roman" w:hAnsi="Times New Roman"/>
          <w:sz w:val="22"/>
          <w:szCs w:val="22"/>
          <w:color w:val="auto"/>
        </w:rPr>
        <w:t>Company Reacquisition Right and included in the terms “Units” and “Unvested Units” for all purposes of the Company Reacquisition Right with the same force and effect as the Unvested Units immediately prior to the Ownership Change Event, dividend, distribution or adjustment, as the case may be. For purposes of determining the number of Vested Units following an Ownership Change Event, dividend, distribution or adjustment, credited Service shall include all Service with any Company which is a Participating Company at the time the Service is rendered, whether or not such Company is a Participating Company both before and after any such event.</w:t>
      </w:r>
    </w:p>
    <w:p>
      <w:pPr>
        <w:spacing w:after="0" w:line="173" w:lineRule="exact"/>
        <w:rPr>
          <w:sz w:val="20"/>
          <w:szCs w:val="20"/>
          <w:color w:val="auto"/>
        </w:rPr>
      </w:pPr>
    </w:p>
    <w:p>
      <w:pPr>
        <w:ind w:left="1020" w:hanging="263"/>
        <w:spacing w:after="0"/>
        <w:tabs>
          <w:tab w:leader="none" w:pos="10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w:t>
      </w:r>
      <w:r>
        <w:rPr>
          <w:rFonts w:ascii="Times New Roman" w:cs="Times New Roman" w:eastAsia="Times New Roman" w:hAnsi="Times New Roman"/>
          <w:sz w:val="14"/>
          <w:szCs w:val="14"/>
          <w:b w:val="1"/>
          <w:bCs w:val="1"/>
          <w:u w:val="single" w:color="auto"/>
          <w:color w:val="auto"/>
        </w:rPr>
        <w:t>ettlement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w:t>
      </w:r>
      <w:r>
        <w:rPr>
          <w:rFonts w:ascii="Times New Roman" w:cs="Times New Roman" w:eastAsia="Times New Roman" w:hAnsi="Times New Roman"/>
          <w:sz w:val="14"/>
          <w:szCs w:val="14"/>
          <w:b w:val="1"/>
          <w:bCs w:val="1"/>
          <w:u w:val="single" w:color="auto"/>
          <w:color w:val="auto"/>
        </w:rPr>
        <w:t>ward</w:t>
      </w:r>
      <w:r>
        <w:rPr>
          <w:rFonts w:ascii="Times New Roman" w:cs="Times New Roman" w:eastAsia="Times New Roman" w:hAnsi="Times New Roman"/>
          <w:sz w:val="22"/>
          <w:szCs w:val="22"/>
          <w:b w:val="1"/>
          <w:bCs w:val="1"/>
          <w:color w:val="auto"/>
        </w:rPr>
        <w:t>.</w:t>
      </w:r>
    </w:p>
    <w:p>
      <w:pPr>
        <w:spacing w:after="0" w:line="218"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color w:val="auto"/>
        </w:rPr>
        <w:t>Issuance of Shares of Stock</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The “Settlement Date” with respect to a Vested Unit will be the date on which such Unit becomes a Vested Unit or as soon as administratively practicable but no later than 30 days thereafter. The Company shall deliver to the Participant a number of shares of Stock equal to the number of Vested Units subject to this Award. Shares of Stock issued in settlement of Units shall not be subject to any restriction on transfer other than any such restriction as may be required pursuant to Section 6.3, Section 7 or the Company’s Trading Compliance Policy.</w:t>
      </w:r>
    </w:p>
    <w:p>
      <w:pPr>
        <w:spacing w:after="0" w:line="183"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color w:val="auto"/>
        </w:rPr>
        <w:t>Beneficial Ownership of Shares; Certificate Registration</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7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b w:val="1"/>
          <w:bCs w:val="1"/>
          <w:color w:val="auto"/>
        </w:rPr>
        <w:t>Restrictions on Grant of the Award and Issuance of Shares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The grant 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7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2"/>
          <w:szCs w:val="22"/>
          <w:b w:val="1"/>
          <w:bCs w:val="1"/>
          <w:color w:val="auto"/>
        </w:rPr>
        <w:t>Fractional Shares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shall not be required to issue fractional shares upon the settlement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Award.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2" w:name="page73"/>
    <w:bookmarkEnd w:id="72"/>
    <w:p>
      <w:pPr>
        <w:ind w:left="1020" w:hanging="263"/>
        <w:spacing w:after="0"/>
        <w:tabs>
          <w:tab w:leader="none" w:pos="10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w:t>
      </w:r>
      <w:r>
        <w:rPr>
          <w:rFonts w:ascii="Times New Roman" w:cs="Times New Roman" w:eastAsia="Times New Roman" w:hAnsi="Times New Roman"/>
          <w:sz w:val="14"/>
          <w:szCs w:val="14"/>
          <w:b w:val="1"/>
          <w:bCs w:val="1"/>
          <w:u w:val="single" w:color="auto"/>
          <w:color w:val="auto"/>
        </w:rPr>
        <w:t>ax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W</w:t>
      </w:r>
      <w:r>
        <w:rPr>
          <w:rFonts w:ascii="Times New Roman" w:cs="Times New Roman" w:eastAsia="Times New Roman" w:hAnsi="Times New Roman"/>
          <w:sz w:val="14"/>
          <w:szCs w:val="14"/>
          <w:b w:val="1"/>
          <w:bCs w:val="1"/>
          <w:u w:val="single" w:color="auto"/>
          <w:color w:val="auto"/>
        </w:rPr>
        <w:t>ithholding</w:t>
      </w:r>
      <w:r>
        <w:rPr>
          <w:rFonts w:ascii="Times New Roman" w:cs="Times New Roman" w:eastAsia="Times New Roman" w:hAnsi="Times New Roman"/>
          <w:sz w:val="22"/>
          <w:szCs w:val="22"/>
          <w:b w:val="1"/>
          <w:bCs w:val="1"/>
          <w:color w:val="auto"/>
        </w:rPr>
        <w:t>.</w:t>
      </w:r>
    </w:p>
    <w:p>
      <w:pPr>
        <w:spacing w:after="0" w:line="204"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color w:val="auto"/>
        </w:rPr>
        <w:t>Withholding Taxes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Participant understands and acknowledges that on each Settlement Date, Participant is responsible for making adequate provision to satisfy the federal, state, local and foreign tax withholding obligations of the Company that arise in connection with your Award (the “Withholding Taxes”). Specifically, pursuant to the Grant Notice and this Section 7, Participant hereby agrees to a “same day sale” commitment with a broker-dealer that is a member of the Financial Industry Regulatory Authority (a “ FINRA Dealer “) whereby the Agent is irrevocably authorized to sell a portion of the shares to be issued on the Settlement Date to satisfy the Withholding Taxes and whereby the FINRA Dealer will forward the proceeds necessary to satisfy the Withholding Taxes directly to the Company. If, for any reason, such “same day sale” commitment pursuant to Section 7 does not result in sufficient proceeds to satisfy the Withholding Taxes or would be prohibited by applicable law at the applicable time, Participant hereby authorizes the Company to satisfy the obligations with regard to all Withholding Taxes by one or a combination of the following: (a) withholding from any compensation otherwise payable to you by the Company; (b) causing you to tender a cash payment (which may be in the form of a check, electronic wire transfer or other method permitted by the Company); or (c) withholding a number of whole shares having a fair market value, as determined by the Company as of the date on which the tax withholding obligations arise, not in excess of the amount of such tax withholding obligations determined by the applicable minimum statutory withholding rates if required to avoid liability classification of the Award under generally accepted accounting principles in the United States.</w:t>
      </w:r>
    </w:p>
    <w:p>
      <w:pPr>
        <w:spacing w:after="0" w:line="181"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b w:val="1"/>
          <w:bCs w:val="1"/>
          <w:color w:val="auto"/>
        </w:rPr>
        <w:t xml:space="preserve">Sell to Cover. </w:t>
      </w:r>
      <w:r>
        <w:rPr>
          <w:rFonts w:ascii="Times New Roman" w:cs="Times New Roman" w:eastAsia="Times New Roman" w:hAnsi="Times New Roman"/>
          <w:sz w:val="21"/>
          <w:szCs w:val="21"/>
          <w:color w:val="auto"/>
        </w:rPr>
        <w:t>Participant by accepting this Award agrees to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w:t>
      </w:r>
    </w:p>
    <w:p>
      <w:pPr>
        <w:spacing w:after="0" w:line="182" w:lineRule="exact"/>
        <w:rPr>
          <w:sz w:val="20"/>
          <w:szCs w:val="20"/>
          <w:color w:val="auto"/>
        </w:rPr>
      </w:pPr>
    </w:p>
    <w:p>
      <w:pPr>
        <w:ind w:left="1500" w:firstLine="754"/>
        <w:spacing w:after="0" w:line="258" w:lineRule="auto"/>
        <w:tabs>
          <w:tab w:leader="none" w:pos="254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hereby appoints such FINRA Dealer appointed by the Company for purposes of this Section 7 as Participant’s agent (the “Agent”), and hereby authorizes the Agent to:</w:t>
      </w:r>
    </w:p>
    <w:p>
      <w:pPr>
        <w:spacing w:after="0" w:line="171" w:lineRule="exact"/>
        <w:rPr>
          <w:rFonts w:ascii="Times New Roman" w:cs="Times New Roman" w:eastAsia="Times New Roman" w:hAnsi="Times New Roman"/>
          <w:sz w:val="22"/>
          <w:szCs w:val="22"/>
          <w:color w:val="auto"/>
        </w:rPr>
      </w:pPr>
    </w:p>
    <w:p>
      <w:pPr>
        <w:jc w:val="both"/>
        <w:ind w:firstLine="3003"/>
        <w:spacing w:after="0"/>
        <w:tabs>
          <w:tab w:leader="none" w:pos="3564"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on the open market at the then prevailing market price(s), on Participant’s behalf, as soon as practicable on or after each Settlement Date on which shares of Stock are issued to the Participant, the number (rounded up to the next whole number) of the shares of Stock issued on the Settlement Date sufficient to generate proceeds to cover (A) the Withholding Taxes resulting from the issuance of such shares and (B) all applicable fees and commissions due to, or required to be collected by, the Agent with respect thereto; and</w:t>
      </w:r>
    </w:p>
    <w:p>
      <w:pPr>
        <w:spacing w:after="0" w:line="193"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Remit any remaining funds to the Participant.</w:t>
      </w:r>
    </w:p>
    <w:p>
      <w:pPr>
        <w:spacing w:after="0" w:line="206" w:lineRule="exact"/>
        <w:rPr>
          <w:rFonts w:ascii="Times New Roman" w:cs="Times New Roman" w:eastAsia="Times New Roman" w:hAnsi="Times New Roman"/>
          <w:sz w:val="22"/>
          <w:szCs w:val="22"/>
          <w:color w:val="auto"/>
        </w:rPr>
      </w:pPr>
    </w:p>
    <w:p>
      <w:pPr>
        <w:ind w:left="1500" w:right="20" w:firstLine="754"/>
        <w:spacing w:after="0" w:line="271" w:lineRule="auto"/>
        <w:tabs>
          <w:tab w:leader="none" w:pos="254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hereby authorizes the Company and the Agent to cooperate and communicate with one another to determine the number of Shares that must be sold pursuant to this Section 7.</w:t>
      </w:r>
    </w:p>
    <w:p>
      <w:pPr>
        <w:spacing w:after="0" w:line="144" w:lineRule="exact"/>
        <w:rPr>
          <w:rFonts w:ascii="Times New Roman" w:cs="Times New Roman" w:eastAsia="Times New Roman" w:hAnsi="Times New Roman"/>
          <w:sz w:val="22"/>
          <w:szCs w:val="22"/>
          <w:color w:val="auto"/>
        </w:rPr>
      </w:pPr>
    </w:p>
    <w:p>
      <w:pPr>
        <w:jc w:val="both"/>
        <w:ind w:left="1500" w:firstLine="754"/>
        <w:spacing w:after="0" w:line="250" w:lineRule="auto"/>
        <w:tabs>
          <w:tab w:leader="none" w:pos="254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understands that the Agent may effect sales as provided in this Section 7 in one or more sales and that the average price for executions resulting from bunched orders will be assigned to the Participant’s account. In addition, Participant acknowledges that it may not be possible to sell shares of</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3" w:name="page74"/>
    <w:bookmarkEnd w:id="73"/>
    <w:p>
      <w:pPr>
        <w:jc w:val="both"/>
        <w:ind w:left="1500"/>
        <w:spacing w:after="0" w:line="241" w:lineRule="auto"/>
        <w:rPr>
          <w:sz w:val="20"/>
          <w:szCs w:val="20"/>
          <w:color w:val="auto"/>
        </w:rPr>
      </w:pPr>
      <w:r>
        <w:rPr>
          <w:rFonts w:ascii="Times New Roman" w:cs="Times New Roman" w:eastAsia="Times New Roman" w:hAnsi="Times New Roman"/>
          <w:sz w:val="22"/>
          <w:szCs w:val="22"/>
          <w:color w:val="auto"/>
        </w:rPr>
        <w:t>Stock as provided by in this Section 7 due to (1) a legal or contractual restriction applicable to the Participant or the Agent, (2) a market disruption, or (3) rules governing order execution priority on the national exchange where the Stock may be traded. In the event of the Agent’s inability to sell shares of Stock, Participant will continue to be responsible for the timely payment to the Company of all Withholding Taxes and any other federal, state, local and foreign taxes that are required by applicable laws and regulations to be withheld, including but not limited to those amounts specified in this Section 7.</w:t>
      </w:r>
    </w:p>
    <w:p>
      <w:pPr>
        <w:spacing w:after="0" w:line="173" w:lineRule="exact"/>
        <w:rPr>
          <w:sz w:val="20"/>
          <w:szCs w:val="20"/>
          <w:color w:val="auto"/>
        </w:rPr>
      </w:pPr>
    </w:p>
    <w:p>
      <w:pPr>
        <w:ind w:left="1020" w:hanging="263"/>
        <w:spacing w:after="0"/>
        <w:tabs>
          <w:tab w:leader="none" w:pos="10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ffect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hange in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ontrol</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In the event of a Change in Control, the Award shall be subject to the definitive agreement entered into by the Company in connection with the Change in Control. Except to the extent that the Committee determines to cash out the Award in accordance with Section 13.1(c) of the Plan, the surviving, continuing, successor, or purchasing entity or parent thereof, as the case may be (the “</w:t>
      </w:r>
      <w:r>
        <w:rPr>
          <w:rFonts w:ascii="Times New Roman" w:cs="Times New Roman" w:eastAsia="Times New Roman" w:hAnsi="Times New Roman"/>
          <w:sz w:val="22"/>
          <w:szCs w:val="22"/>
          <w:b w:val="1"/>
          <w:bCs w:val="1"/>
          <w:i w:val="1"/>
          <w:iCs w:val="1"/>
          <w:color w:val="auto"/>
        </w:rPr>
        <w:t>Acquiror</w:t>
      </w:r>
      <w:r>
        <w:rPr>
          <w:rFonts w:ascii="Times New Roman" w:cs="Times New Roman" w:eastAsia="Times New Roman" w:hAnsi="Times New Roman"/>
          <w:sz w:val="22"/>
          <w:szCs w:val="22"/>
          <w:color w:val="auto"/>
        </w:rPr>
        <w:t>”), may, without the consent of the Participant, assume or continue in full force and effect the Company’s rights and obligations under all or any portion of the outstanding Units or substitute for all or any portion of the outstanding Units substantially equivalent rights with respect to the Acquiror’s stock. For purposes of this Section, a Unit shall be deemed assumed if, following the Change in Control, the Unit confers the right to receive, subject to the terms and conditions of the Plan and this Agreement,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with the consent of the Acquiror, provide for the consideration to be received upon settlement of the Unit to consist solely of common stock of the Acquiror equal in Fair Market Value to the per share consideration received by holders of Stock pursuant to the Change in Control. The Award shall terminate and cease to be outstanding effective as of the time of consummation of the Change in Control to the extent that Units subject to the Award are neither assumed or continued by the Acquiror in connection with the Change in Control nor settled as of the time of the Change in Control.</w:t>
      </w:r>
    </w:p>
    <w:p>
      <w:pPr>
        <w:spacing w:after="0" w:line="184" w:lineRule="exact"/>
        <w:rPr>
          <w:sz w:val="20"/>
          <w:szCs w:val="20"/>
          <w:color w:val="auto"/>
        </w:rPr>
      </w:pPr>
    </w:p>
    <w:p>
      <w:pPr>
        <w:ind w:left="1020" w:hanging="263"/>
        <w:spacing w:after="0"/>
        <w:tabs>
          <w:tab w:leader="none" w:pos="10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djustments for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apital</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tructure</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Subject to any required action by the stockholders of the Company and the requirements of Section 409A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4" w:name="page75"/>
    <w:bookmarkEnd w:id="74"/>
    <w:p>
      <w:pPr>
        <w:jc w:val="both"/>
        <w:spacing w:after="0" w:line="239" w:lineRule="auto"/>
        <w:rPr>
          <w:sz w:val="20"/>
          <w:szCs w:val="20"/>
          <w:color w:val="auto"/>
        </w:rPr>
      </w:pPr>
      <w:r>
        <w:rPr>
          <w:rFonts w:ascii="Times New Roman" w:cs="Times New Roman" w:eastAsia="Times New Roman" w:hAnsi="Times New Roman"/>
          <w:sz w:val="22"/>
          <w:szCs w:val="22"/>
          <w:color w:val="auto"/>
        </w:rPr>
        <w:t>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b w:val="1"/>
          <w:bCs w:val="1"/>
          <w:u w:val="single" w:color="auto"/>
          <w:color w:val="auto"/>
        </w:rPr>
        <w:t>R</w:t>
      </w:r>
      <w:r>
        <w:rPr>
          <w:rFonts w:ascii="Times New Roman" w:cs="Times New Roman" w:eastAsia="Times New Roman" w:hAnsi="Times New Roman"/>
          <w:sz w:val="14"/>
          <w:szCs w:val="14"/>
          <w:b w:val="1"/>
          <w:bCs w:val="1"/>
          <w:u w:val="single" w:color="auto"/>
          <w:color w:val="auto"/>
        </w:rPr>
        <w:t>ights as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w:t>
      </w:r>
      <w:r>
        <w:rPr>
          <w:rFonts w:ascii="Times New Roman" w:cs="Times New Roman" w:eastAsia="Times New Roman" w:hAnsi="Times New Roman"/>
          <w:sz w:val="14"/>
          <w:szCs w:val="14"/>
          <w:b w:val="1"/>
          <w:bCs w:val="1"/>
          <w:u w:val="single" w:color="auto"/>
          <w:color w:val="auto"/>
        </w:rPr>
        <w:t>tockholder</w:t>
      </w:r>
      <w:r>
        <w:rPr>
          <w:rFonts w:ascii="Times New Roman" w:cs="Times New Roman" w:eastAsia="Times New Roman" w:hAnsi="Times New Roman"/>
          <w:sz w:val="22"/>
          <w:szCs w:val="22"/>
          <w:b w:val="1"/>
          <w:bCs w:val="1"/>
          <w:u w:val="single" w:color="auto"/>
          <w:color w:val="auto"/>
        </w:rPr>
        <w:t>, D</w:t>
      </w:r>
      <w:r>
        <w:rPr>
          <w:rFonts w:ascii="Times New Roman" w:cs="Times New Roman" w:eastAsia="Times New Roman" w:hAnsi="Times New Roman"/>
          <w:sz w:val="14"/>
          <w:szCs w:val="14"/>
          <w:b w:val="1"/>
          <w:bCs w:val="1"/>
          <w:u w:val="single" w:color="auto"/>
          <w:color w:val="auto"/>
        </w:rPr>
        <w:t>irector</w:t>
      </w:r>
      <w:r>
        <w:rPr>
          <w:rFonts w:ascii="Times New Roman" w:cs="Times New Roman" w:eastAsia="Times New Roman" w:hAnsi="Times New Roman"/>
          <w:sz w:val="22"/>
          <w:szCs w:val="22"/>
          <w:b w:val="1"/>
          <w:bCs w:val="1"/>
          <w:u w:val="single" w:color="auto"/>
          <w:color w:val="auto"/>
        </w:rPr>
        <w:t>, E</w:t>
      </w:r>
      <w:r>
        <w:rPr>
          <w:rFonts w:ascii="Times New Roman" w:cs="Times New Roman" w:eastAsia="Times New Roman" w:hAnsi="Times New Roman"/>
          <w:sz w:val="14"/>
          <w:szCs w:val="14"/>
          <w:b w:val="1"/>
          <w:bCs w:val="1"/>
          <w:u w:val="single" w:color="auto"/>
          <w:color w:val="auto"/>
        </w:rPr>
        <w:t>mployee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onsultant</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1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b w:val="1"/>
          <w:bCs w:val="1"/>
          <w:u w:val="single" w:color="auto"/>
          <w:color w:val="auto"/>
        </w:rPr>
        <w:t>L</w:t>
      </w:r>
      <w:r>
        <w:rPr>
          <w:rFonts w:ascii="Times New Roman" w:cs="Times New Roman" w:eastAsia="Times New Roman" w:hAnsi="Times New Roman"/>
          <w:sz w:val="14"/>
          <w:szCs w:val="14"/>
          <w:b w:val="1"/>
          <w:bCs w:val="1"/>
          <w:u w:val="single" w:color="auto"/>
          <w:color w:val="auto"/>
        </w:rPr>
        <w:t>egends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The Company may at any time place legends referencing any applicable federal, state or foreign securities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ompliance with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409A.</w:t>
      </w:r>
    </w:p>
    <w:p>
      <w:pPr>
        <w:spacing w:after="0" w:line="210"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2"/>
          <w:szCs w:val="22"/>
          <w:color w:val="auto"/>
        </w:rPr>
        <w:t>It is intended that any election, payment or benefit which is made or provided pursuant to or in connection with this Award that may result in Section 409A Deferred Compensation shall comply in all respects with the applicable requirements of Section 409A (including applicable regulations or other administrative guidance thereunder, as determined by the Committee in good faith) to avoid the unfavorable tax consequences provided therein for non-compliance. In connection with effecting such compliance with Section 409A, the following shall apply:</w:t>
      </w:r>
    </w:p>
    <w:p>
      <w:pPr>
        <w:spacing w:after="0" w:line="173"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b w:val="1"/>
          <w:bCs w:val="1"/>
          <w:color w:val="auto"/>
        </w:rPr>
        <w:t>Separation from Service; Required Delay in Payment to Specified Employee.</w:t>
      </w:r>
      <w:r>
        <w:rPr>
          <w:rFonts w:ascii="Times New Roman" w:cs="Times New Roman" w:eastAsia="Times New Roman" w:hAnsi="Times New Roman"/>
          <w:sz w:val="22"/>
          <w:szCs w:val="22"/>
          <w:color w:val="auto"/>
        </w:rPr>
        <w:t xml:space="preserve"> Notwithstanding anything set forth herein to the contrary, no amount payable pursuant to this Agreement on account of the Participant’s termination of Service which constitutes a “deferral of compensation” within the meaning of the Treasury Regulations issued pursuant to Section 409A of the Code (the “</w:t>
      </w:r>
      <w:r>
        <w:rPr>
          <w:rFonts w:ascii="Times New Roman" w:cs="Times New Roman" w:eastAsia="Times New Roman" w:hAnsi="Times New Roman"/>
          <w:sz w:val="22"/>
          <w:szCs w:val="22"/>
          <w:b w:val="1"/>
          <w:bCs w:val="1"/>
          <w:i w:val="1"/>
          <w:iCs w:val="1"/>
          <w:color w:val="auto"/>
        </w:rPr>
        <w:t>Section 409A Regulations</w:t>
      </w:r>
      <w:r>
        <w:rPr>
          <w:rFonts w:ascii="Times New Roman" w:cs="Times New Roman" w:eastAsia="Times New Roman" w:hAnsi="Times New Roman"/>
          <w:sz w:val="22"/>
          <w:szCs w:val="22"/>
          <w:color w:val="auto"/>
        </w:rPr>
        <w:t>”) shall be paid unless and until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5" w:name="page76"/>
    <w:bookmarkEnd w:id="75"/>
    <w:p>
      <w:pPr>
        <w:jc w:val="both"/>
        <w:spacing w:after="0" w:line="239" w:lineRule="auto"/>
        <w:rPr>
          <w:sz w:val="20"/>
          <w:szCs w:val="20"/>
          <w:color w:val="auto"/>
        </w:rPr>
      </w:pPr>
      <w:r>
        <w:rPr>
          <w:rFonts w:ascii="Times New Roman" w:cs="Times New Roman" w:eastAsia="Times New Roman" w:hAnsi="Times New Roman"/>
          <w:sz w:val="22"/>
          <w:szCs w:val="22"/>
          <w:color w:val="auto"/>
        </w:rPr>
        <w:t>Participant has incurred a “separation from service” within the meaning of the Section 409A 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shall be paid to the Participant before the date (the “</w:t>
      </w:r>
      <w:r>
        <w:rPr>
          <w:rFonts w:ascii="Times New Roman" w:cs="Times New Roman" w:eastAsia="Times New Roman" w:hAnsi="Times New Roman"/>
          <w:sz w:val="22"/>
          <w:szCs w:val="22"/>
          <w:b w:val="1"/>
          <w:bCs w:val="1"/>
          <w:i w:val="1"/>
          <w:iCs w:val="1"/>
          <w:color w:val="auto"/>
        </w:rPr>
        <w:t>Delayed Payment Date</w:t>
      </w:r>
      <w:r>
        <w:rPr>
          <w:rFonts w:ascii="Times New Roman" w:cs="Times New Roman" w:eastAsia="Times New Roman" w:hAnsi="Times New Roman"/>
          <w:sz w:val="22"/>
          <w:szCs w:val="22"/>
          <w:color w:val="auto"/>
        </w:rPr>
        <w:t>”) which is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in a lump sum on the Delayed Payment Date.</w:t>
      </w:r>
    </w:p>
    <w:p>
      <w:pPr>
        <w:spacing w:after="0" w:line="190"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b w:val="1"/>
          <w:bCs w:val="1"/>
          <w:color w:val="auto"/>
        </w:rPr>
        <w:t>Other Changes in Time of Payment.</w:t>
      </w:r>
      <w:r>
        <w:rPr>
          <w:rFonts w:ascii="Times New Roman" w:cs="Times New Roman" w:eastAsia="Times New Roman" w:hAnsi="Times New Roman"/>
          <w:sz w:val="22"/>
          <w:szCs w:val="22"/>
          <w:color w:val="auto"/>
        </w:rPr>
        <w:t xml:space="preserve"> Neither the Participant nor the Company shall take any action to accelerate or delay the payment of any benefits under this Agreement in any manner which would not be in compliance with the Section 409A Regulations.</w:t>
      </w:r>
    </w:p>
    <w:p>
      <w:pPr>
        <w:spacing w:after="0" w:line="162"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22"/>
          <w:szCs w:val="22"/>
          <w:color w:val="auto"/>
        </w:rPr>
        <w:t xml:space="preserve">12.3 </w:t>
      </w:r>
      <w:r>
        <w:rPr>
          <w:rFonts w:ascii="Times New Roman" w:cs="Times New Roman" w:eastAsia="Times New Roman" w:hAnsi="Times New Roman"/>
          <w:sz w:val="22"/>
          <w:szCs w:val="22"/>
          <w:b w:val="1"/>
          <w:bCs w:val="1"/>
          <w:color w:val="auto"/>
        </w:rPr>
        <w:t>Amendments to Comply with Section 409A; Indemnification.</w:t>
      </w:r>
      <w:r>
        <w:rPr>
          <w:rFonts w:ascii="Times New Roman" w:cs="Times New Roman" w:eastAsia="Times New Roman" w:hAnsi="Times New Roman"/>
          <w:sz w:val="22"/>
          <w:szCs w:val="22"/>
          <w:color w:val="auto"/>
        </w:rPr>
        <w:t xml:space="preserve"> Notwithstanding any other provision of this Agreement to the contrary, 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or appropriate to comply with the Section 409A Regulations without prior notice to or consent of the Participant.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w:t>
      </w:r>
    </w:p>
    <w:p>
      <w:pPr>
        <w:spacing w:after="0" w:line="177"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2"/>
          <w:szCs w:val="22"/>
          <w:color w:val="auto"/>
        </w:rPr>
        <w:t xml:space="preserve">12.4 </w:t>
      </w:r>
      <w:r>
        <w:rPr>
          <w:rFonts w:ascii="Times New Roman" w:cs="Times New Roman" w:eastAsia="Times New Roman" w:hAnsi="Times New Roman"/>
          <w:sz w:val="22"/>
          <w:szCs w:val="22"/>
          <w:b w:val="1"/>
          <w:bCs w:val="1"/>
          <w:color w:val="auto"/>
        </w:rPr>
        <w:t>Advice of Independent Tax Advisor.</w:t>
      </w:r>
      <w:r>
        <w:rPr>
          <w:rFonts w:ascii="Times New Roman" w:cs="Times New Roman" w:eastAsia="Times New Roman" w:hAnsi="Times New Roman"/>
          <w:sz w:val="22"/>
          <w:szCs w:val="22"/>
          <w:color w:val="auto"/>
        </w:rPr>
        <w:t xml:space="preserve"> The Company has not obtained a tax ruling or other confirmation 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b w:val="1"/>
          <w:bCs w:val="1"/>
          <w:u w:val="single" w:color="auto"/>
          <w:color w:val="auto"/>
        </w:rPr>
        <w:t>M</w:t>
      </w:r>
      <w:r>
        <w:rPr>
          <w:rFonts w:ascii="Times New Roman" w:cs="Times New Roman" w:eastAsia="Times New Roman" w:hAnsi="Times New Roman"/>
          <w:sz w:val="14"/>
          <w:szCs w:val="14"/>
          <w:b w:val="1"/>
          <w:bCs w:val="1"/>
          <w:u w:val="single" w:color="auto"/>
          <w:color w:val="auto"/>
        </w:rPr>
        <w:t>iscellaneous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w:t>
      </w:r>
      <w:r>
        <w:rPr>
          <w:rFonts w:ascii="Times New Roman" w:cs="Times New Roman" w:eastAsia="Times New Roman" w:hAnsi="Times New Roman"/>
          <w:sz w:val="14"/>
          <w:szCs w:val="14"/>
          <w:b w:val="1"/>
          <w:bCs w:val="1"/>
          <w:u w:val="single" w:color="auto"/>
          <w:color w:val="auto"/>
        </w:rPr>
        <w:t>rovisions</w:t>
      </w:r>
      <w:r>
        <w:rPr>
          <w:rFonts w:ascii="Times New Roman" w:cs="Times New Roman" w:eastAsia="Times New Roman" w:hAnsi="Times New Roman"/>
          <w:sz w:val="22"/>
          <w:szCs w:val="22"/>
          <w:b w:val="1"/>
          <w:bCs w:val="1"/>
          <w:color w:val="auto"/>
        </w:rPr>
        <w:t>.</w:t>
      </w:r>
    </w:p>
    <w:p>
      <w:pPr>
        <w:spacing w:after="0" w:line="220"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b w:val="1"/>
          <w:bCs w:val="1"/>
          <w:color w:val="auto"/>
        </w:rPr>
        <w:t>Termination or Amendment.</w:t>
      </w:r>
      <w:r>
        <w:rPr>
          <w:rFonts w:ascii="Times New Roman" w:cs="Times New Roman" w:eastAsia="Times New Roman" w:hAnsi="Times New Roman"/>
          <w:sz w:val="22"/>
          <w:szCs w:val="22"/>
          <w:color w:val="auto"/>
        </w:rPr>
        <w:t xml:space="preserve"> The Committee may terminate or amend the Plan or this Agreement at any time; provided, however, that except as provided in Section 8 in connection with a Change in Control, no such termination or amendment may have a materially adverse effect on the Participant’s rights under this Agreement without the consent of the Participant unless such termination or amendment is necessary to comply with applicable law or government regulation, including, but not limited to, Section 409A. No amendment or addition to this Agreement shall be effective unless in writing.</w:t>
      </w:r>
    </w:p>
    <w:p>
      <w:pPr>
        <w:spacing w:after="0" w:line="188"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b w:val="1"/>
          <w:bCs w:val="1"/>
          <w:color w:val="auto"/>
        </w:rPr>
        <w:t>Nontransferability of the Award.</w:t>
      </w:r>
      <w:r>
        <w:rPr>
          <w:rFonts w:ascii="Times New Roman" w:cs="Times New Roman" w:eastAsia="Times New Roman" w:hAnsi="Times New Roman"/>
          <w:sz w:val="22"/>
          <w:szCs w:val="22"/>
          <w:color w:val="auto"/>
        </w:rPr>
        <w:t xml:space="preserve"> Prior to the issuance of shares of Stock on the applicable Settlement Date, neither this Award nor any Units subject to this Award shall be subject in any manner to anticipation, alienation, sale, exchange, transfer, assignment, pledge,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6" w:name="page77"/>
    <w:bookmarkEnd w:id="76"/>
    <w:p>
      <w:pPr>
        <w:jc w:val="both"/>
        <w:spacing w:after="0" w:line="250" w:lineRule="auto"/>
        <w:rPr>
          <w:sz w:val="20"/>
          <w:szCs w:val="20"/>
          <w:color w:val="auto"/>
        </w:rPr>
      </w:pPr>
      <w:r>
        <w:rPr>
          <w:rFonts w:ascii="Times New Roman" w:cs="Times New Roman" w:eastAsia="Times New Roman" w:hAnsi="Times New Roman"/>
          <w:sz w:val="22"/>
          <w:szCs w:val="22"/>
          <w:color w:val="auto"/>
        </w:rPr>
        <w:t>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64" w:lineRule="exact"/>
        <w:rPr>
          <w:sz w:val="20"/>
          <w:szCs w:val="20"/>
          <w:color w:val="auto"/>
        </w:rPr>
      </w:pPr>
    </w:p>
    <w:p>
      <w:pPr>
        <w:jc w:val="both"/>
        <w:ind w:right="20" w:firstLine="1497"/>
        <w:spacing w:after="0" w:line="275" w:lineRule="auto"/>
        <w:rPr>
          <w:sz w:val="20"/>
          <w:szCs w:val="20"/>
          <w:color w:val="auto"/>
        </w:rPr>
      </w:pPr>
      <w:r>
        <w:rPr>
          <w:rFonts w:ascii="Times New Roman" w:cs="Times New Roman" w:eastAsia="Times New Roman" w:hAnsi="Times New Roman"/>
          <w:sz w:val="22"/>
          <w:szCs w:val="22"/>
          <w:color w:val="auto"/>
        </w:rPr>
        <w:t xml:space="preserve">13.3 </w:t>
      </w:r>
      <w:r>
        <w:rPr>
          <w:rFonts w:ascii="Times New Roman" w:cs="Times New Roman" w:eastAsia="Times New Roman" w:hAnsi="Times New Roman"/>
          <w:sz w:val="22"/>
          <w:szCs w:val="22"/>
          <w:b w:val="1"/>
          <w:bCs w:val="1"/>
          <w:color w:val="auto"/>
        </w:rPr>
        <w:t>Further Instruments.</w:t>
      </w:r>
      <w:r>
        <w:rPr>
          <w:rFonts w:ascii="Times New Roman" w:cs="Times New Roman" w:eastAsia="Times New Roman" w:hAnsi="Times New Roman"/>
          <w:sz w:val="22"/>
          <w:szCs w:val="22"/>
          <w:color w:val="auto"/>
        </w:rPr>
        <w:t xml:space="preserve"> The parties hereto agree to execute such further instruments and to take such further action as may reasonably be necessary to carry out the intent of this Agreement.</w:t>
      </w:r>
    </w:p>
    <w:p>
      <w:pPr>
        <w:spacing w:after="0" w:line="136"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22"/>
          <w:szCs w:val="22"/>
          <w:color w:val="auto"/>
        </w:rPr>
        <w:t xml:space="preserve">13.4 </w:t>
      </w:r>
      <w:r>
        <w:rPr>
          <w:rFonts w:ascii="Times New Roman" w:cs="Times New Roman" w:eastAsia="Times New Roman" w:hAnsi="Times New Roman"/>
          <w:sz w:val="22"/>
          <w:szCs w:val="22"/>
          <w:b w:val="1"/>
          <w:bCs w:val="1"/>
          <w:color w:val="auto"/>
        </w:rPr>
        <w:t>Binding Effect.</w:t>
      </w:r>
      <w:r>
        <w:rPr>
          <w:rFonts w:ascii="Times New Roman" w:cs="Times New Roman" w:eastAsia="Times New Roman" w:hAnsi="Times New Roman"/>
          <w:sz w:val="22"/>
          <w:szCs w:val="22"/>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62"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22"/>
          <w:szCs w:val="22"/>
          <w:color w:val="auto"/>
        </w:rPr>
        <w:t xml:space="preserve">13.5 </w:t>
      </w:r>
      <w:r>
        <w:rPr>
          <w:rFonts w:ascii="Times New Roman" w:cs="Times New Roman" w:eastAsia="Times New Roman" w:hAnsi="Times New Roman"/>
          <w:sz w:val="22"/>
          <w:szCs w:val="22"/>
          <w:b w:val="1"/>
          <w:bCs w:val="1"/>
          <w:color w:val="auto"/>
        </w:rPr>
        <w:t>Delivery of Documents and Notices.</w:t>
      </w:r>
      <w:r>
        <w:rPr>
          <w:rFonts w:ascii="Times New Roman" w:cs="Times New Roman" w:eastAsia="Times New Roman" w:hAnsi="Times New Roman"/>
          <w:sz w:val="22"/>
          <w:szCs w:val="22"/>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85" w:lineRule="exact"/>
        <w:rPr>
          <w:sz w:val="20"/>
          <w:szCs w:val="20"/>
          <w:color w:val="auto"/>
        </w:rPr>
      </w:pPr>
    </w:p>
    <w:p>
      <w:pPr>
        <w:ind w:left="2560" w:hanging="306"/>
        <w:spacing w:after="0"/>
        <w:tabs>
          <w:tab w:leader="none" w:pos="256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Description of Electronic Delivery and Signature. </w:t>
      </w:r>
      <w:r>
        <w:rPr>
          <w:rFonts w:ascii="Times New Roman" w:cs="Times New Roman" w:eastAsia="Times New Roman" w:hAnsi="Times New Roman"/>
          <w:sz w:val="21"/>
          <w:szCs w:val="21"/>
          <w:color w:val="auto"/>
        </w:rPr>
        <w:t>The Plan documents, which may include but do</w:t>
      </w:r>
    </w:p>
    <w:p>
      <w:pPr>
        <w:spacing w:after="0" w:line="31" w:lineRule="exact"/>
        <w:rPr>
          <w:rFonts w:ascii="Times New Roman" w:cs="Times New Roman" w:eastAsia="Times New Roman" w:hAnsi="Times New Roman"/>
          <w:sz w:val="21"/>
          <w:szCs w:val="21"/>
          <w:color w:val="auto"/>
        </w:rPr>
      </w:pPr>
    </w:p>
    <w:p>
      <w:pPr>
        <w:jc w:val="both"/>
        <w:spacing w:after="0" w:line="23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not necessarily include: the Plan,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spacing w:after="0" w:line="171" w:lineRule="exact"/>
        <w:rPr>
          <w:rFonts w:ascii="Times New Roman" w:cs="Times New Roman" w:eastAsia="Times New Roman" w:hAnsi="Times New Roman"/>
          <w:sz w:val="21"/>
          <w:szCs w:val="21"/>
          <w:color w:val="auto"/>
        </w:rPr>
      </w:pPr>
    </w:p>
    <w:p>
      <w:pPr>
        <w:jc w:val="both"/>
        <w:ind w:firstLine="2254"/>
        <w:spacing w:after="0" w:line="252" w:lineRule="auto"/>
        <w:tabs>
          <w:tab w:leader="none" w:pos="254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Consent to Electronic Delivery and Signature. </w:t>
      </w:r>
      <w:r>
        <w:rPr>
          <w:rFonts w:ascii="Times New Roman" w:cs="Times New Roman" w:eastAsia="Times New Roman" w:hAnsi="Times New Roman"/>
          <w:sz w:val="21"/>
          <w:szCs w:val="21"/>
          <w:color w:val="auto"/>
        </w:rPr>
        <w:t>The Participant acknowledges that the Participant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has read Section 13.5(a) of this Agreement and consents to the electronic delivery of the Plan documents and, if permitted by the Company, the delivery of the Grant Notice, as described in Section 13.5(a).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7" w:name="page78"/>
    <w:bookmarkEnd w:id="77"/>
    <w:p>
      <w:pPr>
        <w:jc w:val="both"/>
        <w:spacing w:after="0" w:line="243" w:lineRule="auto"/>
        <w:rPr>
          <w:sz w:val="20"/>
          <w:szCs w:val="20"/>
          <w:color w:val="auto"/>
        </w:rPr>
      </w:pPr>
      <w:r>
        <w:rPr>
          <w:rFonts w:ascii="Times New Roman" w:cs="Times New Roman" w:eastAsia="Times New Roman" w:hAnsi="Times New Roman"/>
          <w:sz w:val="22"/>
          <w:szCs w:val="22"/>
          <w:color w:val="auto"/>
        </w:rPr>
        <w:t>attempted electronic delivery of such documents fails. The Participant may revoke his or her consent to the electronic delivery of documents described in Section 13.5(a)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173"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2"/>
          <w:szCs w:val="22"/>
          <w:color w:val="auto"/>
        </w:rPr>
        <w:t xml:space="preserve">13.6 </w:t>
      </w:r>
      <w:r>
        <w:rPr>
          <w:rFonts w:ascii="Times New Roman" w:cs="Times New Roman" w:eastAsia="Times New Roman" w:hAnsi="Times New Roman"/>
          <w:sz w:val="22"/>
          <w:szCs w:val="22"/>
          <w:b w:val="1"/>
          <w:bCs w:val="1"/>
          <w:color w:val="auto"/>
        </w:rPr>
        <w:t>Integrated Agreement.</w:t>
      </w:r>
      <w:r>
        <w:rPr>
          <w:rFonts w:ascii="Times New Roman" w:cs="Times New Roman" w:eastAsia="Times New Roman" w:hAnsi="Times New Roman"/>
          <w:sz w:val="22"/>
          <w:szCs w:val="22"/>
          <w:color w:val="auto"/>
        </w:rPr>
        <w:t xml:space="preserve"> The Grant Notice, this Agreement and the Plan, together with the Superseding Agreement, if any,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170" w:lineRule="exact"/>
        <w:rPr>
          <w:sz w:val="20"/>
          <w:szCs w:val="20"/>
          <w:color w:val="auto"/>
        </w:rPr>
      </w:pPr>
    </w:p>
    <w:p>
      <w:pPr>
        <w:jc w:val="both"/>
        <w:ind w:right="20" w:firstLine="1497"/>
        <w:spacing w:after="0" w:line="275" w:lineRule="auto"/>
        <w:rPr>
          <w:sz w:val="20"/>
          <w:szCs w:val="20"/>
          <w:color w:val="auto"/>
        </w:rPr>
      </w:pPr>
      <w:r>
        <w:rPr>
          <w:rFonts w:ascii="Times New Roman" w:cs="Times New Roman" w:eastAsia="Times New Roman" w:hAnsi="Times New Roman"/>
          <w:sz w:val="22"/>
          <w:szCs w:val="22"/>
          <w:color w:val="auto"/>
        </w:rPr>
        <w:t xml:space="preserve">13.7 </w:t>
      </w: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xml:space="preserve"> This Agreement shall be governed by the laws of the State of Delaware as such laws are applied to agreements between Delaware residents entered into and to be performed entirely within the State of Delaware.</w:t>
      </w:r>
    </w:p>
    <w:p>
      <w:pPr>
        <w:spacing w:after="0" w:line="136"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 xml:space="preserve">13.8 </w:t>
      </w: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xml:space="preserve"> The Grant Notice may be executed in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PALOMAR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NOTICE OF GRANT OF RESTRICTED STOCK UNITS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U.S. Participants)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Palomar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to the Participant an award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of certain units pursuant to the Palomar Holdings,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each of which represents the right to receive on the applicable Settlement Date one (1) share of Stock,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5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Employee ID:</w:t>
            </w:r>
          </w:p>
        </w:tc>
        <w:tc>
          <w:tcPr>
            <w:tcW w:w="5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Grant:</w:t>
            </w:r>
          </w:p>
        </w:tc>
        <w:tc>
          <w:tcPr>
            <w:tcW w:w="5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Number of Units:</w:t>
            </w:r>
          </w:p>
        </w:tc>
        <w:tc>
          <w:tcPr>
            <w:tcW w:w="7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TOTAL_SHARES_GRANTED,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p>
        </w:tc>
        <w:tc>
          <w:tcPr>
            <w:tcW w:w="7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b w:val="1"/>
                <w:bCs w:val="1"/>
                <w:i w:val="1"/>
                <w:iCs w:val="1"/>
                <w:color w:val="auto"/>
              </w:rPr>
              <w:t>Unit</w:t>
            </w:r>
            <w:r>
              <w:rPr>
                <w:rFonts w:ascii="Times New Roman" w:cs="Times New Roman" w:eastAsia="Times New Roman" w:hAnsi="Times New Roman"/>
                <w:sz w:val="18"/>
                <w:szCs w:val="18"/>
                <w:color w:val="auto"/>
              </w:rPr>
              <w:t>”), subject to adjustment as provided by the Restricted Stock Units Agreement.</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 Date:</w:t>
            </w:r>
          </w:p>
        </w:tc>
        <w:tc>
          <w:tcPr>
            <w:tcW w:w="898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Except as provided by the Restricted Stock Units Agreement (the “Agreement”), the date on which a Unit becomes a</w:t>
            </w:r>
          </w:p>
        </w:tc>
        <w:tc>
          <w:tcPr>
            <w:tcW w:w="0" w:type="dxa"/>
            <w:vAlign w:val="bottom"/>
          </w:tcPr>
          <w:p>
            <w:pPr>
              <w:spacing w:after="0"/>
              <w:rPr>
                <w:sz w:val="1"/>
                <w:szCs w:val="1"/>
                <w:color w:val="auto"/>
              </w:rPr>
            </w:pPr>
          </w:p>
        </w:tc>
      </w:tr>
      <w:tr>
        <w:trPr>
          <w:trHeight w:val="214"/>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Vesting Start Date:</w:t>
            </w:r>
          </w:p>
        </w:tc>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 Unit.</w:t>
            </w:r>
          </w:p>
        </w:tc>
        <w:tc>
          <w:tcPr>
            <w:tcW w:w="800" w:type="dxa"/>
            <w:vAlign w:val="bottom"/>
            <w:tcBorders>
              <w:top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3"/>
        </w:trPr>
        <w:tc>
          <w:tcPr>
            <w:tcW w:w="2260" w:type="dxa"/>
            <w:vAlign w:val="bottom"/>
            <w:vMerge w:val="continue"/>
          </w:tcPr>
          <w:p>
            <w:pPr>
              <w:spacing w:after="0"/>
              <w:rPr>
                <w:sz w:val="24"/>
                <w:szCs w:val="24"/>
                <w:color w:val="auto"/>
              </w:rPr>
            </w:pPr>
          </w:p>
        </w:tc>
        <w:tc>
          <w:tcPr>
            <w:tcW w:w="5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Vested Units:</w:t>
            </w:r>
          </w:p>
        </w:tc>
        <w:tc>
          <w:tcPr>
            <w:tcW w:w="898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Subject to the provisions in the Agreement, provided that the Participant’s Service has not terminated, the number of</w:t>
            </w:r>
          </w:p>
        </w:tc>
        <w:tc>
          <w:tcPr>
            <w:tcW w:w="0" w:type="dxa"/>
            <w:vAlign w:val="bottom"/>
          </w:tcPr>
          <w:p>
            <w:pPr>
              <w:spacing w:after="0"/>
              <w:rPr>
                <w:sz w:val="1"/>
                <w:szCs w:val="1"/>
                <w:color w:val="auto"/>
              </w:rPr>
            </w:pPr>
          </w:p>
        </w:tc>
      </w:tr>
      <w:tr>
        <w:trPr>
          <w:trHeight w:val="185"/>
        </w:trPr>
        <w:tc>
          <w:tcPr>
            <w:tcW w:w="2260" w:type="dxa"/>
            <w:vAlign w:val="bottom"/>
          </w:tcPr>
          <w:p>
            <w:pPr>
              <w:spacing w:after="0"/>
              <w:rPr>
                <w:sz w:val="16"/>
                <w:szCs w:val="16"/>
                <w:color w:val="auto"/>
              </w:rPr>
            </w:pPr>
          </w:p>
        </w:tc>
        <w:tc>
          <w:tcPr>
            <w:tcW w:w="8980" w:type="dxa"/>
            <w:vAlign w:val="bottom"/>
            <w:gridSpan w:val="6"/>
          </w:tcPr>
          <w:p>
            <w:pPr>
              <w:ind w:left="360"/>
              <w:spacing w:after="0" w:line="185" w:lineRule="exact"/>
              <w:rPr>
                <w:sz w:val="20"/>
                <w:szCs w:val="20"/>
                <w:color w:val="auto"/>
              </w:rPr>
            </w:pPr>
            <w:r>
              <w:rPr>
                <w:rFonts w:ascii="Times New Roman" w:cs="Times New Roman" w:eastAsia="Times New Roman" w:hAnsi="Times New Roman"/>
                <w:sz w:val="18"/>
                <w:szCs w:val="18"/>
                <w:color w:val="auto"/>
              </w:rPr>
              <w:t>Vested Units (disregarding any resulting fractional Unit) as of any date is determined by multiplying the Total Number</w:t>
            </w: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p>
        </w:tc>
        <w:tc>
          <w:tcPr>
            <w:tcW w:w="7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of Units by the “</w:t>
            </w:r>
            <w:r>
              <w:rPr>
                <w:rFonts w:ascii="Times New Roman" w:cs="Times New Roman" w:eastAsia="Times New Roman" w:hAnsi="Times New Roman"/>
                <w:sz w:val="18"/>
                <w:szCs w:val="18"/>
                <w:b w:val="1"/>
                <w:bCs w:val="1"/>
                <w:i w:val="1"/>
                <w:iCs w:val="1"/>
                <w:color w:val="auto"/>
              </w:rPr>
              <w:t>Vested Ratio</w:t>
            </w:r>
            <w:r>
              <w:rPr>
                <w:rFonts w:ascii="Times New Roman" w:cs="Times New Roman" w:eastAsia="Times New Roman" w:hAnsi="Times New Roman"/>
                <w:sz w:val="18"/>
                <w:szCs w:val="18"/>
                <w:color w:val="auto"/>
              </w:rPr>
              <w:t>” determined as of such date, as follows: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260" w:type="dxa"/>
            <w:vAlign w:val="bottom"/>
          </w:tcPr>
          <w:p>
            <w:pPr>
              <w:spacing w:after="0"/>
              <w:rPr>
                <w:sz w:val="24"/>
                <w:szCs w:val="24"/>
                <w:color w:val="auto"/>
              </w:rPr>
            </w:pPr>
          </w:p>
        </w:tc>
        <w:tc>
          <w:tcPr>
            <w:tcW w:w="73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Prior to first year anniversary of the Date of Grant</w:t>
            </w:r>
          </w:p>
        </w:tc>
        <w:tc>
          <w:tcPr>
            <w:tcW w:w="16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Vested Ratio</w:t>
            </w: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736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260" w:type="dxa"/>
            <w:vAlign w:val="bottom"/>
          </w:tcPr>
          <w:p>
            <w:pPr>
              <w:spacing w:after="0"/>
              <w:rPr>
                <w:sz w:val="24"/>
                <w:szCs w:val="24"/>
                <w:color w:val="auto"/>
              </w:rPr>
            </w:pPr>
          </w:p>
        </w:tc>
        <w:tc>
          <w:tcPr>
            <w:tcW w:w="7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On first year anniversary of the Date of Grant</w:t>
            </w:r>
          </w:p>
        </w:tc>
        <w:tc>
          <w:tcPr>
            <w:tcW w:w="12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5"/>
              </w:rPr>
              <w:t>1/3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60" w:type="dxa"/>
            <w:vAlign w:val="bottom"/>
          </w:tcPr>
          <w:p>
            <w:pPr>
              <w:spacing w:after="0"/>
              <w:rPr>
                <w:sz w:val="24"/>
                <w:szCs w:val="24"/>
                <w:color w:val="auto"/>
              </w:rPr>
            </w:pPr>
          </w:p>
        </w:tc>
        <w:tc>
          <w:tcPr>
            <w:tcW w:w="7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On second year anniversary of the Date of Grant</w:t>
            </w:r>
          </w:p>
        </w:tc>
        <w:tc>
          <w:tcPr>
            <w:tcW w:w="12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5"/>
              </w:rPr>
              <w:t>1/3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60" w:type="dxa"/>
            <w:vAlign w:val="bottom"/>
          </w:tcPr>
          <w:p>
            <w:pPr>
              <w:spacing w:after="0"/>
              <w:rPr>
                <w:sz w:val="24"/>
                <w:szCs w:val="24"/>
                <w:color w:val="auto"/>
              </w:rPr>
            </w:pPr>
          </w:p>
        </w:tc>
        <w:tc>
          <w:tcPr>
            <w:tcW w:w="7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On third year anniversary of the Date of Grant</w:t>
            </w:r>
          </w:p>
        </w:tc>
        <w:tc>
          <w:tcPr>
            <w:tcW w:w="12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5"/>
              </w:rPr>
              <w:t>1/3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Superseding Agreement:</w:t>
            </w:r>
          </w:p>
        </w:tc>
        <w:tc>
          <w:tcPr>
            <w:tcW w:w="7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None</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2260" w:right="460" w:hanging="2245"/>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Tax Withholding: </w:t>
      </w:r>
      <w:r>
        <w:rPr>
          <w:rFonts w:ascii="Times New Roman" w:cs="Times New Roman" w:eastAsia="Times New Roman" w:hAnsi="Times New Roman"/>
          <w:sz w:val="18"/>
          <w:szCs w:val="18"/>
          <w:color w:val="auto"/>
        </w:rPr>
        <w:t>All tax withholding obligations shall be satisfied by deducting from the shares of Stock otherwise deliverable to the Participant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settlement of the Award as permitted by Section 7.2 of the Agreement.</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By their signatures below or by electronic acceptance or authentication in a form authorized by the Company, the Company and the Participant agree that the Award is governed by this Grant Notice and by the provisions of the Restricted Stock Units Agreement and the Plan, both of which are made a part of this document, and by the Superseding Agreement, if any. The Participant acknowledges that copies of the Plan, the Restricted Stock Units Agreement and the prospectus for the Plan are available on the Company’s internal web site and may be viewed and printed by the Participant for attachment to the Participant’s copy of this Grant Notice. The Participant represents that the Participant has read and is familiar with the provisions of the Restricted Stock Units Agreement and the Plan, and hereby accepts the Award subject to all of their terms and conditions.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PALOMAR HOLDINGS, INC.</w:t>
            </w:r>
          </w:p>
        </w:tc>
        <w:tc>
          <w:tcPr>
            <w:tcW w:w="2940" w:type="dxa"/>
            <w:vAlign w:val="bottom"/>
          </w:tcPr>
          <w:p>
            <w:pPr>
              <w:ind w:left="1760"/>
              <w:spacing w:after="0"/>
              <w:rPr>
                <w:sz w:val="20"/>
                <w:szCs w:val="20"/>
                <w:color w:val="auto"/>
              </w:rPr>
            </w:pPr>
            <w:r>
              <w:rPr>
                <w:rFonts w:ascii="Times New Roman" w:cs="Times New Roman" w:eastAsia="Times New Roman" w:hAnsi="Times New Roman"/>
                <w:sz w:val="18"/>
                <w:szCs w:val="18"/>
                <w:color w:val="auto"/>
                <w:w w:val="99"/>
              </w:rPr>
              <w:t>PARTICIPANT</w:t>
            </w:r>
          </w:p>
        </w:tc>
      </w:tr>
      <w:tr>
        <w:trPr>
          <w:trHeight w:val="338"/>
        </w:trPr>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Mac Armstrong</w:t>
            </w:r>
          </w:p>
        </w:tc>
        <w:tc>
          <w:tcPr>
            <w:tcW w:w="29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Signature:</w:t>
            </w:r>
          </w:p>
        </w:tc>
      </w:tr>
      <w:tr>
        <w:trPr>
          <w:trHeight w:val="228"/>
        </w:trPr>
        <w:tc>
          <w:tcPr>
            <w:tcW w:w="260" w:type="dxa"/>
            <w:vAlign w:val="bottom"/>
          </w:tcPr>
          <w:p>
            <w:pPr>
              <w:spacing w:after="0"/>
              <w:rPr>
                <w:sz w:val="19"/>
                <w:szCs w:val="19"/>
                <w:color w:val="auto"/>
              </w:rPr>
            </w:pPr>
          </w:p>
        </w:tc>
        <w:tc>
          <w:tcPr>
            <w:tcW w:w="1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Mac Armstrong</w:t>
            </w:r>
          </w:p>
        </w:tc>
        <w:tc>
          <w:tcPr>
            <w:tcW w:w="1560" w:type="dxa"/>
            <w:vAlign w:val="bottom"/>
          </w:tcPr>
          <w:p>
            <w:pPr>
              <w:spacing w:after="0"/>
              <w:rPr>
                <w:sz w:val="19"/>
                <w:szCs w:val="19"/>
                <w:color w:val="auto"/>
              </w:rPr>
            </w:pPr>
          </w:p>
        </w:tc>
        <w:tc>
          <w:tcPr>
            <w:tcW w:w="2940" w:type="dxa"/>
            <w:vAlign w:val="bottom"/>
          </w:tcPr>
          <w:p>
            <w:pPr>
              <w:spacing w:after="0"/>
              <w:rPr>
                <w:sz w:val="19"/>
                <w:szCs w:val="19"/>
                <w:color w:val="auto"/>
              </w:rPr>
            </w:pPr>
          </w:p>
        </w:tc>
      </w:tr>
    </w:tbl>
    <w:p>
      <w:pPr>
        <w:spacing w:after="0" w:line="2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1628771391.1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9" w:name="page80"/>
    <w:bookmarkEnd w:id="79"/>
    <w:p>
      <w:pPr>
        <w:ind w:left="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139"/>
          </w:cols>
          <w:pgMar w:left="320" w:top="1404" w:right="1440" w:bottom="1440" w:gutter="0" w:footer="0" w:header="0"/>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7979 Ivanhoe Avenue, Suite 500</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La Jolla, CA 92037</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10" w:lineRule="exact"/>
        <w:rPr>
          <w:sz w:val="20"/>
          <w:szCs w:val="20"/>
          <w:color w:val="auto"/>
        </w:rPr>
      </w:pPr>
    </w:p>
    <w:p>
      <w:pPr>
        <w:sectPr>
          <w:pgSz w:w="11900" w:h="16838" w:orient="portrait"/>
          <w:cols w:equalWidth="0" w:num="2">
            <w:col w:w="3620" w:space="720"/>
            <w:col w:w="5799"/>
          </w:cols>
          <w:pgMar w:left="320" w:top="1404" w:right="1440" w:bottom="1440" w:gutter="0" w:footer="0" w:header="0"/>
          <w:type w:val="continuous"/>
        </w:sectPr>
      </w:pPr>
    </w:p>
    <w:p>
      <w:pPr>
        <w:spacing w:after="0" w:line="227" w:lineRule="auto"/>
        <w:rPr>
          <w:sz w:val="20"/>
          <w:szCs w:val="20"/>
          <w:color w:val="auto"/>
        </w:rPr>
      </w:pPr>
      <w:r>
        <w:rPr>
          <w:rFonts w:ascii="Times New Roman" w:cs="Times New Roman" w:eastAsia="Times New Roman" w:hAnsi="Times New Roman"/>
          <w:sz w:val="18"/>
          <w:szCs w:val="18"/>
          <w:color w:val="auto"/>
        </w:rPr>
        <w:t>ATTACHMENTS: 2019 Equity Incentive Plan, as amended to the Date of Grant; Restricted Stock Units Agreement and Plan Prospectus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1628771391.1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type w:val="continuous"/>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PALOMAR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RESTRICTED STOCK UNITS AGREEMENT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 U.S. Participants)</w:t>
      </w:r>
    </w:p>
    <w:p>
      <w:pPr>
        <w:spacing w:after="0" w:line="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Palomar Holdings, Inc. has granted to the Participant named in the </w:t>
      </w:r>
      <w:r>
        <w:rPr>
          <w:rFonts w:ascii="Times New Roman" w:cs="Times New Roman" w:eastAsia="Times New Roman" w:hAnsi="Times New Roman"/>
          <w:sz w:val="22"/>
          <w:szCs w:val="22"/>
          <w:i w:val="1"/>
          <w:iCs w:val="1"/>
          <w:color w:val="auto"/>
        </w:rPr>
        <w:t>Notice of Grant of Restricted Stock Units</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Grant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Notice</w:t>
      </w:r>
      <w:r>
        <w:rPr>
          <w:rFonts w:ascii="Times New Roman" w:cs="Times New Roman" w:eastAsia="Times New Roman" w:hAnsi="Times New Roman"/>
          <w:sz w:val="22"/>
          <w:szCs w:val="22"/>
          <w:color w:val="auto"/>
        </w:rPr>
        <w:t>”) to which this Restricted Stock Units Agreement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attached an Award consisting of Restricted Stock</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Units (each a “</w:t>
      </w:r>
      <w:r>
        <w:rPr>
          <w:rFonts w:ascii="Times New Roman" w:cs="Times New Roman" w:eastAsia="Times New Roman" w:hAnsi="Times New Roman"/>
          <w:sz w:val="22"/>
          <w:szCs w:val="22"/>
          <w:b w:val="1"/>
          <w:bCs w:val="1"/>
          <w:i w:val="1"/>
          <w:iCs w:val="1"/>
          <w:color w:val="auto"/>
        </w:rPr>
        <w:t>Unit</w:t>
      </w:r>
      <w:r>
        <w:rPr>
          <w:rFonts w:ascii="Times New Roman" w:cs="Times New Roman" w:eastAsia="Times New Roman" w:hAnsi="Times New Roman"/>
          <w:sz w:val="22"/>
          <w:szCs w:val="22"/>
          <w:color w:val="auto"/>
        </w:rPr>
        <w:t>”) subject to the terms and conditions set forth in the Grant Notice and this Agreement. The Award has been granted pursuant to and shall in all respects be subject to the terms and conditions of the Palomar Holdings, Inc. 2019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as amended to the Date of Grant,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Times New Roman" w:cs="Times New Roman" w:eastAsia="Times New Roman" w:hAnsi="Times New Roman"/>
          <w:sz w:val="22"/>
          <w:szCs w:val="22"/>
          <w:b w:val="1"/>
          <w:bCs w:val="1"/>
          <w:i w:val="1"/>
          <w:iCs w:val="1"/>
          <w:color w:val="auto"/>
        </w:rPr>
        <w:t>Plan Prospectus</w:t>
      </w:r>
      <w:r>
        <w:rPr>
          <w:rFonts w:ascii="Times New Roman" w:cs="Times New Roman" w:eastAsia="Times New Roman" w:hAnsi="Times New Roman"/>
          <w:sz w:val="22"/>
          <w:szCs w:val="22"/>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19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2"/>
          <w:szCs w:val="22"/>
          <w:b w:val="1"/>
          <w:bCs w:val="1"/>
          <w:u w:val="single" w:color="auto"/>
          <w:color w:val="auto"/>
        </w:rPr>
        <w:t>D</w:t>
      </w:r>
      <w:r>
        <w:rPr>
          <w:rFonts w:ascii="Times New Roman" w:cs="Times New Roman" w:eastAsia="Times New Roman" w:hAnsi="Times New Roman"/>
          <w:sz w:val="14"/>
          <w:szCs w:val="14"/>
          <w:b w:val="1"/>
          <w:bCs w:val="1"/>
          <w:u w:val="single" w:color="auto"/>
          <w:color w:val="auto"/>
        </w:rPr>
        <w:t>efinitions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onstruction</w:t>
      </w:r>
      <w:r>
        <w:rPr>
          <w:rFonts w:ascii="Times New Roman" w:cs="Times New Roman" w:eastAsia="Times New Roman" w:hAnsi="Times New Roman"/>
          <w:sz w:val="22"/>
          <w:szCs w:val="22"/>
          <w:b w:val="1"/>
          <w:bCs w:val="1"/>
          <w:u w:val="single" w:color="auto"/>
          <w:color w:val="auto"/>
        </w:rPr>
        <w:t>.</w:t>
      </w:r>
    </w:p>
    <w:p>
      <w:pPr>
        <w:spacing w:after="0" w:line="204" w:lineRule="exact"/>
        <w:rPr>
          <w:sz w:val="20"/>
          <w:szCs w:val="20"/>
          <w:color w:val="auto"/>
        </w:rPr>
      </w:pPr>
    </w:p>
    <w:p>
      <w:pPr>
        <w:jc w:val="both"/>
        <w:ind w:right="20" w:firstLine="1497"/>
        <w:spacing w:after="0" w:line="276" w:lineRule="auto"/>
        <w:rPr>
          <w:sz w:val="20"/>
          <w:szCs w:val="20"/>
          <w:color w:val="auto"/>
        </w:rPr>
      </w:pPr>
      <w:r>
        <w:rPr>
          <w:rFonts w:ascii="Times New Roman" w:cs="Times New Roman" w:eastAsia="Times New Roman" w:hAnsi="Times New Roman"/>
          <w:sz w:val="22"/>
          <w:szCs w:val="22"/>
          <w:b w:val="1"/>
          <w:bCs w:val="1"/>
          <w:color w:val="auto"/>
        </w:rPr>
        <w:t>1.1 Definitions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otherwise defined herein, capitalized terms shall have the meanings assigned to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in the Grant Notice or the Plan.</w:t>
      </w:r>
    </w:p>
    <w:p>
      <w:pPr>
        <w:spacing w:after="0" w:line="13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1.2 Construction</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Captions and titles contained herein are for convenience only and shall not affect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6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2"/>
          <w:szCs w:val="22"/>
          <w:b w:val="1"/>
          <w:bCs w:val="1"/>
          <w:u w:val="single" w:color="auto"/>
          <w:color w:val="auto"/>
        </w:rPr>
        <w:t>A</w:t>
      </w:r>
      <w:r>
        <w:rPr>
          <w:rFonts w:ascii="Times New Roman" w:cs="Times New Roman" w:eastAsia="Times New Roman" w:hAnsi="Times New Roman"/>
          <w:sz w:val="14"/>
          <w:szCs w:val="14"/>
          <w:b w:val="1"/>
          <w:bCs w:val="1"/>
          <w:u w:val="single" w:color="auto"/>
          <w:color w:val="auto"/>
        </w:rPr>
        <w:t>dministration</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200" w:lineRule="exact"/>
        <w:rPr>
          <w:sz w:val="20"/>
          <w:szCs w:val="20"/>
          <w:color w:val="auto"/>
        </w:rPr>
      </w:pPr>
    </w:p>
    <w:p>
      <w:pPr>
        <w:spacing w:after="0" w:line="3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1628007208.4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1" w:name="page82"/>
    <w:bookmarkEnd w:id="81"/>
    <w:p>
      <w:pPr>
        <w:ind w:left="1420"/>
        <w:spacing w:after="0"/>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2"/>
          <w:szCs w:val="22"/>
          <w:b w:val="1"/>
          <w:bCs w:val="1"/>
          <w:u w:val="single" w:color="auto"/>
          <w:color w:val="auto"/>
        </w:rPr>
        <w:t>T</w:t>
      </w:r>
      <w:r>
        <w:rPr>
          <w:rFonts w:ascii="Times New Roman" w:cs="Times New Roman" w:eastAsia="Times New Roman" w:hAnsi="Times New Roman"/>
          <w:sz w:val="14"/>
          <w:szCs w:val="14"/>
          <w:b w:val="1"/>
          <w:bCs w:val="1"/>
          <w:u w:val="single" w:color="auto"/>
          <w:color w:val="auto"/>
        </w:rPr>
        <w: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w:t>
      </w:r>
      <w:r>
        <w:rPr>
          <w:rFonts w:ascii="Times New Roman" w:cs="Times New Roman" w:eastAsia="Times New Roman" w:hAnsi="Times New Roman"/>
          <w:sz w:val="14"/>
          <w:szCs w:val="14"/>
          <w:b w:val="1"/>
          <w:bCs w:val="1"/>
          <w:u w:val="single" w:color="auto"/>
          <w:color w:val="auto"/>
        </w:rPr>
        <w:t>ward</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1497"/>
        <w:spacing w:after="0" w:line="270" w:lineRule="auto"/>
        <w:rPr>
          <w:sz w:val="20"/>
          <w:szCs w:val="20"/>
          <w:color w:val="auto"/>
        </w:rPr>
      </w:pPr>
      <w:r>
        <w:rPr>
          <w:rFonts w:ascii="Times New Roman" w:cs="Times New Roman" w:eastAsia="Times New Roman" w:hAnsi="Times New Roman"/>
          <w:sz w:val="21"/>
          <w:szCs w:val="21"/>
          <w:b w:val="1"/>
          <w:bCs w:val="1"/>
          <w:color w:val="auto"/>
        </w:rPr>
        <w:t xml:space="preserve">3.1 Grant of Units. </w:t>
      </w:r>
      <w:r>
        <w:rPr>
          <w:rFonts w:ascii="Times New Roman" w:cs="Times New Roman" w:eastAsia="Times New Roman" w:hAnsi="Times New Roman"/>
          <w:sz w:val="21"/>
          <w:szCs w:val="21"/>
          <w:color w:val="auto"/>
        </w:rPr>
        <w:t>On the Date of Grant, the Participant shall acquire, subject to the provisions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the Total Number of Units set forth in the Grant Notice, subject to adjustment as provided in Section 9. Each Unit represents a right to receive on a date determined in accordance with the Grant Notice and this Agreement one (1) share of Stock.</w:t>
      </w:r>
    </w:p>
    <w:p>
      <w:pPr>
        <w:spacing w:after="0" w:line="157"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3.2 No Monetary Payment Required. </w:t>
      </w:r>
      <w:r>
        <w:rPr>
          <w:rFonts w:ascii="Times New Roman" w:cs="Times New Roman" w:eastAsia="Times New Roman" w:hAnsi="Times New Roman"/>
          <w:sz w:val="22"/>
          <w:szCs w:val="22"/>
          <w:color w:val="auto"/>
        </w:rPr>
        <w:t>The Participant is not required to make any monetary payment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17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4"/>
          <w:szCs w:val="14"/>
          <w:b w:val="1"/>
          <w:bCs w:val="1"/>
          <w:color w:val="auto"/>
        </w:rPr>
        <w:t>esting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U</w:t>
      </w:r>
      <w:r>
        <w:rPr>
          <w:rFonts w:ascii="Times New Roman" w:cs="Times New Roman" w:eastAsia="Times New Roman" w:hAnsi="Times New Roman"/>
          <w:sz w:val="14"/>
          <w:szCs w:val="14"/>
          <w:b w:val="1"/>
          <w:bCs w:val="1"/>
          <w:color w:val="auto"/>
        </w:rPr>
        <w:t>nits</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b w:val="1"/>
          <w:bCs w:val="1"/>
          <w:color w:val="auto"/>
        </w:rPr>
        <w:t>Vested Units.</w:t>
      </w:r>
      <w:r>
        <w:rPr>
          <w:rFonts w:ascii="Times New Roman" w:cs="Times New Roman" w:eastAsia="Times New Roman" w:hAnsi="Times New Roman"/>
          <w:sz w:val="22"/>
          <w:szCs w:val="22"/>
          <w:color w:val="auto"/>
        </w:rPr>
        <w:t xml:space="preserve"> Units acquired pursuant to this Agreement shall become Vested Units as provided in the Grant Notice. For purposes of determining the number of Vested Units following an Ownership Change Event, credited Service shall include all Service with any Company which is a Participating Company at the time the Service is rendered, whether or not such Company is a Participating Company both before and after the Ownership Change Event.</w:t>
      </w:r>
    </w:p>
    <w:p>
      <w:pPr>
        <w:spacing w:after="0" w:line="182"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Notwithstanding the provisions of Section 5.1 below, in the event of Participant’s Qualified Retirement, Participant shall</w:t>
      </w:r>
    </w:p>
    <w:p>
      <w:pPr>
        <w:spacing w:after="0" w:line="167" w:lineRule="exact"/>
        <w:rPr>
          <w:sz w:val="20"/>
          <w:szCs w:val="20"/>
          <w:color w:val="auto"/>
        </w:rPr>
      </w:pPr>
    </w:p>
    <w:p>
      <w:pPr>
        <w:jc w:val="both"/>
        <w:ind w:left="760" w:firstLine="1494"/>
        <w:spacing w:after="0" w:line="244" w:lineRule="auto"/>
        <w:tabs>
          <w:tab w:leader="none" w:pos="251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Award is subject to time-based vesting only, be treated as providing Service following the date of Participant’s Qualified Retirement through the remaining vesting dates pursuant to the vesting schedule set forth in the Grant Notice such that the remaining unvested portion of the Award will continue to become Vested Units on each such remaining vesting date, or</w:t>
      </w:r>
    </w:p>
    <w:p>
      <w:pPr>
        <w:spacing w:after="0" w:line="172" w:lineRule="exact"/>
        <w:rPr>
          <w:rFonts w:ascii="Times New Roman" w:cs="Times New Roman" w:eastAsia="Times New Roman" w:hAnsi="Times New Roman"/>
          <w:sz w:val="22"/>
          <w:szCs w:val="22"/>
          <w:color w:val="auto"/>
        </w:rPr>
      </w:pPr>
    </w:p>
    <w:p>
      <w:pPr>
        <w:jc w:val="both"/>
        <w:ind w:left="760" w:firstLine="1494"/>
        <w:spacing w:after="0" w:line="251" w:lineRule="auto"/>
        <w:tabs>
          <w:tab w:leader="none" w:pos="2621"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Award is subject to performance-based vesting, for purposes of any time-based vesting conditions applicable to such Award, be treated as satisfying the time-based conditions with respect to a pro-rata portion of the Award on the Participant’s Retirement Date based on the number of full months of continuous Service completed between the Award’s grant date and the Participant’s Retirement Date such that the pro-rata portion of the Award will remain outstanding, provided that, for the avoidance of doubt, performance conditions applicable to the Award, if any, shall continue to apply to such Award with the Award outstanding with respect to the pro-rata portion that satisfies the time-based conditions and eligible to become earned and Vested Units based on the satisfaction of such performance conditions. For clarity, no shares of Stock shall be issued and no payment shall be made on the Participant’s Retirement Date, and no Units become Vested Units, solely by reason of the Participant’s Qualified Retirement. Such Units shall become Vested Units on the applicable Settlement Dates on the Award’s original vesting schedule.</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1628007208.4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2" w:name="page83"/>
    <w:bookmarkEnd w:id="82"/>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For purposes of this Section 4.2, “Qualified Retirement” means Participant’s resignation of employment with the Company on or after attainment of age fifty-eight (58) with a minimum of five (5) years of Service with the Company (including with an acquired entity prior to the grant date and regardless of whether such Service is continuous, with a Participant’s period of Service calculated using a 365-day period to determine each year of Service), provided that:</w:t>
      </w:r>
    </w:p>
    <w:p>
      <w:pPr>
        <w:spacing w:after="0" w:line="186" w:lineRule="exact"/>
        <w:rPr>
          <w:sz w:val="20"/>
          <w:szCs w:val="20"/>
          <w:color w:val="auto"/>
        </w:rPr>
      </w:pPr>
    </w:p>
    <w:p>
      <w:pPr>
        <w:ind w:left="760" w:right="20" w:firstLine="1563"/>
        <w:spacing w:after="0" w:line="258" w:lineRule="auto"/>
        <w:tabs>
          <w:tab w:leader="none" w:pos="2635"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Retirement Date (as defined below), the Participant’s age plus years of Service with the Company equals or exceeds 65;</w:t>
      </w:r>
    </w:p>
    <w:p>
      <w:pPr>
        <w:spacing w:after="0" w:line="158" w:lineRule="exact"/>
        <w:rPr>
          <w:rFonts w:ascii="Times New Roman" w:cs="Times New Roman" w:eastAsia="Times New Roman" w:hAnsi="Times New Roman"/>
          <w:sz w:val="22"/>
          <w:szCs w:val="22"/>
          <w:color w:val="auto"/>
        </w:rPr>
      </w:pPr>
    </w:p>
    <w:p>
      <w:pPr>
        <w:ind w:left="760" w:firstLine="1494"/>
        <w:spacing w:after="0" w:line="271" w:lineRule="auto"/>
        <w:tabs>
          <w:tab w:leader="none" w:pos="259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provides the Company with the required amount of Qualified Retirement Notice regarding his or her resignation of employment, and</w:t>
      </w:r>
    </w:p>
    <w:p>
      <w:pPr>
        <w:spacing w:after="0" w:line="144" w:lineRule="exact"/>
        <w:rPr>
          <w:rFonts w:ascii="Times New Roman" w:cs="Times New Roman" w:eastAsia="Times New Roman" w:hAnsi="Times New Roman"/>
          <w:sz w:val="22"/>
          <w:szCs w:val="22"/>
          <w:color w:val="auto"/>
        </w:rPr>
      </w:pPr>
    </w:p>
    <w:p>
      <w:pPr>
        <w:jc w:val="both"/>
        <w:ind w:left="760" w:firstLine="1494"/>
        <w:spacing w:after="0" w:line="250" w:lineRule="auto"/>
        <w:tabs>
          <w:tab w:leader="none" w:pos="257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and prior to the Participant’s Retirement Date, no facts or circumstances shall exist that could give rise to the Covered Employee’s termination of employment for Cause (as defined in the Plan) regardless of whether the Company pursues termination for Cause.</w:t>
      </w:r>
    </w:p>
    <w:p>
      <w:pPr>
        <w:spacing w:after="0" w:line="16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In order to be eligible for continued or credited time-based vesting under this Section 4.2, (i) the Participant must timely deliver to the Company and not revoke a general waiver and release of claims in favor of the Company, its affiliates and related parties, in a form provided by the Company, and (ii) except as otherwise determined or affirmatively waived by the Committee, the Participant must deliver to the Company’s Chief People Officer (or such other individual designated by the Committee), no less than six (6) months prior to the date of a Qualified Retirement, advance written notice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Qualified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Retirement Notice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of such Covered Employee’s voluntary termination of employment giving rise to a Qualified Retirement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 a requested retirement date (the “</w:t>
      </w:r>
      <w:r>
        <w:rPr>
          <w:rFonts w:ascii="Times New Roman" w:cs="Times New Roman" w:eastAsia="Times New Roman" w:hAnsi="Times New Roman"/>
          <w:sz w:val="22"/>
          <w:szCs w:val="22"/>
          <w:b w:val="1"/>
          <w:bCs w:val="1"/>
          <w:i w:val="1"/>
          <w:iCs w:val="1"/>
          <w:color w:val="auto"/>
        </w:rPr>
        <w:t>Proposed Retirement Date</w:t>
      </w:r>
      <w:r>
        <w:rPr>
          <w:rFonts w:ascii="Times New Roman" w:cs="Times New Roman" w:eastAsia="Times New Roman" w:hAnsi="Times New Roman"/>
          <w:sz w:val="22"/>
          <w:szCs w:val="22"/>
          <w:color w:val="auto"/>
        </w:rPr>
        <w:t xml:space="preserve">”). The Committee (or its designee) may, in its sole discretion, designate the employee’s retirement date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Retirement Date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which may be earlier or later than the Covered Employee’s Proposed Retirement Date.</w:t>
      </w:r>
    </w:p>
    <w:p>
      <w:pPr>
        <w:spacing w:after="0" w:line="199"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The foregoing provisions shall control the vesting of the Award in the event of a Qualified Retirement notwithstanding the provisions of any Company policy.</w:t>
      </w:r>
    </w:p>
    <w:p>
      <w:pPr>
        <w:spacing w:after="0" w:line="16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5.</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R</w:t>
      </w:r>
      <w:r>
        <w:rPr>
          <w:rFonts w:ascii="Times New Roman" w:cs="Times New Roman" w:eastAsia="Times New Roman" w:hAnsi="Times New Roman"/>
          <w:sz w:val="14"/>
          <w:szCs w:val="14"/>
          <w:b w:val="1"/>
          <w:bCs w:val="1"/>
          <w:u w:val="single" w:color="auto"/>
          <w:color w:val="auto"/>
        </w:rPr>
        <w:t>eacquisition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R</w:t>
      </w:r>
      <w:r>
        <w:rPr>
          <w:rFonts w:ascii="Times New Roman" w:cs="Times New Roman" w:eastAsia="Times New Roman" w:hAnsi="Times New Roman"/>
          <w:sz w:val="14"/>
          <w:szCs w:val="14"/>
          <w:b w:val="1"/>
          <w:bCs w:val="1"/>
          <w:u w:val="single" w:color="auto"/>
          <w:color w:val="auto"/>
        </w:rPr>
        <w:t>ight</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5.1 Grant of Company Reacquisition Right. </w:t>
      </w:r>
      <w:r>
        <w:rPr>
          <w:rFonts w:ascii="Times New Roman" w:cs="Times New Roman" w:eastAsia="Times New Roman" w:hAnsi="Times New Roman"/>
          <w:sz w:val="22"/>
          <w:szCs w:val="22"/>
          <w:color w:val="auto"/>
        </w:rPr>
        <w:t>Except to the extent otherwise provided by the Superseding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if any, in the event that the Participant’s Service terminates for any reason or no reason, with or without cause, the Participant shall forfeit and the Company shall automatically reacquire all Units which are not, as of the time of such termination, Vested Units (“</w:t>
      </w:r>
      <w:r>
        <w:rPr>
          <w:rFonts w:ascii="Times New Roman" w:cs="Times New Roman" w:eastAsia="Times New Roman" w:hAnsi="Times New Roman"/>
          <w:sz w:val="22"/>
          <w:szCs w:val="22"/>
          <w:b w:val="1"/>
          <w:bCs w:val="1"/>
          <w:i w:val="1"/>
          <w:iCs w:val="1"/>
          <w:color w:val="auto"/>
        </w:rPr>
        <w:t>Unvested Units</w:t>
      </w:r>
      <w:r>
        <w:rPr>
          <w:rFonts w:ascii="Times New Roman" w:cs="Times New Roman" w:eastAsia="Times New Roman" w:hAnsi="Times New Roman"/>
          <w:sz w:val="22"/>
          <w:szCs w:val="22"/>
          <w:color w:val="auto"/>
        </w:rPr>
        <w:t>”), and the Participant shall not be entitled to any payment therefor (the “</w:t>
      </w:r>
      <w:r>
        <w:rPr>
          <w:rFonts w:ascii="Times New Roman" w:cs="Times New Roman" w:eastAsia="Times New Roman" w:hAnsi="Times New Roman"/>
          <w:sz w:val="22"/>
          <w:szCs w:val="22"/>
          <w:b w:val="1"/>
          <w:bCs w:val="1"/>
          <w:i w:val="1"/>
          <w:iCs w:val="1"/>
          <w:color w:val="auto"/>
        </w:rPr>
        <w:t>Company Reacquisition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Right</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2"/>
          <w:szCs w:val="22"/>
          <w:b w:val="1"/>
          <w:bCs w:val="1"/>
          <w:color w:val="auto"/>
        </w:rPr>
        <w:t>5.2 Ownership Change Event, Non-Cash Dividends, Distributions and Adjustments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occurrence of an Ownership Change Event, a dividend or distribution to the stockholders of the Company paid in shares of Stock or other property, or any other adjustment upon a change in the capital structure of the Company as described in Section 9, any and all new, substituted or additional securities or other property (other than regular, periodic cash dividends paid on Stock pursuant to the Company’s dividend policy) to which the Participant is entitled by reason of the Participant’s ownership of Unvested Units shall be immediately subject to the</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1628007208.4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3" w:name="page84"/>
    <w:bookmarkEnd w:id="83"/>
    <w:p>
      <w:pPr>
        <w:jc w:val="both"/>
        <w:spacing w:after="0" w:line="241" w:lineRule="auto"/>
        <w:rPr>
          <w:sz w:val="20"/>
          <w:szCs w:val="20"/>
          <w:color w:val="auto"/>
        </w:rPr>
      </w:pPr>
      <w:r>
        <w:rPr>
          <w:rFonts w:ascii="Times New Roman" w:cs="Times New Roman" w:eastAsia="Times New Roman" w:hAnsi="Times New Roman"/>
          <w:sz w:val="22"/>
          <w:szCs w:val="22"/>
          <w:color w:val="auto"/>
        </w:rPr>
        <w:t>Company Reacquisition Right and included in the terms “Units” and “Unvested Units” for all purposes of the Company Reacquisition Right with the same force and effect as the Unvested Units immediately prior to the Ownership Change Event, dividend, distribution or adjustment, as the case may be. For purposes of determining the number of Vested Units following an Ownership Change Event, dividend, distribution or adjustment, credited Service shall include all Service with any Company which is a Participating Company at the time the Service is rendered, whether or not such Company is a Participating Company both before and after any such event.</w:t>
      </w:r>
    </w:p>
    <w:p>
      <w:pPr>
        <w:spacing w:after="0" w:line="17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22"/>
          <w:szCs w:val="22"/>
          <w:b w:val="1"/>
          <w:bCs w:val="1"/>
          <w:u w:val="single" w:color="auto"/>
          <w:color w:val="auto"/>
        </w:rPr>
        <w:t>S</w:t>
      </w:r>
      <w:r>
        <w:rPr>
          <w:rFonts w:ascii="Times New Roman" w:cs="Times New Roman" w:eastAsia="Times New Roman" w:hAnsi="Times New Roman"/>
          <w:sz w:val="14"/>
          <w:szCs w:val="14"/>
          <w:b w:val="1"/>
          <w:bCs w:val="1"/>
          <w:u w:val="single" w:color="auto"/>
          <w:color w:val="auto"/>
        </w:rPr>
        <w:t>ettlement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w:t>
      </w:r>
      <w:r>
        <w:rPr>
          <w:rFonts w:ascii="Times New Roman" w:cs="Times New Roman" w:eastAsia="Times New Roman" w:hAnsi="Times New Roman"/>
          <w:sz w:val="14"/>
          <w:szCs w:val="14"/>
          <w:b w:val="1"/>
          <w:bCs w:val="1"/>
          <w:u w:val="single" w:color="auto"/>
          <w:color w:val="auto"/>
        </w:rPr>
        <w:t>ward</w:t>
      </w:r>
    </w:p>
    <w:p>
      <w:pPr>
        <w:spacing w:after="0" w:line="218"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2"/>
          <w:szCs w:val="22"/>
          <w:b w:val="1"/>
          <w:bCs w:val="1"/>
          <w:color w:val="auto"/>
        </w:rPr>
        <w:t>6.1 Issuance of Shares of Stock</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“Settlement Date” with respect to a Vested Unit will be the date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such Unit becomes a Vested Unit or as soon as administratively practicable but no later than 30 days thereafter. The Company shall deliver to the Participant a number of shares of Stock equal to the number of Vested Units subject to this Award. Shares of Stock issued in settlement of Units shall not be subject to any restriction on transfer other than any such restriction as may be required pursuant to Section 6.3, Section 7 or the Company’s Trading Compliance Policy.</w:t>
      </w:r>
    </w:p>
    <w:p>
      <w:pPr>
        <w:spacing w:after="0" w:line="183"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2"/>
          <w:szCs w:val="22"/>
          <w:b w:val="1"/>
          <w:bCs w:val="1"/>
          <w:color w:val="auto"/>
        </w:rPr>
        <w:t>6.2 Beneficial Ownership of Shares; Certificate Registration</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Participant hereby authorizes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7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b w:val="1"/>
          <w:bCs w:val="1"/>
          <w:color w:val="auto"/>
        </w:rPr>
        <w:t>6.3 Restrictions on Grant of the Award and Issuance of Shares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grant of the Award and issuance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7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6.4</w:t>
        <w:tab/>
        <w:t>Fractional Shares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shall not be required to issue fractional shares upon the settlement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Award.</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1628007208.4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4" w:name="page85"/>
    <w:bookmarkEnd w:id="84"/>
    <w:p>
      <w:pPr>
        <w:ind w:left="1420"/>
        <w:spacing w:after="0"/>
        <w:rPr>
          <w:sz w:val="20"/>
          <w:szCs w:val="20"/>
          <w:color w:val="auto"/>
        </w:rPr>
      </w:pPr>
      <w:r>
        <w:rPr>
          <w:rFonts w:ascii="Times New Roman" w:cs="Times New Roman" w:eastAsia="Times New Roman" w:hAnsi="Times New Roman"/>
          <w:sz w:val="22"/>
          <w:szCs w:val="22"/>
          <w:color w:val="auto"/>
        </w:rPr>
        <w:t>7.</w:t>
      </w:r>
      <w:r>
        <w:rPr>
          <w:rFonts w:ascii="Times New Roman" w:cs="Times New Roman" w:eastAsia="Times New Roman" w:hAnsi="Times New Roman"/>
          <w:sz w:val="22"/>
          <w:szCs w:val="22"/>
          <w:b w:val="1"/>
          <w:bCs w:val="1"/>
          <w:u w:val="single" w:color="auto"/>
          <w:color w:val="auto"/>
        </w:rPr>
        <w:t>T</w:t>
      </w:r>
      <w:r>
        <w:rPr>
          <w:rFonts w:ascii="Times New Roman" w:cs="Times New Roman" w:eastAsia="Times New Roman" w:hAnsi="Times New Roman"/>
          <w:sz w:val="14"/>
          <w:szCs w:val="14"/>
          <w:b w:val="1"/>
          <w:bCs w:val="1"/>
          <w:u w:val="single" w:color="auto"/>
          <w:color w:val="auto"/>
        </w:rPr>
        <w:t>ax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W</w:t>
      </w:r>
      <w:r>
        <w:rPr>
          <w:rFonts w:ascii="Times New Roman" w:cs="Times New Roman" w:eastAsia="Times New Roman" w:hAnsi="Times New Roman"/>
          <w:sz w:val="14"/>
          <w:szCs w:val="14"/>
          <w:b w:val="1"/>
          <w:bCs w:val="1"/>
          <w:u w:val="single" w:color="auto"/>
          <w:color w:val="auto"/>
        </w:rPr>
        <w:t>ithholding</w:t>
      </w:r>
      <w:r>
        <w:rPr>
          <w:rFonts w:ascii="Times New Roman" w:cs="Times New Roman" w:eastAsia="Times New Roman" w:hAnsi="Times New Roman"/>
          <w:sz w:val="22"/>
          <w:szCs w:val="22"/>
          <w:b w:val="1"/>
          <w:bCs w:val="1"/>
          <w:color w:val="auto"/>
        </w:rPr>
        <w:t>.</w:t>
      </w:r>
    </w:p>
    <w:p>
      <w:pPr>
        <w:spacing w:after="0" w:line="204"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22"/>
          <w:szCs w:val="22"/>
          <w:b w:val="1"/>
          <w:bCs w:val="1"/>
          <w:color w:val="auto"/>
        </w:rPr>
        <w:t>7.1 Withholding Taxes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that the receipt, vesting or settlement of Vested Units results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income or wages to the Participant for federal, state, local and/or foreign tax purposes, the Participant shall make arrangements satisfactory to the Company regarding the payment of, any income tax, social insurance contribution or other applicable taxes that are required to be withheld in respect of this Award, which arrangements include the delivery of cash or cash equivalents, shares of Stock (including previously owned shares of Stock (which is not subject to any pledge or other security interest), net settlement, a broker-assisted sale, or other cashless withholding or reduction of the amount of shares otherwise issuable or delivered pursuant to this Award), other property, or any other legal consideration the Company deems appropriate.</w:t>
      </w:r>
    </w:p>
    <w:p>
      <w:pPr>
        <w:spacing w:after="0" w:line="19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If such tax obligations are satisfied through net settlement or the surrender of previously owned shares of Stock, the maximum number of shares of Stock that may be so withheld (or surrendered) shall be the number of shares of Stock that have an aggregate Fair Market Value on the date of withholding or surrender equal to the aggregate amount of such tax liabilities determined based on the greatest withholding rates for federal, state, local and/or foreign tax purposes, including payroll taxes, that may be utilized without creating adverse accounting treatment for the Company with respect to this Award, as determined by the Committee. Any fraction of a Share required to satisfy such tax obligations shall be disregarded and the amount due shall be paid instead in cash to the Participant. The Participant acknowledges that there may be adverse tax consequences upon the receipt, vesting or settlement of this Award or disposition of the underlying shares and that the Participant has been advised, and hereby is advised, to consult a tax advisor. The Participant represents that the Participant is in no manner relying on the Board, the Committee, the Company or an Affiliate or any of their respective managers, directors, officers, employees or authorized representatives (including attorneys, accountants, consultants, bankers, lenders, prospective lenders and financial representatives) for tax advice or an assessment of such tax consequences.</w:t>
      </w:r>
    </w:p>
    <w:p>
      <w:pPr>
        <w:spacing w:after="0" w:line="184"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7.2 Withholding in Shares. </w:t>
      </w:r>
      <w:r>
        <w:rPr>
          <w:rFonts w:ascii="Times New Roman" w:cs="Times New Roman" w:eastAsia="Times New Roman" w:hAnsi="Times New Roman"/>
          <w:sz w:val="22"/>
          <w:szCs w:val="22"/>
          <w:color w:val="auto"/>
        </w:rPr>
        <w:t>The Company will have the right (as determined by the Committee and as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set forth in the Grant Notice or otherwise), but not the obligation, to require the Participant to satisfy all or any portion of a Participating Company’s tax withholding obligations by deducting from the shares of Stock otherwise deliverable to the Participant in settlement of the Award a number of whole shares having a Fair Market Value as determined by the Company as of the date on which the tax withholding obligations arise, not in excess of the amount of such tax withholding obligations as described in Section 7.1.</w:t>
      </w:r>
    </w:p>
    <w:p>
      <w:pPr>
        <w:spacing w:after="0" w:line="18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8.</w:t>
      </w:r>
      <w:r>
        <w:rPr>
          <w:rFonts w:ascii="Times New Roman" w:cs="Times New Roman" w:eastAsia="Times New Roman" w:hAnsi="Times New Roman"/>
          <w:sz w:val="22"/>
          <w:szCs w:val="22"/>
          <w:b w:val="1"/>
          <w:bCs w:val="1"/>
          <w:u w:val="single" w:color="auto"/>
          <w:color w:val="auto"/>
        </w:rPr>
        <w:t>E</w:t>
      </w:r>
      <w:r>
        <w:rPr>
          <w:rFonts w:ascii="Times New Roman" w:cs="Times New Roman" w:eastAsia="Times New Roman" w:hAnsi="Times New Roman"/>
          <w:sz w:val="14"/>
          <w:szCs w:val="14"/>
          <w:b w:val="1"/>
          <w:bCs w:val="1"/>
          <w:u w:val="single" w:color="auto"/>
          <w:color w:val="auto"/>
        </w:rPr>
        <w:t>ffect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hange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ontrol</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In the event of a Change in Control, the Award shall be subject to the definitive agreement entered into by the Company in connection with the Change in Control. Except to the extent that the Committee determines to cash out the Award in accordance with Section 13.1(c) of the Plan, the surviving, continuing, successor, or purchasing entity or parent thereof, as the case may be (the “</w:t>
      </w:r>
      <w:r>
        <w:rPr>
          <w:rFonts w:ascii="Times New Roman" w:cs="Times New Roman" w:eastAsia="Times New Roman" w:hAnsi="Times New Roman"/>
          <w:sz w:val="22"/>
          <w:szCs w:val="22"/>
          <w:b w:val="1"/>
          <w:bCs w:val="1"/>
          <w:i w:val="1"/>
          <w:iCs w:val="1"/>
          <w:color w:val="auto"/>
        </w:rPr>
        <w:t>Acquiror</w:t>
      </w:r>
      <w:r>
        <w:rPr>
          <w:rFonts w:ascii="Times New Roman" w:cs="Times New Roman" w:eastAsia="Times New Roman" w:hAnsi="Times New Roman"/>
          <w:sz w:val="22"/>
          <w:szCs w:val="22"/>
          <w:color w:val="auto"/>
        </w:rPr>
        <w:t>”), may, without the consent of the Participant, assume or continue in full force and effect the Company’s rights and obligations under all or any portion of the outstanding Units or substitute for all or any portion of the outstanding Units substantially equivalent rights with respect to the Acquiror’s stock. For purposes of this Section, a Unit shall be deemed assumed</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1628007208.4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5" w:name="page86"/>
    <w:bookmarkEnd w:id="85"/>
    <w:p>
      <w:pPr>
        <w:jc w:val="both"/>
        <w:spacing w:after="0" w:line="239" w:lineRule="auto"/>
        <w:rPr>
          <w:sz w:val="20"/>
          <w:szCs w:val="20"/>
          <w:color w:val="auto"/>
        </w:rPr>
      </w:pPr>
      <w:r>
        <w:rPr>
          <w:rFonts w:ascii="Times New Roman" w:cs="Times New Roman" w:eastAsia="Times New Roman" w:hAnsi="Times New Roman"/>
          <w:sz w:val="22"/>
          <w:szCs w:val="22"/>
          <w:color w:val="auto"/>
        </w:rPr>
        <w:t>if, following the Change in Control, the Unit confers the right to receive, subject to the terms and conditions of the Plan and this Agreement,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with the consent of the Acquiror, provide for the consideration to be received upon settlement of the Unit to consist solely of common stock of the Acquiror equal in Fair Market Value to the per share consideration received by holders of Stock pursuant to the Change in Control. The Award shall terminate and cease to be outstanding effective as of the time of consummation of the Change in Control to the extent that Units subject to the Award are neither assumed or continued by the Acquiror in connection with the Change in Control nor settled as of the time of the Change in Control.</w:t>
      </w:r>
    </w:p>
    <w:p>
      <w:pPr>
        <w:spacing w:after="0" w:line="1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9.</w:t>
      </w:r>
      <w:r>
        <w:rPr>
          <w:rFonts w:ascii="Times New Roman" w:cs="Times New Roman" w:eastAsia="Times New Roman" w:hAnsi="Times New Roman"/>
          <w:sz w:val="22"/>
          <w:szCs w:val="22"/>
          <w:b w:val="1"/>
          <w:bCs w:val="1"/>
          <w:u w:val="single" w:color="auto"/>
          <w:color w:val="auto"/>
        </w:rPr>
        <w:t>A</w:t>
      </w:r>
      <w:r>
        <w:rPr>
          <w:rFonts w:ascii="Times New Roman" w:cs="Times New Roman" w:eastAsia="Times New Roman" w:hAnsi="Times New Roman"/>
          <w:sz w:val="14"/>
          <w:szCs w:val="14"/>
          <w:b w:val="1"/>
          <w:bCs w:val="1"/>
          <w:u w:val="single" w:color="auto"/>
          <w:color w:val="auto"/>
        </w:rPr>
        <w:t>djustments for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hanges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apital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w:t>
      </w:r>
      <w:r>
        <w:rPr>
          <w:rFonts w:ascii="Times New Roman" w:cs="Times New Roman" w:eastAsia="Times New Roman" w:hAnsi="Times New Roman"/>
          <w:sz w:val="14"/>
          <w:szCs w:val="14"/>
          <w:b w:val="1"/>
          <w:bCs w:val="1"/>
          <w:u w:val="single" w:color="auto"/>
          <w:color w:val="auto"/>
        </w:rPr>
        <w:t>tructure</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Subject to any required action by the stockholders of the Company and the requirements of Section 409A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1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b w:val="1"/>
          <w:bCs w:val="1"/>
          <w:u w:val="single" w:color="auto"/>
          <w:color w:val="auto"/>
        </w:rPr>
        <w:t>R</w:t>
      </w:r>
      <w:r>
        <w:rPr>
          <w:rFonts w:ascii="Times New Roman" w:cs="Times New Roman" w:eastAsia="Times New Roman" w:hAnsi="Times New Roman"/>
          <w:sz w:val="14"/>
          <w:szCs w:val="14"/>
          <w:b w:val="1"/>
          <w:bCs w:val="1"/>
          <w:u w:val="single" w:color="auto"/>
          <w:color w:val="auto"/>
        </w:rPr>
        <w:t>ights as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w:t>
      </w:r>
      <w:r>
        <w:rPr>
          <w:rFonts w:ascii="Times New Roman" w:cs="Times New Roman" w:eastAsia="Times New Roman" w:hAnsi="Times New Roman"/>
          <w:sz w:val="14"/>
          <w:szCs w:val="14"/>
          <w:b w:val="1"/>
          <w:bCs w:val="1"/>
          <w:u w:val="single" w:color="auto"/>
          <w:color w:val="auto"/>
        </w:rPr>
        <w:t>tockholder</w:t>
      </w:r>
      <w:r>
        <w:rPr>
          <w:rFonts w:ascii="Times New Roman" w:cs="Times New Roman" w:eastAsia="Times New Roman" w:hAnsi="Times New Roman"/>
          <w:sz w:val="22"/>
          <w:szCs w:val="22"/>
          <w:b w:val="1"/>
          <w:bCs w:val="1"/>
          <w:u w:val="single" w:color="auto"/>
          <w:color w:val="auto"/>
        </w:rPr>
        <w:t>, D</w:t>
      </w:r>
      <w:r>
        <w:rPr>
          <w:rFonts w:ascii="Times New Roman" w:cs="Times New Roman" w:eastAsia="Times New Roman" w:hAnsi="Times New Roman"/>
          <w:sz w:val="14"/>
          <w:szCs w:val="14"/>
          <w:b w:val="1"/>
          <w:bCs w:val="1"/>
          <w:u w:val="single" w:color="auto"/>
          <w:color w:val="auto"/>
        </w:rPr>
        <w:t>irector</w:t>
      </w:r>
      <w:r>
        <w:rPr>
          <w:rFonts w:ascii="Times New Roman" w:cs="Times New Roman" w:eastAsia="Times New Roman" w:hAnsi="Times New Roman"/>
          <w:sz w:val="22"/>
          <w:szCs w:val="22"/>
          <w:b w:val="1"/>
          <w:bCs w:val="1"/>
          <w:u w:val="single" w:color="auto"/>
          <w:color w:val="auto"/>
        </w:rPr>
        <w:t>, E</w:t>
      </w:r>
      <w:r>
        <w:rPr>
          <w:rFonts w:ascii="Times New Roman" w:cs="Times New Roman" w:eastAsia="Times New Roman" w:hAnsi="Times New Roman"/>
          <w:sz w:val="14"/>
          <w:szCs w:val="14"/>
          <w:b w:val="1"/>
          <w:bCs w:val="1"/>
          <w:u w:val="single" w:color="auto"/>
          <w:color w:val="auto"/>
        </w:rPr>
        <w:t>mployee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onsultant</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 If the Participant is an Employee, the Participant understands and acknowledges that, except as otherwise provided in a separate, written employment agreement between a Participating</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1628007208.4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6" w:name="page87"/>
    <w:bookmarkEnd w:id="86"/>
    <w:p>
      <w:pPr>
        <w:jc w:val="both"/>
        <w:spacing w:after="0" w:line="250" w:lineRule="auto"/>
        <w:rPr>
          <w:sz w:val="20"/>
          <w:szCs w:val="20"/>
          <w:color w:val="auto"/>
        </w:rPr>
      </w:pPr>
      <w:r>
        <w:rPr>
          <w:rFonts w:ascii="Times New Roman" w:cs="Times New Roman" w:eastAsia="Times New Roman" w:hAnsi="Times New Roman"/>
          <w:sz w:val="22"/>
          <w:szCs w:val="22"/>
          <w:color w:val="auto"/>
        </w:rPr>
        <w:t>Company and the Participant,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16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b w:val="1"/>
          <w:bCs w:val="1"/>
          <w:u w:val="single" w:color="auto"/>
          <w:color w:val="auto"/>
        </w:rPr>
        <w:t>L</w:t>
      </w:r>
      <w:r>
        <w:rPr>
          <w:rFonts w:ascii="Times New Roman" w:cs="Times New Roman" w:eastAsia="Times New Roman" w:hAnsi="Times New Roman"/>
          <w:sz w:val="14"/>
          <w:szCs w:val="14"/>
          <w:b w:val="1"/>
          <w:bCs w:val="1"/>
          <w:u w:val="single" w:color="auto"/>
          <w:color w:val="auto"/>
        </w:rPr>
        <w:t>egends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The Company may at any time place legends referencing any applicable federal, state or foreign securities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1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ompliance with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409A.</w:t>
      </w:r>
    </w:p>
    <w:p>
      <w:pPr>
        <w:spacing w:after="0" w:line="224"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22"/>
          <w:szCs w:val="22"/>
          <w:color w:val="auto"/>
        </w:rPr>
        <w:t>It is intended that any election, payment or benefit which is made or provided pursuant to or in connection with this Award that may result in Section 409A Deferred Compensation shall comply in all respects with the applicable requirements of Section 409A (including applicable regulations or other administrative guidance thereunder, as determined by the Committee in good faith) to avoid the unfavorable tax consequences provided therein for non-compliance. In connection with effecting such compliance with Section 409A, the following shall apply:</w:t>
      </w:r>
    </w:p>
    <w:p>
      <w:pPr>
        <w:spacing w:after="0" w:line="17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12.1 Separation from Service; Required Delay in Payment to Specified Employee. </w:t>
      </w:r>
      <w:r>
        <w:rPr>
          <w:rFonts w:ascii="Times New Roman" w:cs="Times New Roman" w:eastAsia="Times New Roman" w:hAnsi="Times New Roman"/>
          <w:sz w:val="22"/>
          <w:szCs w:val="22"/>
          <w:color w:val="auto"/>
        </w:rPr>
        <w:t>Notwithstanding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anything set forth herein to the contrary, no amount payable pursuant to this Agreement on account of the Participant’s termination of Service which constitutes a “deferral of compensation” within the meaning of the Treasury Regulations issued pursuant to Section 409A of the Code (the “</w:t>
      </w:r>
      <w:r>
        <w:rPr>
          <w:rFonts w:ascii="Times New Roman" w:cs="Times New Roman" w:eastAsia="Times New Roman" w:hAnsi="Times New Roman"/>
          <w:sz w:val="22"/>
          <w:szCs w:val="22"/>
          <w:b w:val="1"/>
          <w:bCs w:val="1"/>
          <w:i w:val="1"/>
          <w:iCs w:val="1"/>
          <w:color w:val="auto"/>
        </w:rPr>
        <w:t>Section 409A Regulations</w:t>
      </w:r>
      <w:r>
        <w:rPr>
          <w:rFonts w:ascii="Times New Roman" w:cs="Times New Roman" w:eastAsia="Times New Roman" w:hAnsi="Times New Roman"/>
          <w:sz w:val="22"/>
          <w:szCs w:val="22"/>
          <w:color w:val="auto"/>
        </w:rPr>
        <w:t>”) shall be paid unless and until the Participant has incurred a “separation from service” within the meaning of the Section 409A 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shall be paid to the Participant before the date (the “</w:t>
      </w:r>
      <w:r>
        <w:rPr>
          <w:rFonts w:ascii="Times New Roman" w:cs="Times New Roman" w:eastAsia="Times New Roman" w:hAnsi="Times New Roman"/>
          <w:sz w:val="22"/>
          <w:szCs w:val="22"/>
          <w:b w:val="1"/>
          <w:bCs w:val="1"/>
          <w:i w:val="1"/>
          <w:iCs w:val="1"/>
          <w:color w:val="auto"/>
        </w:rPr>
        <w:t>Delayed Payment Date</w:t>
      </w:r>
      <w:r>
        <w:rPr>
          <w:rFonts w:ascii="Times New Roman" w:cs="Times New Roman" w:eastAsia="Times New Roman" w:hAnsi="Times New Roman"/>
          <w:sz w:val="22"/>
          <w:szCs w:val="22"/>
          <w:color w:val="auto"/>
        </w:rPr>
        <w:t>”) which is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in a lump sum on the Delayed Payment Date.</w:t>
      </w:r>
    </w:p>
    <w:p>
      <w:pPr>
        <w:spacing w:after="0" w:line="197"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12.2 Other Changes in Time of Payment. </w:t>
      </w:r>
      <w:r>
        <w:rPr>
          <w:rFonts w:ascii="Times New Roman" w:cs="Times New Roman" w:eastAsia="Times New Roman" w:hAnsi="Times New Roman"/>
          <w:sz w:val="22"/>
          <w:szCs w:val="22"/>
          <w:color w:val="auto"/>
        </w:rPr>
        <w:t>Neither the Participant nor the Company shall take any action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accelerate or delay the payment of any benefits under this Agreement in any manner which would not be in compliance with the Section 409A Regulations.</w:t>
      </w:r>
    </w:p>
    <w:p>
      <w:pPr>
        <w:spacing w:after="0" w:line="162"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12.3 Amendments to Comply with Section 409A; Indemnification. </w:t>
      </w:r>
      <w:r>
        <w:rPr>
          <w:rFonts w:ascii="Times New Roman" w:cs="Times New Roman" w:eastAsia="Times New Roman" w:hAnsi="Times New Roman"/>
          <w:sz w:val="22"/>
          <w:szCs w:val="22"/>
          <w:color w:val="auto"/>
        </w:rPr>
        <w:t>Notwithstanding any other provision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to the contrary, 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or appropriate to</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1628007208.4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7" w:name="page88"/>
    <w:bookmarkEnd w:id="87"/>
    <w:p>
      <w:pPr>
        <w:jc w:val="both"/>
        <w:spacing w:after="0" w:line="244" w:lineRule="auto"/>
        <w:rPr>
          <w:sz w:val="20"/>
          <w:szCs w:val="20"/>
          <w:color w:val="auto"/>
        </w:rPr>
      </w:pPr>
      <w:r>
        <w:rPr>
          <w:rFonts w:ascii="Times New Roman" w:cs="Times New Roman" w:eastAsia="Times New Roman" w:hAnsi="Times New Roman"/>
          <w:sz w:val="22"/>
          <w:szCs w:val="22"/>
          <w:color w:val="auto"/>
        </w:rPr>
        <w:t>comply with the Section 409A Regulations without prior notice to or consent of the Participant.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w:t>
      </w:r>
    </w:p>
    <w:p>
      <w:pPr>
        <w:spacing w:after="0" w:line="182"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12.4 Advice of Independent Tax Advisor. </w:t>
      </w:r>
      <w:r>
        <w:rPr>
          <w:rFonts w:ascii="Times New Roman" w:cs="Times New Roman" w:eastAsia="Times New Roman" w:hAnsi="Times New Roman"/>
          <w:sz w:val="22"/>
          <w:szCs w:val="22"/>
          <w:color w:val="auto"/>
        </w:rPr>
        <w:t>The Company has not obtained a tax ruling or other confirmation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w:t>
      </w:r>
    </w:p>
    <w:p>
      <w:pPr>
        <w:spacing w:after="0" w:line="17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b w:val="1"/>
          <w:bCs w:val="1"/>
          <w:u w:val="single" w:color="auto"/>
          <w:color w:val="auto"/>
        </w:rPr>
        <w:t>M</w:t>
      </w:r>
      <w:r>
        <w:rPr>
          <w:rFonts w:ascii="Times New Roman" w:cs="Times New Roman" w:eastAsia="Times New Roman" w:hAnsi="Times New Roman"/>
          <w:sz w:val="14"/>
          <w:szCs w:val="14"/>
          <w:b w:val="1"/>
          <w:bCs w:val="1"/>
          <w:u w:val="single" w:color="auto"/>
          <w:color w:val="auto"/>
        </w:rPr>
        <w:t>iscellaneous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w:t>
      </w:r>
      <w:r>
        <w:rPr>
          <w:rFonts w:ascii="Times New Roman" w:cs="Times New Roman" w:eastAsia="Times New Roman" w:hAnsi="Times New Roman"/>
          <w:sz w:val="14"/>
          <w:szCs w:val="14"/>
          <w:b w:val="1"/>
          <w:bCs w:val="1"/>
          <w:u w:val="single" w:color="auto"/>
          <w:color w:val="auto"/>
        </w:rPr>
        <w:t>rovisions</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13.1 Termination or Amendment. </w:t>
      </w:r>
      <w:r>
        <w:rPr>
          <w:rFonts w:ascii="Times New Roman" w:cs="Times New Roman" w:eastAsia="Times New Roman" w:hAnsi="Times New Roman"/>
          <w:sz w:val="22"/>
          <w:szCs w:val="22"/>
          <w:color w:val="auto"/>
        </w:rPr>
        <w:t>The Committee may terminate or amend the Plan or this Agreement at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provided, however, that except as provided in Section 8 in connection with a Change in Control, no such termination or amendment may have a materially adverse effect on the Participant’s rights under this Agreement without the consent of the Participant unless such termination or amendment is necessary to comply with applicable law or government regulation, including, but not limited to, Section 409A. No amendment or addition to this Agreement shall be effective unless in writing.</w:t>
      </w:r>
    </w:p>
    <w:p>
      <w:pPr>
        <w:spacing w:after="0" w:line="17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13.2 Nontransferability of the Award. </w:t>
      </w:r>
      <w:r>
        <w:rPr>
          <w:rFonts w:ascii="Times New Roman" w:cs="Times New Roman" w:eastAsia="Times New Roman" w:hAnsi="Times New Roman"/>
          <w:sz w:val="22"/>
          <w:szCs w:val="22"/>
          <w:color w:val="auto"/>
        </w:rPr>
        <w:t>Prior to the issuance of shares of Stock on the applicable Settlement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72" w:lineRule="exact"/>
        <w:rPr>
          <w:sz w:val="20"/>
          <w:szCs w:val="20"/>
          <w:color w:val="auto"/>
        </w:rPr>
      </w:pPr>
    </w:p>
    <w:p>
      <w:pPr>
        <w:jc w:val="both"/>
        <w:ind w:right="20" w:firstLine="1497"/>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13.3 Further Instruments. </w:t>
      </w:r>
      <w:r>
        <w:rPr>
          <w:rFonts w:ascii="Times New Roman" w:cs="Times New Roman" w:eastAsia="Times New Roman" w:hAnsi="Times New Roman"/>
          <w:sz w:val="22"/>
          <w:szCs w:val="22"/>
          <w:color w:val="auto"/>
        </w:rPr>
        <w:t>The parties hereto agree to execute such further instruments and to take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further action as may reasonably be necessary to carry out the intent of this Agreement.</w:t>
      </w:r>
    </w:p>
    <w:p>
      <w:pPr>
        <w:spacing w:after="0" w:line="136"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13.4 Binding Effect. </w:t>
      </w:r>
      <w:r>
        <w:rPr>
          <w:rFonts w:ascii="Times New Roman" w:cs="Times New Roman" w:eastAsia="Times New Roman" w:hAnsi="Times New Roman"/>
          <w:sz w:val="22"/>
          <w:szCs w:val="22"/>
          <w:color w:val="auto"/>
        </w:rPr>
        <w:t>This Agreement shall inure to the benefit of the successors and assigns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subject to the restrictions on transfer set forth herein, be binding upon the Participant and the Participant’s heirs, executors, administrators, successors and assigns.</w:t>
      </w:r>
    </w:p>
    <w:p>
      <w:pPr>
        <w:spacing w:after="0" w:line="16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13.5 Delivery of Documents and Notices. </w:t>
      </w:r>
      <w:r>
        <w:rPr>
          <w:rFonts w:ascii="Times New Roman" w:cs="Times New Roman" w:eastAsia="Times New Roman" w:hAnsi="Times New Roman"/>
          <w:sz w:val="22"/>
          <w:szCs w:val="22"/>
          <w:color w:val="auto"/>
        </w:rPr>
        <w:t>Any document relating to participation in the Plan or any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1628007208.4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8" w:name="page89"/>
    <w:bookmarkEnd w:id="88"/>
    <w:p>
      <w:pPr>
        <w:jc w:val="both"/>
        <w:spacing w:after="0" w:line="250" w:lineRule="auto"/>
        <w:rPr>
          <w:sz w:val="20"/>
          <w:szCs w:val="20"/>
          <w:color w:val="auto"/>
        </w:rPr>
      </w:pPr>
      <w:r>
        <w:rPr>
          <w:rFonts w:ascii="Times New Roman" w:cs="Times New Roman" w:eastAsia="Times New Roman" w:hAnsi="Times New Roman"/>
          <w:sz w:val="22"/>
          <w:szCs w:val="22"/>
          <w:color w:val="auto"/>
        </w:rPr>
        <w:t>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62" w:lineRule="exact"/>
        <w:rPr>
          <w:sz w:val="20"/>
          <w:szCs w:val="20"/>
          <w:color w:val="auto"/>
        </w:rPr>
      </w:pPr>
    </w:p>
    <w:p>
      <w:pPr>
        <w:ind w:left="2560" w:hanging="306"/>
        <w:spacing w:after="0"/>
        <w:tabs>
          <w:tab w:leader="none" w:pos="256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Description of Electronic Delivery and Signature. </w:t>
      </w:r>
      <w:r>
        <w:rPr>
          <w:rFonts w:ascii="Times New Roman" w:cs="Times New Roman" w:eastAsia="Times New Roman" w:hAnsi="Times New Roman"/>
          <w:sz w:val="21"/>
          <w:szCs w:val="21"/>
          <w:color w:val="auto"/>
        </w:rPr>
        <w:t>The Plan documents, which may include but do</w:t>
      </w:r>
    </w:p>
    <w:p>
      <w:pPr>
        <w:spacing w:after="0" w:line="45" w:lineRule="exact"/>
        <w:rPr>
          <w:rFonts w:ascii="Times New Roman" w:cs="Times New Roman" w:eastAsia="Times New Roman" w:hAnsi="Times New Roman"/>
          <w:sz w:val="21"/>
          <w:szCs w:val="21"/>
          <w:color w:val="auto"/>
        </w:rPr>
      </w:pPr>
    </w:p>
    <w:p>
      <w:pPr>
        <w:jc w:val="both"/>
        <w:spacing w:after="0" w:line="23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not necessarily include: the Plan,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spacing w:after="0" w:line="172" w:lineRule="exact"/>
        <w:rPr>
          <w:rFonts w:ascii="Times New Roman" w:cs="Times New Roman" w:eastAsia="Times New Roman" w:hAnsi="Times New Roman"/>
          <w:sz w:val="21"/>
          <w:szCs w:val="21"/>
          <w:color w:val="auto"/>
        </w:rPr>
      </w:pPr>
    </w:p>
    <w:p>
      <w:pPr>
        <w:jc w:val="both"/>
        <w:ind w:firstLine="2254"/>
        <w:spacing w:after="0" w:line="238" w:lineRule="auto"/>
        <w:tabs>
          <w:tab w:leader="none" w:pos="254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Consent to Electronic Delivery and Signature. </w:t>
      </w:r>
      <w:r>
        <w:rPr>
          <w:rFonts w:ascii="Times New Roman" w:cs="Times New Roman" w:eastAsia="Times New Roman" w:hAnsi="Times New Roman"/>
          <w:sz w:val="22"/>
          <w:szCs w:val="22"/>
          <w:color w:val="auto"/>
        </w:rPr>
        <w:t>The Participant acknowledges that the Participant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has read Section 13.5(a) of this Agreement and consents to the electronic delivery of the Plan documents and, if permitted by the Company, the delivery of the Grant Notice, as described in Section 13.5(a).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189"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13.6 Integrated Agreement. </w:t>
      </w:r>
      <w:r>
        <w:rPr>
          <w:rFonts w:ascii="Times New Roman" w:cs="Times New Roman" w:eastAsia="Times New Roman" w:hAnsi="Times New Roman"/>
          <w:sz w:val="22"/>
          <w:szCs w:val="22"/>
          <w:color w:val="auto"/>
        </w:rPr>
        <w:t>The Grant Notice, this Agreement and the Plan, together with the Superseding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if any,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1628007208.4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9" w:name="page90"/>
    <w:bookmarkEnd w:id="89"/>
    <w:p>
      <w:pPr>
        <w:ind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13.7 Applicable Law. </w:t>
      </w:r>
      <w:r>
        <w:rPr>
          <w:rFonts w:ascii="Times New Roman" w:cs="Times New Roman" w:eastAsia="Times New Roman" w:hAnsi="Times New Roman"/>
          <w:sz w:val="22"/>
          <w:szCs w:val="22"/>
          <w:color w:val="auto"/>
        </w:rPr>
        <w:t>This Agreement shall be governed by the laws of the State of Delaware as such laws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applied to agreements between Delaware residents entered into and to be performed entirely within the State of Delaware.</w:t>
      </w:r>
    </w:p>
    <w:p>
      <w:pPr>
        <w:spacing w:after="0" w:line="163" w:lineRule="exact"/>
        <w:rPr>
          <w:sz w:val="20"/>
          <w:szCs w:val="20"/>
          <w:color w:val="auto"/>
        </w:rPr>
      </w:pPr>
    </w:p>
    <w:p>
      <w:pPr>
        <w:ind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13.8 Counterparts. </w:t>
      </w:r>
      <w:r>
        <w:rPr>
          <w:rFonts w:ascii="Times New Roman" w:cs="Times New Roman" w:eastAsia="Times New Roman" w:hAnsi="Times New Roman"/>
          <w:sz w:val="22"/>
          <w:szCs w:val="22"/>
          <w:color w:val="auto"/>
        </w:rPr>
        <w:t>The Grant Notice may be executed in counterparts, each of which shall be deemed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but all of which together shall constitute one and the same instrument.</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1628007208.4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PALOMAR HOLDINGS, INC.</w:t>
      </w:r>
    </w:p>
    <w:p>
      <w:pPr>
        <w:spacing w:after="0" w:line="3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NOTICE OF GRANT OF PERFORMANCE STOCK UNITS</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(For U.S.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left="480" w:right="560"/>
        <w:spacing w:after="0" w:line="252" w:lineRule="auto"/>
        <w:rPr>
          <w:sz w:val="20"/>
          <w:szCs w:val="20"/>
          <w:color w:val="auto"/>
        </w:rPr>
      </w:pPr>
      <w:r>
        <w:rPr>
          <w:rFonts w:ascii="Times New Roman" w:cs="Times New Roman" w:eastAsia="Times New Roman" w:hAnsi="Times New Roman"/>
          <w:sz w:val="18"/>
          <w:szCs w:val="18"/>
          <w:color w:val="auto"/>
        </w:rPr>
        <w:t xml:space="preserve">Palomar Holdings, Inc.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has granted to the Participant an award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 certain Performance Stock Units pursuant to the Palomar Holdings, Inc. 2019 Equity Incentive Plan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each of which represents the right to receive on the applicable Settlement Date one (1) share of Stock, as follows. Capitalized terms used herein and not otherwise defined have the meanings set forth in the Plan or the Performance Stock Units Agreement (</w:t>
      </w:r>
      <w:r>
        <w:rPr>
          <w:rFonts w:ascii="Times New Roman" w:cs="Times New Roman" w:eastAsia="Times New Roman" w:hAnsi="Times New Roman"/>
          <w:sz w:val="18"/>
          <w:szCs w:val="18"/>
          <w:b w:val="1"/>
          <w:bCs w:val="1"/>
          <w:i w:val="1"/>
          <w:iCs w:val="1"/>
          <w:color w:val="auto"/>
        </w:rPr>
        <w:t>“PSU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Participant: Employee ID:</w:t>
      </w:r>
    </w:p>
    <w:p>
      <w:pPr>
        <w:sectPr>
          <w:pgSz w:w="11900" w:h="16838" w:orient="portrait"/>
          <w:cols w:equalWidth="0" w:num="1">
            <w:col w:w="11200"/>
          </w:cols>
          <w:pgMar w:left="360" w:top="7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Date of Grant: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Target Number of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Performance Period</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Maximum Number of Units: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Settlement Date: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Vesting Start Date:</w:t>
      </w:r>
    </w:p>
    <w:p>
      <w:pPr>
        <w:spacing w:after="0" w:line="252"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7"/>
          <w:szCs w:val="17"/>
          <w:b w:val="1"/>
          <w:bCs w:val="1"/>
          <w:color w:val="auto"/>
        </w:rPr>
        <w:t>Service Vesting Condition:</w:t>
      </w:r>
    </w:p>
    <w:p>
      <w:pPr>
        <w:spacing w:after="0" w:line="200" w:lineRule="exact"/>
        <w:rPr>
          <w:sz w:val="20"/>
          <w:szCs w:val="20"/>
          <w:color w:val="auto"/>
        </w:rPr>
      </w:pPr>
    </w:p>
    <w:p>
      <w:pPr>
        <w:spacing w:after="0" w:line="3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Vested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TOTAL_SHARES_GRANTED,</w:t>
      </w:r>
    </w:p>
    <w:p>
      <w:pPr>
        <w:spacing w:after="0" w:line="32" w:lineRule="exact"/>
        <w:rPr>
          <w:sz w:val="20"/>
          <w:szCs w:val="20"/>
          <w:color w:val="auto"/>
        </w:rPr>
      </w:pPr>
    </w:p>
    <w:p>
      <w:pPr>
        <w:ind w:left="80" w:right="580"/>
        <w:spacing w:after="0" w:line="255" w:lineRule="auto"/>
        <w:rPr>
          <w:sz w:val="20"/>
          <w:szCs w:val="20"/>
          <w:color w:val="auto"/>
        </w:rPr>
      </w:pP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b w:val="1"/>
          <w:bCs w:val="1"/>
          <w:i w:val="1"/>
          <w:iCs w:val="1"/>
          <w:color w:val="auto"/>
        </w:rPr>
        <w:t>Unit</w:t>
      </w:r>
      <w:r>
        <w:rPr>
          <w:rFonts w:ascii="Times New Roman" w:cs="Times New Roman" w:eastAsia="Times New Roman" w:hAnsi="Times New Roman"/>
          <w:sz w:val="18"/>
          <w:szCs w:val="18"/>
          <w:color w:val="auto"/>
        </w:rPr>
        <w:t>”), subject to adjustment as provided by the Performance Stock Units Agreement. Each Unit shall be a Performance Share for purposes of the Plan.</w:t>
      </w:r>
    </w:p>
    <w:p>
      <w:pPr>
        <w:spacing w:after="0" w:line="200" w:lineRule="exact"/>
        <w:rPr>
          <w:sz w:val="20"/>
          <w:szCs w:val="20"/>
          <w:color w:val="auto"/>
        </w:rPr>
      </w:pPr>
    </w:p>
    <w:p>
      <w:pPr>
        <w:spacing w:after="0" w:line="3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January 1, 2026 – December 31, 2028</w:t>
      </w: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200% of Target Number of Units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60"/>
        <w:spacing w:after="0" w:line="250" w:lineRule="auto"/>
        <w:rPr>
          <w:sz w:val="20"/>
          <w:szCs w:val="20"/>
          <w:color w:val="auto"/>
        </w:rPr>
      </w:pPr>
      <w:r>
        <w:rPr>
          <w:rFonts w:ascii="Times New Roman" w:cs="Times New Roman" w:eastAsia="Times New Roman" w:hAnsi="Times New Roman"/>
          <w:sz w:val="18"/>
          <w:szCs w:val="18"/>
          <w:color w:val="auto"/>
        </w:rPr>
        <w:t>Except as provided by the Performance Stock Units Agreement, the date on which a Unit becomes a Vested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760"/>
        <w:spacing w:after="0" w:line="250" w:lineRule="auto"/>
        <w:rPr>
          <w:sz w:val="20"/>
          <w:szCs w:val="20"/>
          <w:color w:val="auto"/>
        </w:rPr>
      </w:pPr>
      <w:r>
        <w:rPr>
          <w:rFonts w:ascii="Times New Roman" w:cs="Times New Roman" w:eastAsia="Times New Roman" w:hAnsi="Times New Roman"/>
          <w:sz w:val="18"/>
          <w:szCs w:val="18"/>
          <w:color w:val="auto"/>
        </w:rPr>
        <w:t>Subject to the terms of the PSU Agreement, Participant’s continued Service from the Vesting Start Date through December 31, 2028.</w:t>
      </w:r>
    </w:p>
    <w:p>
      <w:pPr>
        <w:spacing w:after="0" w:line="3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xml:space="preserve">Subject to Participant’s satisfaction of the Service Vesting Condition, the number of </w:t>
      </w:r>
      <w:r>
        <w:rPr>
          <w:rFonts w:ascii="Times New Roman" w:cs="Times New Roman" w:eastAsia="Times New Roman" w:hAnsi="Times New Roman"/>
          <w:sz w:val="18"/>
          <w:szCs w:val="18"/>
          <w:u w:val="single" w:color="auto"/>
          <w:color w:val="auto"/>
        </w:rPr>
        <w:t>Vested</w:t>
      </w:r>
    </w:p>
    <w:p>
      <w:pPr>
        <w:spacing w:after="0" w:line="2" w:lineRule="exact"/>
        <w:rPr>
          <w:sz w:val="20"/>
          <w:szCs w:val="20"/>
          <w:color w:val="auto"/>
        </w:rPr>
      </w:pPr>
    </w:p>
    <w:p>
      <w:pPr>
        <w:ind w:left="80" w:right="600"/>
        <w:spacing w:after="0" w:line="243" w:lineRule="auto"/>
        <w:rPr>
          <w:sz w:val="20"/>
          <w:szCs w:val="20"/>
          <w:color w:val="auto"/>
        </w:rPr>
      </w:pPr>
      <w:r>
        <w:rPr>
          <w:rFonts w:ascii="Times New Roman" w:cs="Times New Roman" w:eastAsia="Times New Roman" w:hAnsi="Times New Roman"/>
          <w:sz w:val="17"/>
          <w:szCs w:val="17"/>
          <w:u w:val="single" w:color="auto"/>
          <w:color w:val="auto"/>
        </w:rPr>
        <w:t>Units</w:t>
      </w:r>
      <w:r>
        <w:rPr>
          <w:rFonts w:ascii="Times New Roman" w:cs="Times New Roman" w:eastAsia="Times New Roman" w:hAnsi="Times New Roman"/>
          <w:sz w:val="17"/>
          <w:szCs w:val="17"/>
          <w:color w:val="auto"/>
        </w:rPr>
        <w:t xml:space="preserve"> (disregarding any resulting fractional Unit) will be equal to the Target Number of Units multiplied by the applicable Payout Level determined by the Committee in accordance with the Performance Vesting Criteria set out in </w:t>
      </w:r>
      <w:r>
        <w:rPr>
          <w:rFonts w:ascii="Times New Roman" w:cs="Times New Roman" w:eastAsia="Times New Roman" w:hAnsi="Times New Roman"/>
          <w:sz w:val="17"/>
          <w:szCs w:val="17"/>
          <w:u w:val="single" w:color="auto"/>
          <w:color w:val="auto"/>
        </w:rPr>
        <w:t>Attachment 1</w:t>
      </w:r>
      <w:r>
        <w:rPr>
          <w:rFonts w:ascii="Times New Roman" w:cs="Times New Roman" w:eastAsia="Times New Roman" w:hAnsi="Times New Roman"/>
          <w:sz w:val="17"/>
          <w:szCs w:val="17"/>
          <w:color w:val="auto"/>
        </w:rPr>
        <w:t xml:space="preserve"> to this Grant Notice (the “</w:t>
      </w:r>
      <w:r>
        <w:rPr>
          <w:rFonts w:ascii="Times New Roman" w:cs="Times New Roman" w:eastAsia="Times New Roman" w:hAnsi="Times New Roman"/>
          <w:sz w:val="17"/>
          <w:szCs w:val="17"/>
          <w:u w:val="single" w:color="auto"/>
          <w:color w:val="auto"/>
        </w:rPr>
        <w:t>Performance Vesting Conditions</w:t>
      </w:r>
      <w:r>
        <w:rPr>
          <w:rFonts w:ascii="Times New Roman" w:cs="Times New Roman" w:eastAsia="Times New Roman" w:hAnsi="Times New Roman"/>
          <w:sz w:val="17"/>
          <w:szCs w:val="17"/>
          <w:color w:val="auto"/>
        </w:rPr>
        <w:t>”) for:</w:t>
      </w:r>
    </w:p>
    <w:p>
      <w:pPr>
        <w:spacing w:after="0" w:line="75" w:lineRule="exact"/>
        <w:rPr>
          <w:sz w:val="20"/>
          <w:szCs w:val="20"/>
          <w:color w:val="auto"/>
        </w:rPr>
      </w:pPr>
    </w:p>
    <w:p>
      <w:pPr>
        <w:ind w:left="580" w:right="660" w:hanging="514"/>
        <w:spacing w:after="0" w:line="250" w:lineRule="auto"/>
        <w:tabs>
          <w:tab w:leader="none" w:pos="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one-year Performance Period commencing on January 1, 2026, and ending on December 31, 2026, with respect to 30% of the Target Number of Units, which are eligible to vest subject to the level of attainment of the Gross Written Premium during such Performance Period; and</w:t>
      </w:r>
    </w:p>
    <w:p>
      <w:pPr>
        <w:spacing w:after="0" w:line="82" w:lineRule="exact"/>
        <w:rPr>
          <w:rFonts w:ascii="Times New Roman" w:cs="Times New Roman" w:eastAsia="Times New Roman" w:hAnsi="Times New Roman"/>
          <w:sz w:val="18"/>
          <w:szCs w:val="18"/>
          <w:color w:val="auto"/>
        </w:rPr>
      </w:pPr>
    </w:p>
    <w:p>
      <w:pPr>
        <w:ind w:left="560" w:hanging="494"/>
        <w:spacing w:after="0"/>
        <w:tabs>
          <w:tab w:leader="none" w:pos="5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three-year Performance Period commencing on January 1, 2026, and</w:t>
      </w:r>
    </w:p>
    <w:p>
      <w:pPr>
        <w:spacing w:after="0" w:line="153" w:lineRule="exact"/>
        <w:rPr>
          <w:sz w:val="20"/>
          <w:szCs w:val="20"/>
          <w:color w:val="auto"/>
        </w:rPr>
      </w:pPr>
    </w:p>
    <w:p>
      <w:pPr>
        <w:sectPr>
          <w:pgSz w:w="11900" w:h="16838" w:orient="portrait"/>
          <w:cols w:equalWidth="0" w:num="2">
            <w:col w:w="2640" w:space="280"/>
            <w:col w:w="8280"/>
          </w:cols>
          <w:pgMar w:left="360" w:top="75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1628750810.2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52" w:right="339" w:bottom="1440" w:gutter="0" w:footer="0" w:header="0"/>
          <w:type w:val="continuous"/>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Superseding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b w:val="1"/>
          <w:bCs w:val="1"/>
          <w:color w:val="auto"/>
        </w:rPr>
        <w:t>Mandatory Sale To Cover Withholding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60" w:right="380"/>
        <w:spacing w:after="0" w:line="258" w:lineRule="auto"/>
        <w:rPr>
          <w:sz w:val="20"/>
          <w:szCs w:val="20"/>
          <w:color w:val="auto"/>
        </w:rPr>
      </w:pPr>
      <w:r>
        <w:rPr>
          <w:rFonts w:ascii="Times New Roman" w:cs="Times New Roman" w:eastAsia="Times New Roman" w:hAnsi="Times New Roman"/>
          <w:sz w:val="18"/>
          <w:szCs w:val="18"/>
          <w:color w:val="auto"/>
        </w:rPr>
        <w:t>ending on December 31, 2028, with respect to 70% of the Target Number of Units which are eligible to vest subject to the level of attainment of the Adjusted Return on Equity performance metric during such Performance Period; and,</w:t>
      </w:r>
    </w:p>
    <w:p>
      <w:pPr>
        <w:spacing w:after="0" w:line="48" w:lineRule="exact"/>
        <w:rPr>
          <w:sz w:val="20"/>
          <w:szCs w:val="20"/>
          <w:color w:val="auto"/>
        </w:rPr>
      </w:pPr>
    </w:p>
    <w:p>
      <w:pPr>
        <w:ind w:right="580"/>
        <w:spacing w:after="0" w:line="236" w:lineRule="auto"/>
        <w:rPr>
          <w:sz w:val="20"/>
          <w:szCs w:val="20"/>
          <w:color w:val="auto"/>
        </w:rPr>
      </w:pPr>
      <w:r>
        <w:rPr>
          <w:rFonts w:ascii="Times New Roman" w:cs="Times New Roman" w:eastAsia="Times New Roman" w:hAnsi="Times New Roman"/>
          <w:sz w:val="18"/>
          <w:szCs w:val="18"/>
          <w:color w:val="auto"/>
        </w:rPr>
        <w:t>For the avoidance of doubt, no Units will become Vested Units unless each of the Service Vesting Condition and the Performance Vesting Conditions are both met with respect to such Units as determined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
        <w:spacing w:after="0" w:line="222" w:lineRule="auto"/>
        <w:rPr>
          <w:sz w:val="20"/>
          <w:szCs w:val="20"/>
          <w:color w:val="auto"/>
        </w:rPr>
      </w:pPr>
      <w:r>
        <w:rPr>
          <w:rFonts w:ascii="Times New Roman" w:cs="Times New Roman" w:eastAsia="Times New Roman" w:hAnsi="Times New Roman"/>
          <w:sz w:val="18"/>
          <w:szCs w:val="18"/>
          <w:color w:val="auto"/>
        </w:rPr>
        <w:t>As a condition to acceptance of this Award, to the fullest extent permitted under the Plan, Article 7 of the Restricted Stock Units Agreement and applicable law, withholding taxes and other tax related items will be satisfied through the sale of a number of the shares of Stock issued on the settlement of Vested Units and the remittance of the cash proceeds to the Company. The Company is authorized and directed by the Participant to make payment from the cash proceeds of this sale directly to the appropriate taxing authorities in an amount equal to the taxes required to be withheld. The mandatory sale of shares of Stock to cover withholding taxes and tax related items is imposed by the Company on</w:t>
      </w:r>
    </w:p>
    <w:p>
      <w:pPr>
        <w:spacing w:after="0" w:line="3" w:lineRule="exact"/>
        <w:rPr>
          <w:sz w:val="20"/>
          <w:szCs w:val="20"/>
          <w:color w:val="auto"/>
        </w:rPr>
      </w:pPr>
    </w:p>
    <w:p>
      <w:pPr>
        <w:ind w:left="180" w:right="480"/>
        <w:spacing w:after="0" w:line="223" w:lineRule="auto"/>
        <w:rPr>
          <w:sz w:val="20"/>
          <w:szCs w:val="20"/>
          <w:color w:val="auto"/>
        </w:rPr>
      </w:pPr>
      <w:r>
        <w:rPr>
          <w:rFonts w:ascii="Times New Roman" w:cs="Times New Roman" w:eastAsia="Times New Roman" w:hAnsi="Times New Roman"/>
          <w:sz w:val="17"/>
          <w:szCs w:val="17"/>
          <w:color w:val="auto"/>
        </w:rPr>
        <w:t>the Participant in connection with the receipt of this Award, and it is intended to comply with the requirements of Rule 10b5-1(c)(1)(i)(B) under the Exchange Act and be interpreted to meet the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requirements of Rule 10b5-1(c).</w:t>
      </w:r>
    </w:p>
    <w:p>
      <w:pPr>
        <w:spacing w:after="0" w:line="200" w:lineRule="exact"/>
        <w:rPr>
          <w:sz w:val="20"/>
          <w:szCs w:val="20"/>
          <w:color w:val="auto"/>
        </w:rPr>
      </w:pPr>
    </w:p>
    <w:p>
      <w:pPr>
        <w:sectPr>
          <w:pgSz w:w="11900" w:h="16838" w:orient="portrait"/>
          <w:cols w:equalWidth="0" w:num="2">
            <w:col w:w="2560" w:space="360"/>
            <w:col w:w="7640"/>
          </w:cols>
          <w:pgMar w:left="360" w:top="1440" w:right="979" w:bottom="1440" w:gutter="0" w:footer="0" w:header="0"/>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1628750810.2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465455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60" w:top="1440" w:right="979" w:bottom="1440" w:gutter="0" w:footer="0" w:header="0"/>
          <w:type w:val="continuous"/>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0"/>
        <w:spacing w:after="0" w:line="245" w:lineRule="auto"/>
        <w:rPr>
          <w:sz w:val="20"/>
          <w:szCs w:val="20"/>
          <w:color w:val="auto"/>
        </w:rPr>
      </w:pPr>
      <w:r>
        <w:rPr>
          <w:rFonts w:ascii="Times New Roman" w:cs="Times New Roman" w:eastAsia="Times New Roman" w:hAnsi="Times New Roman"/>
          <w:sz w:val="18"/>
          <w:szCs w:val="18"/>
          <w:color w:val="auto"/>
        </w:rPr>
        <w:t>By their signatures below or by electronic acceptance or authentication in a form authorized by the Company, the Company and the Participant agree that the Award is governed by this Grant Notice and by the provisions of the Performance Stock Units Agreement and the Plan, both of which are made a part of this document, and by the Superseding Agreement, if any. The Participant acknowledges that copies of the Plan, the Performance Stock Units Agreement and the prospectus for the Plan are available on the Company’s internal web site and may be viewed and printed by the Participant for attachment to the Participant’s copy of this Grant Notice. The Participant represents that the Participant has read and is familiar with the provisions of the Performance Stock Units Agreement and the Plan, and hereby accepts the Award subject to all of their terms and conditions.</w:t>
      </w:r>
    </w:p>
    <w:p>
      <w:pPr>
        <w:spacing w:after="0" w:line="200" w:lineRule="exact"/>
        <w:rPr>
          <w:sz w:val="20"/>
          <w:szCs w:val="20"/>
          <w:color w:val="auto"/>
        </w:rPr>
      </w:pPr>
    </w:p>
    <w:p>
      <w:pPr>
        <w:spacing w:after="0" w:line="3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PALOMAR HOLDINGS, INC.</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655764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308610</wp:posOffset>
            </wp:positionV>
            <wp:extent cx="376301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7">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0"/>
        <w:spacing w:after="0"/>
        <w:tabs>
          <w:tab w:leader="none" w:pos="146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7979 Ivanhoe Avenue, Suite 500</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La Jolla, CA 92037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5715</wp:posOffset>
            </wp:positionV>
            <wp:extent cx="376301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8">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2360" w:right="240" w:hanging="1871"/>
        <w:spacing w:after="0" w:line="266" w:lineRule="auto"/>
        <w:rPr>
          <w:sz w:val="20"/>
          <w:szCs w:val="20"/>
          <w:color w:val="auto"/>
        </w:rPr>
      </w:pPr>
      <w:r>
        <w:rPr>
          <w:rFonts w:ascii="Times New Roman" w:cs="Times New Roman" w:eastAsia="Times New Roman" w:hAnsi="Times New Roman"/>
          <w:sz w:val="18"/>
          <w:szCs w:val="18"/>
          <w:color w:val="auto"/>
        </w:rPr>
        <w:t xml:space="preserve">ATTACHMENTS: </w:t>
      </w:r>
      <w:r>
        <w:rPr>
          <w:rFonts w:ascii="Times New Roman" w:cs="Times New Roman" w:eastAsia="Times New Roman" w:hAnsi="Times New Roman"/>
          <w:sz w:val="18"/>
          <w:szCs w:val="18"/>
          <w:u w:val="single" w:color="auto"/>
          <w:color w:val="auto"/>
        </w:rPr>
        <w:t>Attachment 1 Performance Goals</w:t>
      </w:r>
      <w:r>
        <w:rPr>
          <w:rFonts w:ascii="Times New Roman" w:cs="Times New Roman" w:eastAsia="Times New Roman" w:hAnsi="Times New Roman"/>
          <w:sz w:val="18"/>
          <w:szCs w:val="18"/>
          <w:color w:val="auto"/>
        </w:rPr>
        <w:t>; 2019 Equity Incentive Plan, as amended to the Date of Grant; Performance Stock Units Agreement and Plan Prospectus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1628750810.2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60" w:top="1440" w:right="1019" w:bottom="1440" w:gutter="0" w:footer="0" w:header="0"/>
        </w:sectPr>
      </w:pPr>
    </w:p>
    <w:bookmarkStart w:id="93" w:name="page94"/>
    <w:bookmarkEnd w:id="93"/>
    <w:tbl>
      <w:tblPr>
        <w:tblLayout w:type="fixed"/>
        <w:tblInd w:w="10" w:type="dxa"/>
        <w:tblCellMar>
          <w:top w:w="0" w:type="dxa"/>
          <w:left w:w="0" w:type="dxa"/>
          <w:bottom w:w="0" w:type="dxa"/>
          <w:right w:w="0" w:type="dxa"/>
        </w:tblCellMar>
      </w:tblPr>
      <w:tr>
        <w:trPr>
          <w:trHeight w:val="253"/>
        </w:trPr>
        <w:tc>
          <w:tcPr>
            <w:tcW w:w="36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Attachment 1</w:t>
            </w:r>
          </w:p>
        </w:tc>
        <w:tc>
          <w:tcPr>
            <w:tcW w:w="144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300"/>
        </w:trPr>
        <w:tc>
          <w:tcPr>
            <w:tcW w:w="3640" w:type="dxa"/>
            <w:vAlign w:val="bottom"/>
          </w:tcPr>
          <w:p>
            <w:pPr>
              <w:spacing w:after="0"/>
              <w:rPr>
                <w:sz w:val="24"/>
                <w:szCs w:val="24"/>
                <w:color w:val="auto"/>
              </w:rPr>
            </w:pPr>
          </w:p>
        </w:tc>
        <w:tc>
          <w:tcPr>
            <w:tcW w:w="4080" w:type="dxa"/>
            <w:vAlign w:val="bottom"/>
            <w:gridSpan w:val="4"/>
          </w:tcPr>
          <w:p>
            <w:pPr>
              <w:jc w:val="center"/>
              <w:ind w:right="60"/>
              <w:spacing w:after="0"/>
              <w:rPr>
                <w:sz w:val="20"/>
                <w:szCs w:val="20"/>
                <w:color w:val="auto"/>
              </w:rPr>
            </w:pPr>
            <w:r>
              <w:rPr>
                <w:rFonts w:ascii="Times New Roman" w:cs="Times New Roman" w:eastAsia="Times New Roman" w:hAnsi="Times New Roman"/>
                <w:sz w:val="22"/>
                <w:szCs w:val="22"/>
                <w:b w:val="1"/>
                <w:bCs w:val="1"/>
                <w:color w:val="auto"/>
                <w:w w:val="98"/>
              </w:rPr>
              <w:t>2026 Grant Performance</w:t>
            </w:r>
          </w:p>
        </w:tc>
        <w:tc>
          <w:tcPr>
            <w:tcW w:w="2060" w:type="dxa"/>
            <w:vAlign w:val="bottom"/>
          </w:tcPr>
          <w:p>
            <w:pPr>
              <w:spacing w:after="0"/>
              <w:rPr>
                <w:sz w:val="24"/>
                <w:szCs w:val="24"/>
                <w:color w:val="auto"/>
              </w:rPr>
            </w:pPr>
          </w:p>
        </w:tc>
      </w:tr>
      <w:tr>
        <w:trPr>
          <w:trHeight w:val="268"/>
        </w:trPr>
        <w:tc>
          <w:tcPr>
            <w:tcW w:w="3640" w:type="dxa"/>
            <w:vAlign w:val="bottom"/>
          </w:tcPr>
          <w:p>
            <w:pPr>
              <w:spacing w:after="0"/>
              <w:rPr>
                <w:sz w:val="23"/>
                <w:szCs w:val="23"/>
                <w:color w:val="auto"/>
              </w:rPr>
            </w:pPr>
          </w:p>
        </w:tc>
        <w:tc>
          <w:tcPr>
            <w:tcW w:w="4080" w:type="dxa"/>
            <w:vAlign w:val="bottom"/>
            <w:gridSpan w:val="4"/>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8"/>
              </w:rPr>
              <w:t>Vesting Criteria</w:t>
            </w:r>
          </w:p>
        </w:tc>
        <w:tc>
          <w:tcPr>
            <w:tcW w:w="2060" w:type="dxa"/>
            <w:vAlign w:val="bottom"/>
          </w:tcPr>
          <w:p>
            <w:pPr>
              <w:spacing w:after="0"/>
              <w:rPr>
                <w:sz w:val="23"/>
                <w:szCs w:val="23"/>
                <w:color w:val="auto"/>
              </w:rPr>
            </w:pPr>
          </w:p>
        </w:tc>
      </w:tr>
      <w:tr>
        <w:trPr>
          <w:trHeight w:val="236"/>
        </w:trPr>
        <w:tc>
          <w:tcPr>
            <w:tcW w:w="3640" w:type="dxa"/>
            <w:vAlign w:val="bottom"/>
          </w:tcPr>
          <w:p>
            <w:pPr>
              <w:spacing w:after="0"/>
              <w:rPr>
                <w:sz w:val="20"/>
                <w:szCs w:val="20"/>
                <w:color w:val="auto"/>
              </w:rPr>
            </w:pPr>
          </w:p>
        </w:tc>
        <w:tc>
          <w:tcPr>
            <w:tcW w:w="4080" w:type="dxa"/>
            <w:vAlign w:val="bottom"/>
            <w:gridSpan w:val="4"/>
          </w:tcPr>
          <w:p>
            <w:pPr>
              <w:ind w:left="360"/>
              <w:spacing w:after="0"/>
              <w:rPr>
                <w:sz w:val="20"/>
                <w:szCs w:val="20"/>
                <w:color w:val="auto"/>
              </w:rPr>
            </w:pPr>
            <w:r>
              <w:rPr>
                <w:rFonts w:ascii="Times New Roman" w:cs="Times New Roman" w:eastAsia="Times New Roman" w:hAnsi="Times New Roman"/>
                <w:sz w:val="18"/>
                <w:szCs w:val="18"/>
                <w:i w:val="1"/>
                <w:iCs w:val="1"/>
                <w:color w:val="auto"/>
              </w:rPr>
              <w:t>(performance dollar levels are in thousands)</w:t>
            </w:r>
          </w:p>
        </w:tc>
        <w:tc>
          <w:tcPr>
            <w:tcW w:w="2060" w:type="dxa"/>
            <w:vAlign w:val="bottom"/>
          </w:tcPr>
          <w:p>
            <w:pPr>
              <w:spacing w:after="0"/>
              <w:rPr>
                <w:sz w:val="20"/>
                <w:szCs w:val="20"/>
                <w:color w:val="auto"/>
              </w:rPr>
            </w:pPr>
          </w:p>
        </w:tc>
      </w:tr>
      <w:tr>
        <w:trPr>
          <w:trHeight w:val="427"/>
        </w:trPr>
        <w:tc>
          <w:tcPr>
            <w:tcW w:w="36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r>
        <w:trPr>
          <w:trHeight w:val="134"/>
        </w:trPr>
        <w:tc>
          <w:tcPr>
            <w:tcW w:w="3640" w:type="dxa"/>
            <w:vAlign w:val="bottom"/>
            <w:tcBorders>
              <w:top w:val="single" w:sz="8" w:color="auto"/>
              <w:left w:val="single" w:sz="8" w:color="auto"/>
              <w:right w:val="single" w:sz="8" w:color="auto"/>
            </w:tcBorders>
            <w:shd w:val="clear" w:color="auto" w:fill="D9D9D9"/>
          </w:tcPr>
          <w:p>
            <w:pPr>
              <w:ind w:left="120"/>
              <w:spacing w:after="0" w:line="134" w:lineRule="exact"/>
              <w:rPr>
                <w:sz w:val="20"/>
                <w:szCs w:val="20"/>
                <w:color w:val="auto"/>
              </w:rPr>
            </w:pPr>
            <w:r>
              <w:rPr>
                <w:rFonts w:ascii="Times New Roman" w:cs="Times New Roman" w:eastAsia="Times New Roman" w:hAnsi="Times New Roman"/>
                <w:sz w:val="15"/>
                <w:szCs w:val="15"/>
                <w:color w:val="auto"/>
              </w:rPr>
              <w:t>2026 Grant Performance Metrics &amp;</w:t>
            </w:r>
          </w:p>
        </w:tc>
        <w:tc>
          <w:tcPr>
            <w:tcW w:w="1940" w:type="dxa"/>
            <w:vAlign w:val="bottom"/>
            <w:tcBorders>
              <w:top w:val="single" w:sz="8" w:color="D9D9D9"/>
              <w:right w:val="single" w:sz="8" w:color="auto"/>
            </w:tcBorders>
            <w:gridSpan w:val="2"/>
            <w:shd w:val="clear" w:color="auto" w:fill="D9D9D9"/>
          </w:tcPr>
          <w:p>
            <w:pPr>
              <w:ind w:left="80"/>
              <w:spacing w:after="0" w:line="134" w:lineRule="exact"/>
              <w:rPr>
                <w:sz w:val="20"/>
                <w:szCs w:val="20"/>
                <w:color w:val="auto"/>
              </w:rPr>
            </w:pPr>
            <w:r>
              <w:rPr>
                <w:rFonts w:ascii="Times New Roman" w:cs="Times New Roman" w:eastAsia="Times New Roman" w:hAnsi="Times New Roman"/>
                <w:sz w:val="15"/>
                <w:szCs w:val="15"/>
                <w:color w:val="auto"/>
              </w:rPr>
              <w:t>Minimum/ Threshold</w:t>
            </w:r>
          </w:p>
        </w:tc>
        <w:tc>
          <w:tcPr>
            <w:tcW w:w="2140" w:type="dxa"/>
            <w:vAlign w:val="bottom"/>
            <w:tcBorders>
              <w:top w:val="single" w:sz="8" w:color="D9D9D9"/>
              <w:right w:val="single" w:sz="8" w:color="auto"/>
            </w:tcBorders>
            <w:gridSpan w:val="2"/>
            <w:shd w:val="clear" w:color="auto" w:fill="D9D9D9"/>
          </w:tcPr>
          <w:p>
            <w:pPr>
              <w:ind w:left="80"/>
              <w:spacing w:after="0" w:line="134" w:lineRule="exact"/>
              <w:rPr>
                <w:sz w:val="20"/>
                <w:szCs w:val="20"/>
                <w:color w:val="auto"/>
              </w:rPr>
            </w:pPr>
            <w:r>
              <w:rPr>
                <w:rFonts w:ascii="Times New Roman" w:cs="Times New Roman" w:eastAsia="Times New Roman" w:hAnsi="Times New Roman"/>
                <w:sz w:val="15"/>
                <w:szCs w:val="15"/>
                <w:color w:val="auto"/>
              </w:rPr>
              <w:t>Target</w:t>
            </w:r>
          </w:p>
        </w:tc>
        <w:tc>
          <w:tcPr>
            <w:tcW w:w="2060" w:type="dxa"/>
            <w:vAlign w:val="bottom"/>
            <w:tcBorders>
              <w:top w:val="single" w:sz="8" w:color="D9D9D9"/>
              <w:right w:val="single" w:sz="8" w:color="auto"/>
            </w:tcBorders>
            <w:shd w:val="clear" w:color="auto" w:fill="D9D9D9"/>
          </w:tcPr>
          <w:p>
            <w:pPr>
              <w:ind w:left="100"/>
              <w:spacing w:after="0" w:line="134" w:lineRule="exact"/>
              <w:rPr>
                <w:sz w:val="20"/>
                <w:szCs w:val="20"/>
                <w:color w:val="auto"/>
              </w:rPr>
            </w:pPr>
            <w:r>
              <w:rPr>
                <w:rFonts w:ascii="Times New Roman" w:cs="Times New Roman" w:eastAsia="Times New Roman" w:hAnsi="Times New Roman"/>
                <w:sz w:val="15"/>
                <w:szCs w:val="15"/>
                <w:color w:val="auto"/>
              </w:rPr>
              <w:t>Maximum</w:t>
            </w:r>
          </w:p>
        </w:tc>
      </w:tr>
      <w:tr>
        <w:trPr>
          <w:trHeight w:val="238"/>
        </w:trPr>
        <w:tc>
          <w:tcPr>
            <w:tcW w:w="3640" w:type="dxa"/>
            <w:vAlign w:val="bottom"/>
            <w:tcBorders>
              <w:left w:val="single" w:sz="8" w:color="auto"/>
              <w:bottom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Weightings</w:t>
            </w:r>
          </w:p>
        </w:tc>
        <w:tc>
          <w:tcPr>
            <w:tcW w:w="1380" w:type="dxa"/>
            <w:vAlign w:val="bottom"/>
            <w:tcBorders>
              <w:bottom w:val="single" w:sz="8" w:color="auto"/>
            </w:tcBorders>
            <w:shd w:val="clear" w:color="auto" w:fill="D9D9D9"/>
          </w:tcPr>
          <w:p>
            <w:pPr>
              <w:spacing w:after="0"/>
              <w:rPr>
                <w:sz w:val="20"/>
                <w:szCs w:val="20"/>
                <w:color w:val="auto"/>
              </w:rPr>
            </w:pPr>
          </w:p>
        </w:tc>
        <w:tc>
          <w:tcPr>
            <w:tcW w:w="560" w:type="dxa"/>
            <w:vAlign w:val="bottom"/>
            <w:tcBorders>
              <w:bottom w:val="single" w:sz="8" w:color="auto"/>
              <w:right w:val="single" w:sz="8" w:color="auto"/>
            </w:tcBorders>
            <w:shd w:val="clear" w:color="auto" w:fill="D9D9D9"/>
          </w:tcPr>
          <w:p>
            <w:pPr>
              <w:spacing w:after="0"/>
              <w:rPr>
                <w:sz w:val="20"/>
                <w:szCs w:val="20"/>
                <w:color w:val="auto"/>
              </w:rPr>
            </w:pPr>
          </w:p>
        </w:tc>
        <w:tc>
          <w:tcPr>
            <w:tcW w:w="700" w:type="dxa"/>
            <w:vAlign w:val="bottom"/>
            <w:tcBorders>
              <w:bottom w:val="single" w:sz="8" w:color="auto"/>
            </w:tcBorders>
            <w:shd w:val="clear" w:color="auto" w:fill="D9D9D9"/>
          </w:tcPr>
          <w:p>
            <w:pPr>
              <w:spacing w:after="0"/>
              <w:rPr>
                <w:sz w:val="20"/>
                <w:szCs w:val="20"/>
                <w:color w:val="auto"/>
              </w:rPr>
            </w:pPr>
          </w:p>
        </w:tc>
        <w:tc>
          <w:tcPr>
            <w:tcW w:w="1440" w:type="dxa"/>
            <w:vAlign w:val="bottom"/>
            <w:tcBorders>
              <w:bottom w:val="single" w:sz="8" w:color="auto"/>
              <w:right w:val="single" w:sz="8" w:color="auto"/>
            </w:tcBorders>
            <w:shd w:val="clear" w:color="auto" w:fill="D9D9D9"/>
          </w:tcPr>
          <w:p>
            <w:pPr>
              <w:spacing w:after="0"/>
              <w:rPr>
                <w:sz w:val="20"/>
                <w:szCs w:val="20"/>
                <w:color w:val="auto"/>
              </w:rPr>
            </w:pPr>
          </w:p>
        </w:tc>
        <w:tc>
          <w:tcPr>
            <w:tcW w:w="2060" w:type="dxa"/>
            <w:vAlign w:val="bottom"/>
            <w:tcBorders>
              <w:bottom w:val="single" w:sz="8" w:color="auto"/>
              <w:right w:val="single" w:sz="8" w:color="auto"/>
            </w:tcBorders>
            <w:shd w:val="clear" w:color="auto" w:fill="D9D9D9"/>
          </w:tcPr>
          <w:p>
            <w:pPr>
              <w:spacing w:after="0"/>
              <w:rPr>
                <w:sz w:val="20"/>
                <w:szCs w:val="20"/>
                <w:color w:val="auto"/>
              </w:rPr>
            </w:pPr>
          </w:p>
        </w:tc>
      </w:tr>
      <w:tr>
        <w:trPr>
          <w:trHeight w:val="134"/>
        </w:trPr>
        <w:tc>
          <w:tcPr>
            <w:tcW w:w="3640" w:type="dxa"/>
            <w:vAlign w:val="bottom"/>
            <w:tcBorders>
              <w:left w:val="single" w:sz="8" w:color="auto"/>
              <w:right w:val="single" w:sz="8" w:color="auto"/>
            </w:tcBorders>
          </w:tcPr>
          <w:p>
            <w:pPr>
              <w:ind w:left="120"/>
              <w:spacing w:after="0" w:line="134" w:lineRule="exact"/>
              <w:rPr>
                <w:sz w:val="20"/>
                <w:szCs w:val="20"/>
                <w:color w:val="auto"/>
              </w:rPr>
            </w:pPr>
            <w:r>
              <w:rPr>
                <w:rFonts w:ascii="Times New Roman" w:cs="Times New Roman" w:eastAsia="Times New Roman" w:hAnsi="Times New Roman"/>
                <w:sz w:val="15"/>
                <w:szCs w:val="15"/>
                <w:color w:val="auto"/>
              </w:rPr>
              <w:t>Gross Written Premiums (with fees) (applies</w:t>
            </w:r>
          </w:p>
        </w:tc>
        <w:tc>
          <w:tcPr>
            <w:tcW w:w="1940" w:type="dxa"/>
            <w:vAlign w:val="bottom"/>
            <w:tcBorders>
              <w:right w:val="single" w:sz="8" w:color="auto"/>
            </w:tcBorders>
            <w:gridSpan w:val="2"/>
          </w:tcPr>
          <w:p>
            <w:pPr>
              <w:ind w:left="80"/>
              <w:spacing w:after="0" w:line="134" w:lineRule="exact"/>
              <w:rPr>
                <w:sz w:val="20"/>
                <w:szCs w:val="20"/>
                <w:color w:val="auto"/>
              </w:rPr>
            </w:pPr>
            <w:r>
              <w:rPr>
                <w:rFonts w:ascii="Times New Roman" w:cs="Times New Roman" w:eastAsia="Times New Roman" w:hAnsi="Times New Roman"/>
                <w:sz w:val="15"/>
                <w:szCs w:val="15"/>
                <w:color w:val="auto"/>
              </w:rPr>
              <w:t>$2.21B</w:t>
            </w:r>
          </w:p>
        </w:tc>
        <w:tc>
          <w:tcPr>
            <w:tcW w:w="2140" w:type="dxa"/>
            <w:vAlign w:val="bottom"/>
            <w:tcBorders>
              <w:right w:val="single" w:sz="8" w:color="auto"/>
            </w:tcBorders>
            <w:gridSpan w:val="2"/>
          </w:tcPr>
          <w:p>
            <w:pPr>
              <w:ind w:left="80"/>
              <w:spacing w:after="0" w:line="134" w:lineRule="exact"/>
              <w:rPr>
                <w:sz w:val="20"/>
                <w:szCs w:val="20"/>
                <w:color w:val="auto"/>
              </w:rPr>
            </w:pPr>
            <w:r>
              <w:rPr>
                <w:rFonts w:ascii="Times New Roman" w:cs="Times New Roman" w:eastAsia="Times New Roman" w:hAnsi="Times New Roman"/>
                <w:sz w:val="15"/>
                <w:szCs w:val="15"/>
                <w:color w:val="auto"/>
              </w:rPr>
              <w:t>$2.46B</w:t>
            </w:r>
          </w:p>
        </w:tc>
        <w:tc>
          <w:tcPr>
            <w:tcW w:w="2060" w:type="dxa"/>
            <w:vAlign w:val="bottom"/>
            <w:tcBorders>
              <w:right w:val="single" w:sz="8" w:color="auto"/>
            </w:tcBorders>
          </w:tcPr>
          <w:p>
            <w:pPr>
              <w:ind w:left="100"/>
              <w:spacing w:after="0" w:line="134" w:lineRule="exact"/>
              <w:rPr>
                <w:sz w:val="20"/>
                <w:szCs w:val="20"/>
                <w:color w:val="auto"/>
              </w:rPr>
            </w:pPr>
            <w:r>
              <w:rPr>
                <w:rFonts w:ascii="Times New Roman" w:cs="Times New Roman" w:eastAsia="Times New Roman" w:hAnsi="Times New Roman"/>
                <w:sz w:val="15"/>
                <w:szCs w:val="15"/>
                <w:color w:val="auto"/>
              </w:rPr>
              <w:t>$2.71B</w:t>
            </w:r>
          </w:p>
        </w:tc>
      </w:tr>
      <w:tr>
        <w:trPr>
          <w:trHeight w:val="234"/>
        </w:trPr>
        <w:tc>
          <w:tcPr>
            <w:tcW w:w="3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 30% of Target Number of Units)</w:t>
            </w:r>
          </w:p>
        </w:tc>
        <w:tc>
          <w:tcPr>
            <w:tcW w:w="138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r>
      <w:tr>
        <w:trPr>
          <w:trHeight w:val="108"/>
        </w:trPr>
        <w:tc>
          <w:tcPr>
            <w:tcW w:w="3640" w:type="dxa"/>
            <w:vAlign w:val="bottom"/>
            <w:tcBorders>
              <w:left w:val="single" w:sz="8" w:color="auto"/>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2060" w:type="dxa"/>
            <w:vAlign w:val="bottom"/>
            <w:tcBorders>
              <w:bottom w:val="single" w:sz="8" w:color="auto"/>
              <w:right w:val="single" w:sz="8" w:color="auto"/>
            </w:tcBorders>
          </w:tcPr>
          <w:p>
            <w:pPr>
              <w:spacing w:after="0"/>
              <w:rPr>
                <w:sz w:val="9"/>
                <w:szCs w:val="9"/>
                <w:color w:val="auto"/>
              </w:rPr>
            </w:pPr>
          </w:p>
        </w:tc>
      </w:tr>
      <w:tr>
        <w:trPr>
          <w:trHeight w:val="151"/>
        </w:trPr>
        <w:tc>
          <w:tcPr>
            <w:tcW w:w="3640" w:type="dxa"/>
            <w:vAlign w:val="bottom"/>
            <w:tcBorders>
              <w:left w:val="single" w:sz="8" w:color="auto"/>
              <w:right w:val="single" w:sz="8" w:color="auto"/>
            </w:tcBorders>
          </w:tcPr>
          <w:p>
            <w:pPr>
              <w:ind w:left="120"/>
              <w:spacing w:after="0" w:line="150" w:lineRule="exact"/>
              <w:rPr>
                <w:sz w:val="20"/>
                <w:szCs w:val="20"/>
                <w:color w:val="auto"/>
              </w:rPr>
            </w:pPr>
            <w:r>
              <w:rPr>
                <w:rFonts w:ascii="Times New Roman" w:cs="Times New Roman" w:eastAsia="Times New Roman" w:hAnsi="Times New Roman"/>
                <w:sz w:val="17"/>
                <w:szCs w:val="17"/>
                <w:color w:val="auto"/>
              </w:rPr>
              <w:t>Adjusted Return on Equity (applies to 70% of</w:t>
            </w:r>
          </w:p>
        </w:tc>
        <w:tc>
          <w:tcPr>
            <w:tcW w:w="1380" w:type="dxa"/>
            <w:vAlign w:val="bottom"/>
          </w:tcPr>
          <w:p>
            <w:pPr>
              <w:ind w:left="80"/>
              <w:spacing w:after="0" w:line="150" w:lineRule="exact"/>
              <w:rPr>
                <w:sz w:val="20"/>
                <w:szCs w:val="20"/>
                <w:color w:val="auto"/>
              </w:rPr>
            </w:pPr>
            <w:r>
              <w:rPr>
                <w:rFonts w:ascii="Times New Roman" w:cs="Times New Roman" w:eastAsia="Times New Roman" w:hAnsi="Times New Roman"/>
                <w:sz w:val="17"/>
                <w:szCs w:val="17"/>
                <w:color w:val="auto"/>
              </w:rPr>
              <w:t>9%</w:t>
            </w:r>
          </w:p>
        </w:tc>
        <w:tc>
          <w:tcPr>
            <w:tcW w:w="560" w:type="dxa"/>
            <w:vAlign w:val="bottom"/>
            <w:tcBorders>
              <w:right w:val="single" w:sz="8" w:color="auto"/>
            </w:tcBorders>
          </w:tcPr>
          <w:p>
            <w:pPr>
              <w:spacing w:after="0"/>
              <w:rPr>
                <w:sz w:val="13"/>
                <w:szCs w:val="13"/>
                <w:color w:val="auto"/>
              </w:rPr>
            </w:pPr>
          </w:p>
        </w:tc>
        <w:tc>
          <w:tcPr>
            <w:tcW w:w="700" w:type="dxa"/>
            <w:vAlign w:val="bottom"/>
          </w:tcPr>
          <w:p>
            <w:pPr>
              <w:ind w:left="80"/>
              <w:spacing w:after="0" w:line="150" w:lineRule="exact"/>
              <w:rPr>
                <w:sz w:val="20"/>
                <w:szCs w:val="20"/>
                <w:color w:val="auto"/>
              </w:rPr>
            </w:pPr>
            <w:r>
              <w:rPr>
                <w:rFonts w:ascii="Times New Roman" w:cs="Times New Roman" w:eastAsia="Times New Roman" w:hAnsi="Times New Roman"/>
                <w:sz w:val="17"/>
                <w:szCs w:val="17"/>
                <w:color w:val="auto"/>
              </w:rPr>
              <w:t>12%</w:t>
            </w:r>
          </w:p>
        </w:tc>
        <w:tc>
          <w:tcPr>
            <w:tcW w:w="1440" w:type="dxa"/>
            <w:vAlign w:val="bottom"/>
            <w:tcBorders>
              <w:right w:val="single" w:sz="8" w:color="auto"/>
            </w:tcBorders>
          </w:tcPr>
          <w:p>
            <w:pPr>
              <w:spacing w:after="0"/>
              <w:rPr>
                <w:sz w:val="13"/>
                <w:szCs w:val="13"/>
                <w:color w:val="auto"/>
              </w:rPr>
            </w:pPr>
          </w:p>
        </w:tc>
        <w:tc>
          <w:tcPr>
            <w:tcW w:w="206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color w:val="auto"/>
              </w:rPr>
              <w:t>15%</w:t>
            </w:r>
          </w:p>
        </w:tc>
      </w:tr>
      <w:tr>
        <w:trPr>
          <w:trHeight w:val="221"/>
        </w:trPr>
        <w:tc>
          <w:tcPr>
            <w:tcW w:w="3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Target Number of Units)</w:t>
            </w:r>
          </w:p>
        </w:tc>
        <w:tc>
          <w:tcPr>
            <w:tcW w:w="138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spacing w:after="0"/>
              <w:rPr>
                <w:sz w:val="19"/>
                <w:szCs w:val="19"/>
                <w:color w:val="auto"/>
              </w:rPr>
            </w:pPr>
          </w:p>
        </w:tc>
      </w:tr>
      <w:tr>
        <w:trPr>
          <w:trHeight w:val="183"/>
        </w:trPr>
        <w:tc>
          <w:tcPr>
            <w:tcW w:w="3640" w:type="dxa"/>
            <w:vAlign w:val="bottom"/>
            <w:tcBorders>
              <w:left w:val="single" w:sz="8" w:color="auto"/>
              <w:bottom w:val="single" w:sz="8" w:color="auto"/>
              <w:right w:val="single" w:sz="8" w:color="auto"/>
            </w:tcBorders>
            <w:shd w:val="clear" w:color="auto" w:fill="EEECE1"/>
          </w:tcPr>
          <w:p>
            <w:pPr>
              <w:spacing w:after="0"/>
              <w:rPr>
                <w:sz w:val="15"/>
                <w:szCs w:val="15"/>
                <w:color w:val="auto"/>
              </w:rPr>
            </w:pPr>
          </w:p>
        </w:tc>
        <w:tc>
          <w:tcPr>
            <w:tcW w:w="1380" w:type="dxa"/>
            <w:vAlign w:val="bottom"/>
            <w:tcBorders>
              <w:bottom w:val="single" w:sz="8" w:color="auto"/>
            </w:tcBorders>
            <w:shd w:val="clear" w:color="auto" w:fill="EEECE1"/>
          </w:tcPr>
          <w:p>
            <w:pPr>
              <w:spacing w:after="0"/>
              <w:rPr>
                <w:sz w:val="15"/>
                <w:szCs w:val="15"/>
                <w:color w:val="auto"/>
              </w:rPr>
            </w:pPr>
          </w:p>
        </w:tc>
        <w:tc>
          <w:tcPr>
            <w:tcW w:w="560" w:type="dxa"/>
            <w:vAlign w:val="bottom"/>
            <w:tcBorders>
              <w:bottom w:val="single" w:sz="8" w:color="auto"/>
              <w:right w:val="single" w:sz="8" w:color="auto"/>
            </w:tcBorders>
            <w:shd w:val="clear" w:color="auto" w:fill="EEECE1"/>
          </w:tcPr>
          <w:p>
            <w:pPr>
              <w:spacing w:after="0"/>
              <w:rPr>
                <w:sz w:val="15"/>
                <w:szCs w:val="15"/>
                <w:color w:val="auto"/>
              </w:rPr>
            </w:pPr>
          </w:p>
        </w:tc>
        <w:tc>
          <w:tcPr>
            <w:tcW w:w="700" w:type="dxa"/>
            <w:vAlign w:val="bottom"/>
            <w:tcBorders>
              <w:bottom w:val="single" w:sz="8" w:color="auto"/>
            </w:tcBorders>
            <w:shd w:val="clear" w:color="auto" w:fill="EEECE1"/>
          </w:tcPr>
          <w:p>
            <w:pPr>
              <w:spacing w:after="0"/>
              <w:rPr>
                <w:sz w:val="15"/>
                <w:szCs w:val="15"/>
                <w:color w:val="auto"/>
              </w:rPr>
            </w:pPr>
          </w:p>
        </w:tc>
        <w:tc>
          <w:tcPr>
            <w:tcW w:w="1440" w:type="dxa"/>
            <w:vAlign w:val="bottom"/>
            <w:tcBorders>
              <w:bottom w:val="single" w:sz="8" w:color="auto"/>
              <w:right w:val="single" w:sz="8" w:color="auto"/>
            </w:tcBorders>
            <w:shd w:val="clear" w:color="auto" w:fill="EEECE1"/>
          </w:tcPr>
          <w:p>
            <w:pPr>
              <w:spacing w:after="0"/>
              <w:rPr>
                <w:sz w:val="15"/>
                <w:szCs w:val="15"/>
                <w:color w:val="auto"/>
              </w:rPr>
            </w:pPr>
          </w:p>
        </w:tc>
        <w:tc>
          <w:tcPr>
            <w:tcW w:w="2060" w:type="dxa"/>
            <w:vAlign w:val="bottom"/>
            <w:tcBorders>
              <w:bottom w:val="single" w:sz="8" w:color="auto"/>
              <w:right w:val="single" w:sz="8" w:color="auto"/>
            </w:tcBorders>
            <w:shd w:val="clear" w:color="auto" w:fill="EEECE1"/>
          </w:tcPr>
          <w:p>
            <w:pPr>
              <w:spacing w:after="0"/>
              <w:rPr>
                <w:sz w:val="15"/>
                <w:szCs w:val="15"/>
                <w:color w:val="auto"/>
              </w:rPr>
            </w:pPr>
          </w:p>
        </w:tc>
      </w:tr>
      <w:tr>
        <w:trPr>
          <w:trHeight w:val="183"/>
        </w:trPr>
        <w:tc>
          <w:tcPr>
            <w:tcW w:w="36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Performance Metrics Payout Level Percentage</w:t>
            </w:r>
          </w:p>
        </w:tc>
        <w:tc>
          <w:tcPr>
            <w:tcW w:w="1380" w:type="dxa"/>
            <w:vAlign w:val="bottom"/>
            <w:tcBorders>
              <w:bottom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50%</w:t>
            </w:r>
          </w:p>
        </w:tc>
        <w:tc>
          <w:tcPr>
            <w:tcW w:w="56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100%</w:t>
            </w:r>
          </w:p>
        </w:tc>
        <w:tc>
          <w:tcPr>
            <w:tcW w:w="1440" w:type="dxa"/>
            <w:vAlign w:val="bottom"/>
            <w:tcBorders>
              <w:bottom w:val="single" w:sz="8" w:color="auto"/>
              <w:right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200%</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520" w:right="420"/>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Gross Written Premiums (with fees) and Adjusted Return on Equity </w:t>
      </w:r>
      <w:r>
        <w:rPr>
          <w:rFonts w:ascii="Times New Roman" w:cs="Times New Roman" w:eastAsia="Times New Roman" w:hAnsi="Times New Roman"/>
          <w:sz w:val="18"/>
          <w:szCs w:val="18"/>
          <w:color w:val="auto"/>
        </w:rPr>
        <w:t>shall have the applicable meanings as defined in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8-K Earnings Releases, Quarterly Reports on Form 10-Q and Annual Report on Form 10-K for the applicable Performance Periods for such Performance Metrics which can be found on the Company’s Investor Relations website (www.plmr.com &gt;&gt; Investors &gt;&gt; Financials &gt;&gt; SEC Filings). Gross Written Premium (with fees) (“</w:t>
      </w:r>
      <w:r>
        <w:rPr>
          <w:rFonts w:ascii="Times New Roman" w:cs="Times New Roman" w:eastAsia="Times New Roman" w:hAnsi="Times New Roman"/>
          <w:sz w:val="18"/>
          <w:szCs w:val="18"/>
          <w:u w:val="single" w:color="auto"/>
          <w:color w:val="auto"/>
        </w:rPr>
        <w:t>GWP</w:t>
      </w:r>
      <w:r>
        <w:rPr>
          <w:rFonts w:ascii="Times New Roman" w:cs="Times New Roman" w:eastAsia="Times New Roman" w:hAnsi="Times New Roman"/>
          <w:sz w:val="18"/>
          <w:szCs w:val="18"/>
          <w:color w:val="auto"/>
        </w:rPr>
        <w:t>) will be measured over a one-year Performance Period from January 1, 2026, to December 31, 2026, and adjusted Return on Equity (“</w:t>
      </w:r>
      <w:r>
        <w:rPr>
          <w:rFonts w:ascii="Times New Roman" w:cs="Times New Roman" w:eastAsia="Times New Roman" w:hAnsi="Times New Roman"/>
          <w:sz w:val="18"/>
          <w:szCs w:val="18"/>
          <w:u w:val="single" w:color="auto"/>
          <w:color w:val="auto"/>
        </w:rPr>
        <w:t>AROE</w:t>
      </w:r>
      <w:r>
        <w:rPr>
          <w:rFonts w:ascii="Times New Roman" w:cs="Times New Roman" w:eastAsia="Times New Roman" w:hAnsi="Times New Roman"/>
          <w:sz w:val="18"/>
          <w:szCs w:val="18"/>
          <w:color w:val="auto"/>
        </w:rPr>
        <w:t>”) will be measured by taking the average annual AROE over a three-year Performance Period from January 1, 2026, to December 31, 2028. Each Performance Metric shall be evaluated separately for purposes of the determined Payout Level percentage for such Performance Metric.</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imitation 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mount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in this Agreement to the contrary, under no circumstances can a Participant earn more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Maximum Number of Units set forth in the Grant Notice.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1628750810.2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459740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61" w:right="47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PALOMAR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PERFORMANCE STOCK UNITS AGREEMENT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 U.S. Participants)</w:t>
      </w:r>
    </w:p>
    <w:p>
      <w:pPr>
        <w:spacing w:after="0" w:line="1"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 xml:space="preserve">Palomar Holdings, Inc. has granted to the Participant named in the </w:t>
      </w:r>
      <w:r>
        <w:rPr>
          <w:rFonts w:ascii="Times New Roman" w:cs="Times New Roman" w:eastAsia="Times New Roman" w:hAnsi="Times New Roman"/>
          <w:sz w:val="21"/>
          <w:szCs w:val="21"/>
          <w:i w:val="1"/>
          <w:iCs w:val="1"/>
          <w:color w:val="auto"/>
        </w:rPr>
        <w:t>Notice of Grant of Performance Stock Units</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i w:val="1"/>
          <w:iCs w:val="1"/>
          <w:color w:val="auto"/>
        </w:rPr>
        <w:t>Grant Notice</w:t>
      </w:r>
      <w:r>
        <w:rPr>
          <w:rFonts w:ascii="Times New Roman" w:cs="Times New Roman" w:eastAsia="Times New Roman" w:hAnsi="Times New Roman"/>
          <w:sz w:val="21"/>
          <w:szCs w:val="21"/>
          <w:color w:val="auto"/>
        </w:rPr>
        <w:t>”) to which this Performance Stock Units Agreement (the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is attached an Award consisting of Performance Stock Units (each a “</w:t>
      </w:r>
      <w:r>
        <w:rPr>
          <w:rFonts w:ascii="Times New Roman" w:cs="Times New Roman" w:eastAsia="Times New Roman" w:hAnsi="Times New Roman"/>
          <w:sz w:val="21"/>
          <w:szCs w:val="21"/>
          <w:b w:val="1"/>
          <w:bCs w:val="1"/>
          <w:i w:val="1"/>
          <w:iCs w:val="1"/>
          <w:color w:val="auto"/>
        </w:rPr>
        <w:t>Unit</w:t>
      </w:r>
      <w:r>
        <w:rPr>
          <w:rFonts w:ascii="Times New Roman" w:cs="Times New Roman" w:eastAsia="Times New Roman" w:hAnsi="Times New Roman"/>
          <w:sz w:val="21"/>
          <w:szCs w:val="21"/>
          <w:color w:val="auto"/>
        </w:rPr>
        <w:t>”) subject to the terms and conditions set forth in the Grant Notice and this Agreement. The Award has been granted pursuant to and shall in all respects be subject to the terms and conditions of the Palomar Holdings, Inc. 2019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as amended to the Date of Grant,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Times New Roman" w:cs="Times New Roman" w:eastAsia="Times New Roman" w:hAnsi="Times New Roman"/>
          <w:sz w:val="21"/>
          <w:szCs w:val="21"/>
          <w:b w:val="1"/>
          <w:bCs w:val="1"/>
          <w:i w:val="1"/>
          <w:iCs w:val="1"/>
          <w:color w:val="auto"/>
        </w:rPr>
        <w:t>Plan Prospectus</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8"/>
        <w:spacing w:after="0" w:line="235" w:lineRule="auto"/>
        <w:tabs>
          <w:tab w:leader="none" w:pos="31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187" w:lineRule="exact"/>
        <w:rPr>
          <w:sz w:val="20"/>
          <w:szCs w:val="20"/>
          <w:color w:val="auto"/>
        </w:rPr>
      </w:pPr>
    </w:p>
    <w:p>
      <w:pPr>
        <w:ind w:left="1020" w:hanging="263"/>
        <w:spacing w:after="0"/>
        <w:tabs>
          <w:tab w:leader="none" w:pos="10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w:t>
      </w:r>
      <w:r>
        <w:rPr>
          <w:rFonts w:ascii="Times New Roman" w:cs="Times New Roman" w:eastAsia="Times New Roman" w:hAnsi="Times New Roman"/>
          <w:sz w:val="14"/>
          <w:szCs w:val="14"/>
          <w:b w:val="1"/>
          <w:bCs w:val="1"/>
          <w:u w:val="single" w:color="auto"/>
          <w:color w:val="auto"/>
        </w:rPr>
        <w:t>efinitions and</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onstruction</w:t>
      </w:r>
      <w:r>
        <w:rPr>
          <w:rFonts w:ascii="Times New Roman" w:cs="Times New Roman" w:eastAsia="Times New Roman" w:hAnsi="Times New Roman"/>
          <w:sz w:val="22"/>
          <w:szCs w:val="22"/>
          <w:b w:val="1"/>
          <w:bCs w:val="1"/>
          <w:u w:val="single" w:color="auto"/>
          <w:color w:val="auto"/>
        </w:rPr>
        <w:t>.</w:t>
      </w:r>
    </w:p>
    <w:p>
      <w:pPr>
        <w:spacing w:after="0" w:line="204" w:lineRule="exact"/>
        <w:rPr>
          <w:sz w:val="20"/>
          <w:szCs w:val="20"/>
          <w:color w:val="auto"/>
        </w:rPr>
      </w:pPr>
    </w:p>
    <w:p>
      <w:pPr>
        <w:jc w:val="both"/>
        <w:ind w:right="20" w:firstLine="1497"/>
        <w:spacing w:after="0" w:line="276"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Unless otherwise defined herein, capitalized terms shall have the meanings assigned to such terms in the Grant Notice or the Plan.</w:t>
      </w:r>
    </w:p>
    <w:p>
      <w:pPr>
        <w:spacing w:after="0" w:line="13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b w:val="1"/>
          <w:bCs w:val="1"/>
          <w:color w:val="auto"/>
        </w:rPr>
        <w:t>Construction</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66" w:lineRule="exact"/>
        <w:rPr>
          <w:sz w:val="20"/>
          <w:szCs w:val="20"/>
          <w:color w:val="auto"/>
        </w:rPr>
      </w:pPr>
    </w:p>
    <w:p>
      <w:pPr>
        <w:ind w:left="1020" w:hanging="263"/>
        <w:spacing w:after="0"/>
        <w:tabs>
          <w:tab w:leader="none" w:pos="102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w:t>
      </w:r>
      <w:r>
        <w:rPr>
          <w:rFonts w:ascii="Times New Roman" w:cs="Times New Roman" w:eastAsia="Times New Roman" w:hAnsi="Times New Roman"/>
          <w:sz w:val="14"/>
          <w:szCs w:val="14"/>
          <w:b w:val="1"/>
          <w:bCs w:val="1"/>
          <w:u w:val="single" w:color="auto"/>
          <w:color w:val="auto"/>
        </w:rPr>
        <w:t>dministration</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1014095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5" w:name="page96"/>
    <w:bookmarkEnd w:id="95"/>
    <w:p>
      <w:pPr>
        <w:ind w:left="1020" w:hanging="263"/>
        <w:spacing w:after="0"/>
        <w:tabs>
          <w:tab w:leader="none" w:pos="10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w:t>
      </w:r>
      <w:r>
        <w:rPr>
          <w:rFonts w:ascii="Times New Roman" w:cs="Times New Roman" w:eastAsia="Times New Roman" w:hAnsi="Times New Roman"/>
          <w:sz w:val="14"/>
          <w:szCs w:val="14"/>
          <w:b w:val="1"/>
          <w:bCs w:val="1"/>
          <w:u w:val="single" w:color="auto"/>
          <w:color w:val="auto"/>
        </w:rPr>
        <w: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w:t>
      </w:r>
      <w:r>
        <w:rPr>
          <w:rFonts w:ascii="Times New Roman" w:cs="Times New Roman" w:eastAsia="Times New Roman" w:hAnsi="Times New Roman"/>
          <w:sz w:val="14"/>
          <w:szCs w:val="14"/>
          <w:b w:val="1"/>
          <w:bCs w:val="1"/>
          <w:u w:val="single" w:color="auto"/>
          <w:color w:val="auto"/>
        </w:rPr>
        <w:t>ward</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color w:val="auto"/>
        </w:rPr>
        <w:t>Grant of Units.</w:t>
      </w:r>
      <w:r>
        <w:rPr>
          <w:rFonts w:ascii="Times New Roman" w:cs="Times New Roman" w:eastAsia="Times New Roman" w:hAnsi="Times New Roman"/>
          <w:sz w:val="22"/>
          <w:szCs w:val="22"/>
          <w:color w:val="auto"/>
        </w:rPr>
        <w:t xml:space="preserve"> On the Date of Grant, the Company hereby awards to the Participant up to the Maximum Units set forth in the Grant Notice, which, depending on the level of the Performance Metric attained during the Performance Period, may result in the Participant earning as little as zero (0) Units or as many as the Maximum Units. Subject to the terms of this Agreement and the Plan, each Unit, to the extent it is earned and becomes a Vested Unit, represents a right to receive one (1) share of Stock on the Settlement Date (as defined in Section 6.1). Unless and until a Unit has been determined to be an earned unit and has vested and become a Vested Unit as set forth in the Grant Notice (including any appendix) and this Agreement, the Participant will have no right to settlement of such Units. Prior to settlement of any Units, such Units will represent an unfunded and unsecured obligation of the Company.</w:t>
      </w:r>
    </w:p>
    <w:p>
      <w:pPr>
        <w:spacing w:after="0" w:line="19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color w:val="auto"/>
        </w:rPr>
        <w:t>No Monetary Payment Required.</w:t>
      </w:r>
      <w:r>
        <w:rPr>
          <w:rFonts w:ascii="Times New Roman" w:cs="Times New Roman" w:eastAsia="Times New Roman" w:hAnsi="Times New Roman"/>
          <w:sz w:val="22"/>
          <w:szCs w:val="22"/>
          <w:color w:val="auto"/>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189" w:lineRule="exact"/>
        <w:rPr>
          <w:sz w:val="20"/>
          <w:szCs w:val="20"/>
          <w:color w:val="auto"/>
        </w:rPr>
      </w:pPr>
    </w:p>
    <w:p>
      <w:pPr>
        <w:ind w:left="1020" w:hanging="263"/>
        <w:spacing w:after="0"/>
        <w:tabs>
          <w:tab w:leader="none" w:pos="10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4"/>
          <w:szCs w:val="14"/>
          <w:b w:val="1"/>
          <w:bCs w:val="1"/>
          <w:color w:val="auto"/>
        </w:rPr>
        <w:t>esting of</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nits</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b w:val="1"/>
          <w:bCs w:val="1"/>
          <w:color w:val="auto"/>
        </w:rPr>
        <w:t>Vested Units.</w:t>
      </w:r>
      <w:r>
        <w:rPr>
          <w:rFonts w:ascii="Times New Roman" w:cs="Times New Roman" w:eastAsia="Times New Roman" w:hAnsi="Times New Roman"/>
          <w:sz w:val="22"/>
          <w:szCs w:val="22"/>
          <w:color w:val="auto"/>
        </w:rPr>
        <w:t xml:space="preserve"> Units acquired pursuant to this Agreement shall become Vested Units as provided in the Grant Notice. For purposes of determining the number of Vested Units following an Ownership Change Event, credited Service shall include all Service with any Company which is a Participating Company at the time the Service is rendered, whether or not such Company is a Participating Company both before and after the Ownership Change Event.</w:t>
      </w:r>
    </w:p>
    <w:p>
      <w:pPr>
        <w:spacing w:after="0" w:line="182"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Notwithstanding the provisions of Section 5.1 below, in the event of Participant’s Qualified Retirement, Participant shall</w:t>
      </w:r>
    </w:p>
    <w:p>
      <w:pPr>
        <w:spacing w:after="0" w:line="167" w:lineRule="exact"/>
        <w:rPr>
          <w:sz w:val="20"/>
          <w:szCs w:val="20"/>
          <w:color w:val="auto"/>
        </w:rPr>
      </w:pPr>
    </w:p>
    <w:p>
      <w:pPr>
        <w:jc w:val="both"/>
        <w:ind w:firstLine="1505"/>
        <w:spacing w:after="0" w:line="244" w:lineRule="auto"/>
        <w:tabs>
          <w:tab w:leader="none" w:pos="178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Award is subject to time-based vesting only, be treated as providing Service following the date of Participant’s Qualified Retirement through the remaining vesting dates pursuant to the vesting schedule set forth in the Grant Notice such that the remaining unvested portion of the Award will continue to become Vested Units on each such remaining vesting date, or</w:t>
      </w:r>
    </w:p>
    <w:p>
      <w:pPr>
        <w:spacing w:after="0" w:line="172" w:lineRule="exact"/>
        <w:rPr>
          <w:rFonts w:ascii="Times New Roman" w:cs="Times New Roman" w:eastAsia="Times New Roman" w:hAnsi="Times New Roman"/>
          <w:sz w:val="22"/>
          <w:szCs w:val="22"/>
          <w:color w:val="auto"/>
        </w:rPr>
      </w:pPr>
    </w:p>
    <w:p>
      <w:pPr>
        <w:jc w:val="both"/>
        <w:ind w:firstLine="1505"/>
        <w:spacing w:after="0" w:line="255" w:lineRule="auto"/>
        <w:tabs>
          <w:tab w:leader="none" w:pos="1844"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Award is subject to performance-based vesting, for purposes of any time-based vesting conditions applicable to such Award, be treated as satisfying the time-based conditions with respect to a pro-rata portion of the Award on the Participant’s Retirement Date based on the number of full months of continuous Service completed between the Award’s grant date and the Participant’s Retirement Date such that the pro-rata portion of the Award will remain outstanding, provided that, for the avoidance of doubt, performance conditions applicable to the Award, if any, shall continue to apply to such Award with the Award outstanding with respect to the pro-rata portion that satisfies the time-based conditions and eligible to become earned and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6" w:name="page97"/>
    <w:bookmarkEnd w:id="96"/>
    <w:p>
      <w:pPr>
        <w:jc w:val="both"/>
        <w:spacing w:after="0" w:line="244" w:lineRule="auto"/>
        <w:rPr>
          <w:sz w:val="20"/>
          <w:szCs w:val="20"/>
          <w:color w:val="auto"/>
        </w:rPr>
      </w:pPr>
      <w:r>
        <w:rPr>
          <w:rFonts w:ascii="Times New Roman" w:cs="Times New Roman" w:eastAsia="Times New Roman" w:hAnsi="Times New Roman"/>
          <w:sz w:val="22"/>
          <w:szCs w:val="22"/>
          <w:color w:val="auto"/>
        </w:rPr>
        <w:t>Vested Units based on the satisfaction of such performance conditions. For clarity, no shares of Stock shall be issued and no payment shall be made on the Participant’s Retirement Date, and no Units shall become Vested Units, solely by reason of the Participant’s Qualified Retirement. Such Units shall become Vested Units on the applicable Settlement Dates on the Award’s original vesting schedule.</w:t>
      </w:r>
    </w:p>
    <w:p>
      <w:pPr>
        <w:spacing w:after="0" w:line="18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For purposes of this Section 4.2, “Qualified Retirement” means Participant’s resignation of employment with the Company on or after attainment of age fifty-eight (58) with a minimum of five (5) years of Service with the Company (including with an acquired entity prior to the grant date and regardless of whether such Service is continuous, with a Participant’s period of Service calculated using a 365-day period to determine each year of Service), provided that:</w:t>
      </w:r>
    </w:p>
    <w:p>
      <w:pPr>
        <w:spacing w:after="0" w:line="173" w:lineRule="exact"/>
        <w:rPr>
          <w:sz w:val="20"/>
          <w:szCs w:val="20"/>
          <w:color w:val="auto"/>
        </w:rPr>
      </w:pPr>
    </w:p>
    <w:p>
      <w:pPr>
        <w:ind w:left="1860" w:hanging="293"/>
        <w:spacing w:after="0"/>
        <w:tabs>
          <w:tab w:leader="none" w:pos="1860"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Retirement Date (as defined below), the Participant’s age plus years of Service with the Company</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equals or exceeds 65;</w:t>
      </w:r>
    </w:p>
    <w:p>
      <w:pPr>
        <w:spacing w:after="0" w:line="182" w:lineRule="exact"/>
        <w:rPr>
          <w:rFonts w:ascii="Times New Roman" w:cs="Times New Roman" w:eastAsia="Times New Roman" w:hAnsi="Times New Roman"/>
          <w:sz w:val="21"/>
          <w:szCs w:val="21"/>
          <w:color w:val="auto"/>
        </w:rPr>
      </w:pPr>
    </w:p>
    <w:p>
      <w:pPr>
        <w:ind w:firstLine="1505"/>
        <w:spacing w:after="0" w:line="258" w:lineRule="auto"/>
        <w:tabs>
          <w:tab w:leader="none" w:pos="182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provides the Company with the required amount of Qualified Retirement Notice regarding his or her resignation of employment, and</w:t>
      </w:r>
    </w:p>
    <w:p>
      <w:pPr>
        <w:spacing w:after="0" w:line="171" w:lineRule="exact"/>
        <w:rPr>
          <w:rFonts w:ascii="Times New Roman" w:cs="Times New Roman" w:eastAsia="Times New Roman" w:hAnsi="Times New Roman"/>
          <w:sz w:val="22"/>
          <w:szCs w:val="22"/>
          <w:color w:val="auto"/>
        </w:rPr>
      </w:pPr>
    </w:p>
    <w:p>
      <w:pPr>
        <w:jc w:val="both"/>
        <w:ind w:firstLine="1505"/>
        <w:spacing w:after="0" w:line="244" w:lineRule="auto"/>
        <w:tabs>
          <w:tab w:leader="none" w:pos="179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and prior to the Participant’s Retirement Date, no facts or circumstances shall exist that could give rise to the Covered Employee’s termination of employment for Cause (as defined in the Plan) regardless of whether the Company pursues termination for Cause.</w:t>
      </w:r>
    </w:p>
    <w:p>
      <w:pPr>
        <w:spacing w:after="0" w:line="18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In order to be eligible for continued or credited time-based vesting under this Section 4.2, (i) the Participant must timely deliver to the Company and not revoke a general waiver and release of claims in favor of the Company, its affiliates and related parties, in a form provided by the Company, and (ii) except as otherwise determined or affirmatively waived by the Committee, the Participant must deliver to the Company’s Chief People Officer (or such other individual designated by the Committee), no less than six (6) months prior to the date of a Qualified Retirement, advance written notice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Qualified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Retirement Notice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of such Covered Employee’s voluntary termination of employment giving rise to a Qualified Retirement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 a requested retirement date (the “</w:t>
      </w:r>
      <w:r>
        <w:rPr>
          <w:rFonts w:ascii="Times New Roman" w:cs="Times New Roman" w:eastAsia="Times New Roman" w:hAnsi="Times New Roman"/>
          <w:sz w:val="22"/>
          <w:szCs w:val="22"/>
          <w:b w:val="1"/>
          <w:bCs w:val="1"/>
          <w:i w:val="1"/>
          <w:iCs w:val="1"/>
          <w:color w:val="auto"/>
        </w:rPr>
        <w:t>Proposed Retirement Date</w:t>
      </w:r>
      <w:r>
        <w:rPr>
          <w:rFonts w:ascii="Times New Roman" w:cs="Times New Roman" w:eastAsia="Times New Roman" w:hAnsi="Times New Roman"/>
          <w:sz w:val="22"/>
          <w:szCs w:val="22"/>
          <w:color w:val="auto"/>
        </w:rPr>
        <w:t xml:space="preserve">”). The Committee (or its designee) may, in its sole discretion, designate the employee’s retirement date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Retirement Date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which may be earlier or later than the Covered Employee’s Proposed Retirement Date.</w:t>
      </w:r>
    </w:p>
    <w:p>
      <w:pPr>
        <w:spacing w:after="0" w:line="186" w:lineRule="exact"/>
        <w:rPr>
          <w:sz w:val="20"/>
          <w:szCs w:val="20"/>
          <w:color w:val="auto"/>
        </w:rPr>
      </w:pPr>
    </w:p>
    <w:p>
      <w:pPr>
        <w:jc w:val="both"/>
        <w:ind w:firstLine="1497"/>
        <w:spacing w:after="0" w:line="271" w:lineRule="auto"/>
        <w:rPr>
          <w:sz w:val="20"/>
          <w:szCs w:val="20"/>
          <w:color w:val="auto"/>
        </w:rPr>
      </w:pPr>
      <w:r>
        <w:rPr>
          <w:rFonts w:ascii="Times New Roman" w:cs="Times New Roman" w:eastAsia="Times New Roman" w:hAnsi="Times New Roman"/>
          <w:sz w:val="22"/>
          <w:szCs w:val="22"/>
          <w:color w:val="auto"/>
        </w:rPr>
        <w:t>The foregoing provisions shall control the vesting of the Award in the event of a Qualified Retirement notwithstanding the provisions of any Company policy.</w:t>
      </w:r>
    </w:p>
    <w:p>
      <w:pPr>
        <w:spacing w:after="0" w:line="140" w:lineRule="exact"/>
        <w:rPr>
          <w:sz w:val="20"/>
          <w:szCs w:val="20"/>
          <w:color w:val="auto"/>
        </w:rPr>
      </w:pPr>
    </w:p>
    <w:p>
      <w:pPr>
        <w:ind w:left="1020" w:hanging="263"/>
        <w:spacing w:after="0"/>
        <w:tabs>
          <w:tab w:leader="none" w:pos="102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R</w:t>
      </w:r>
      <w:r>
        <w:rPr>
          <w:rFonts w:ascii="Times New Roman" w:cs="Times New Roman" w:eastAsia="Times New Roman" w:hAnsi="Times New Roman"/>
          <w:sz w:val="14"/>
          <w:szCs w:val="14"/>
          <w:b w:val="1"/>
          <w:bCs w:val="1"/>
          <w:u w:val="single" w:color="auto"/>
          <w:color w:val="auto"/>
        </w:rPr>
        <w:t>eacquisition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R</w:t>
      </w:r>
      <w:r>
        <w:rPr>
          <w:rFonts w:ascii="Times New Roman" w:cs="Times New Roman" w:eastAsia="Times New Roman" w:hAnsi="Times New Roman"/>
          <w:sz w:val="14"/>
          <w:szCs w:val="14"/>
          <w:b w:val="1"/>
          <w:bCs w:val="1"/>
          <w:u w:val="single" w:color="auto"/>
          <w:color w:val="auto"/>
        </w:rPr>
        <w:t>ight</w:t>
      </w:r>
      <w:r>
        <w:rPr>
          <w:rFonts w:ascii="Times New Roman" w:cs="Times New Roman" w:eastAsia="Times New Roman" w:hAnsi="Times New Roman"/>
          <w:sz w:val="22"/>
          <w:szCs w:val="22"/>
          <w:b w:val="1"/>
          <w:bCs w:val="1"/>
          <w:color w:val="auto"/>
        </w:rPr>
        <w:t>.</w:t>
      </w:r>
    </w:p>
    <w:p>
      <w:pPr>
        <w:spacing w:after="0" w:line="220"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b w:val="1"/>
          <w:bCs w:val="1"/>
          <w:color w:val="auto"/>
        </w:rPr>
        <w:t>Grant of Company Reacquisition Right.</w:t>
      </w:r>
      <w:r>
        <w:rPr>
          <w:rFonts w:ascii="Times New Roman" w:cs="Times New Roman" w:eastAsia="Times New Roman" w:hAnsi="Times New Roman"/>
          <w:sz w:val="22"/>
          <w:szCs w:val="22"/>
          <w:color w:val="auto"/>
        </w:rPr>
        <w:t xml:space="preserve"> Except to the extent otherwise provided by the Superseding Agreement, if any, in the event that the Participant’s Service terminates for any reason or no reason, with or without cause, the Participant shall forfeit and the Company shall automatically reacquire all Units which are not, as of the time of such termination, Vested Units (“</w:t>
      </w:r>
      <w:r>
        <w:rPr>
          <w:rFonts w:ascii="Times New Roman" w:cs="Times New Roman" w:eastAsia="Times New Roman" w:hAnsi="Times New Roman"/>
          <w:sz w:val="22"/>
          <w:szCs w:val="22"/>
          <w:b w:val="1"/>
          <w:bCs w:val="1"/>
          <w:i w:val="1"/>
          <w:iCs w:val="1"/>
          <w:color w:val="auto"/>
        </w:rPr>
        <w:t>Unvested Units</w:t>
      </w:r>
      <w:r>
        <w:rPr>
          <w:rFonts w:ascii="Times New Roman" w:cs="Times New Roman" w:eastAsia="Times New Roman" w:hAnsi="Times New Roman"/>
          <w:sz w:val="22"/>
          <w:szCs w:val="22"/>
          <w:color w:val="auto"/>
        </w:rPr>
        <w:t>”), and the Participant shall not be entitled to any payment therefor (the “</w:t>
      </w:r>
      <w:r>
        <w:rPr>
          <w:rFonts w:ascii="Times New Roman" w:cs="Times New Roman" w:eastAsia="Times New Roman" w:hAnsi="Times New Roman"/>
          <w:sz w:val="22"/>
          <w:szCs w:val="22"/>
          <w:b w:val="1"/>
          <w:bCs w:val="1"/>
          <w:i w:val="1"/>
          <w:iCs w:val="1"/>
          <w:color w:val="auto"/>
        </w:rPr>
        <w:t>Company Reacquisition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Right</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color w:val="auto"/>
        </w:rPr>
        <w:t>Ownership Change Event, Non-Cash Dividends, Distributions and Adjustments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Upon the occurrence of an Ownership Change Event, a dividend or distribution to</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7" w:name="page98"/>
    <w:bookmarkEnd w:id="97"/>
    <w:p>
      <w:pPr>
        <w:jc w:val="both"/>
        <w:spacing w:after="0" w:line="239" w:lineRule="auto"/>
        <w:rPr>
          <w:sz w:val="20"/>
          <w:szCs w:val="20"/>
          <w:color w:val="auto"/>
        </w:rPr>
      </w:pPr>
      <w:r>
        <w:rPr>
          <w:rFonts w:ascii="Times New Roman" w:cs="Times New Roman" w:eastAsia="Times New Roman" w:hAnsi="Times New Roman"/>
          <w:sz w:val="22"/>
          <w:szCs w:val="22"/>
          <w:color w:val="auto"/>
        </w:rPr>
        <w:t>the stockholders of the Company paid in shares of Stock or other property, or any other adjustment upon a change in the capital structure of the Company as described in Section 9, any and all new, substituted or additional securities or other property (other than regular, periodic cash dividends paid on Stock pursuant to the Company’s dividend policy) to which the Participant is entitled by reason of the Participant’s ownership of Unvested Units shall be immediately subject to the Company Reacquisition Right and included in the terms “Units” and “Unvested Units” for all purposes of the Company Reacquisition Right with the same force and effect as the Unvested Units immediately prior to the Ownership Change Event, dividend, distribution or adjustment, as the case may be. For purposes of determining the number of Vested Units following an Ownership Change Event, dividend, distribution or adjustment, credited Service shall include all Service with any Company which is a Participating Company at the time the Service is rendered, whether or not such Company is a Participating Company both before and after any such event.</w:t>
      </w:r>
    </w:p>
    <w:p>
      <w:pPr>
        <w:spacing w:after="0" w:line="177" w:lineRule="exact"/>
        <w:rPr>
          <w:sz w:val="20"/>
          <w:szCs w:val="20"/>
          <w:color w:val="auto"/>
        </w:rPr>
      </w:pPr>
    </w:p>
    <w:p>
      <w:pPr>
        <w:ind w:left="1020" w:hanging="263"/>
        <w:spacing w:after="0"/>
        <w:tabs>
          <w:tab w:leader="none" w:pos="10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w:t>
      </w:r>
      <w:r>
        <w:rPr>
          <w:rFonts w:ascii="Times New Roman" w:cs="Times New Roman" w:eastAsia="Times New Roman" w:hAnsi="Times New Roman"/>
          <w:sz w:val="14"/>
          <w:szCs w:val="14"/>
          <w:b w:val="1"/>
          <w:bCs w:val="1"/>
          <w:u w:val="single" w:color="auto"/>
          <w:color w:val="auto"/>
        </w:rPr>
        <w:t>ettlement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w:t>
      </w:r>
      <w:r>
        <w:rPr>
          <w:rFonts w:ascii="Times New Roman" w:cs="Times New Roman" w:eastAsia="Times New Roman" w:hAnsi="Times New Roman"/>
          <w:sz w:val="14"/>
          <w:szCs w:val="14"/>
          <w:b w:val="1"/>
          <w:bCs w:val="1"/>
          <w:u w:val="single" w:color="auto"/>
          <w:color w:val="auto"/>
        </w:rPr>
        <w:t>ward</w:t>
      </w:r>
      <w:r>
        <w:rPr>
          <w:rFonts w:ascii="Times New Roman" w:cs="Times New Roman" w:eastAsia="Times New Roman" w:hAnsi="Times New Roman"/>
          <w:sz w:val="22"/>
          <w:szCs w:val="22"/>
          <w:b w:val="1"/>
          <w:bCs w:val="1"/>
          <w:color w:val="auto"/>
        </w:rPr>
        <w:t>.</w:t>
      </w:r>
    </w:p>
    <w:p>
      <w:pPr>
        <w:spacing w:after="0" w:line="204"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color w:val="auto"/>
        </w:rPr>
        <w:t>Issuance of Shares of Stock</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The “Settlement Date” with respect to a Vested Unit will be the date on which such Unit becomes a Vested Unit or as soon as administratively practicable but no later than 30 days thereafter. The Company shall deliver to the Participant a number of shares of Stock equal to the number of Vested Units subject to this Award. Shares of Stock issued in settlement of Units shall not be subject to any restriction on transfer other than any such restriction as may be required pursuant to Section 6.3, Section 7 or the Company’s Trading Compliance Policy.</w:t>
      </w:r>
    </w:p>
    <w:p>
      <w:pPr>
        <w:spacing w:after="0" w:line="167"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color w:val="auto"/>
        </w:rPr>
        <w:t>Beneficial Ownership of Shares; Certificate Registration</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84"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b w:val="1"/>
          <w:bCs w:val="1"/>
          <w:color w:val="auto"/>
        </w:rPr>
        <w:t>Restrictions on Grant of the Award and Issuance of Shares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The grant 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8" w:name="page99"/>
    <w:bookmarkEnd w:id="98"/>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2"/>
          <w:szCs w:val="22"/>
          <w:b w:val="1"/>
          <w:bCs w:val="1"/>
          <w:color w:val="auto"/>
        </w:rPr>
        <w:t>Fractional Shares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shall not be required to issue fractional shares upon the settlement of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Award.</w:t>
      </w:r>
    </w:p>
    <w:p>
      <w:pPr>
        <w:spacing w:after="0" w:line="192" w:lineRule="exact"/>
        <w:rPr>
          <w:sz w:val="20"/>
          <w:szCs w:val="20"/>
          <w:color w:val="auto"/>
        </w:rPr>
      </w:pPr>
    </w:p>
    <w:p>
      <w:pPr>
        <w:ind w:left="1020" w:hanging="263"/>
        <w:spacing w:after="0"/>
        <w:tabs>
          <w:tab w:leader="none" w:pos="10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w:t>
      </w:r>
      <w:r>
        <w:rPr>
          <w:rFonts w:ascii="Times New Roman" w:cs="Times New Roman" w:eastAsia="Times New Roman" w:hAnsi="Times New Roman"/>
          <w:sz w:val="14"/>
          <w:szCs w:val="14"/>
          <w:b w:val="1"/>
          <w:bCs w:val="1"/>
          <w:u w:val="single" w:color="auto"/>
          <w:color w:val="auto"/>
        </w:rPr>
        <w:t>ax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W</w:t>
      </w:r>
      <w:r>
        <w:rPr>
          <w:rFonts w:ascii="Times New Roman" w:cs="Times New Roman" w:eastAsia="Times New Roman" w:hAnsi="Times New Roman"/>
          <w:sz w:val="14"/>
          <w:szCs w:val="14"/>
          <w:b w:val="1"/>
          <w:bCs w:val="1"/>
          <w:u w:val="single" w:color="auto"/>
          <w:color w:val="auto"/>
        </w:rPr>
        <w:t>ithholding</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color w:val="auto"/>
        </w:rPr>
        <w:t>With holding Taxes.</w:t>
      </w:r>
      <w:r>
        <w:rPr>
          <w:rFonts w:ascii="Times New Roman" w:cs="Times New Roman" w:eastAsia="Times New Roman" w:hAnsi="Times New Roman"/>
          <w:sz w:val="22"/>
          <w:szCs w:val="22"/>
          <w:color w:val="auto"/>
        </w:rPr>
        <w:t xml:space="preserve"> Participant understands and acknowledges that on each Settlement Date, Participant is responsible for making adequate provision to satisfy the federal, state, local and foreign tax withholding obligations of the Company that arise in connection with your Award (the “Withholding Taxes”). Specifically, pursuant to the Grant Notice and this Section 7, Participant hereby agrees to a “same day sale” commitment with a broker-dealer that is a member of the Financial Industry Regulatory Authority (a “ FINRA Dealer “) whereby the Agent is irrevocably authorized to sell a portion of the shares to be issued on the Settlement Date to satisfy the Withholding Taxes and whereby the FINRA Dealer will forward the proceeds necessary to satisfy the Withholding Taxes directly to the Company. If, for any reason, such “same day sale” commitment pursuant to Section 7 does not result in sufficient proceeds to satisfy the Withholding Taxes or would be prohibited by applicable law at the applicable time, Participant hereby authorizes the Company to satisfy the obligations with regard to all Withholding Taxes by one or a combination of the following: (a) withholding from any compensation otherwise payable to you by the Company; (b) causing you to tender a cash payment (which may be in the form of a check, electronic wire transfer or other method permitted by the Company); or (c) withholding a number of whole shares having a fair market value, as determined by the Company as of the date on which the tax withholding obligations arise, not in excess of the amount of such tax withholding obligations determined by the applicable minimum statutory withholding rates if required to avoid liability classification of the Award under generally accepted accounting principles in the United States.</w:t>
      </w:r>
    </w:p>
    <w:p>
      <w:pPr>
        <w:spacing w:after="0" w:line="179"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b w:val="1"/>
          <w:bCs w:val="1"/>
          <w:color w:val="auto"/>
        </w:rPr>
        <w:t xml:space="preserve">Sell to Cover. </w:t>
      </w:r>
      <w:r>
        <w:rPr>
          <w:rFonts w:ascii="Times New Roman" w:cs="Times New Roman" w:eastAsia="Times New Roman" w:hAnsi="Times New Roman"/>
          <w:sz w:val="21"/>
          <w:szCs w:val="21"/>
          <w:color w:val="auto"/>
        </w:rPr>
        <w:t>Participant by accepting this Award agrees to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w:t>
      </w:r>
    </w:p>
    <w:p>
      <w:pPr>
        <w:spacing w:after="0" w:line="196" w:lineRule="exact"/>
        <w:rPr>
          <w:sz w:val="20"/>
          <w:szCs w:val="20"/>
          <w:color w:val="auto"/>
        </w:rPr>
      </w:pPr>
    </w:p>
    <w:p>
      <w:pPr>
        <w:ind w:left="1500" w:firstLine="5"/>
        <w:spacing w:after="0" w:line="258" w:lineRule="auto"/>
        <w:tabs>
          <w:tab w:leader="none" w:pos="203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hereby appoints such FINRA Dealer appointed by the Company for purposes of this Section 7 as Participant’s agent (the “Agent”), and hereby authorizes the Agent to:</w:t>
      </w:r>
    </w:p>
    <w:p>
      <w:pPr>
        <w:spacing w:after="0" w:line="171" w:lineRule="exact"/>
        <w:rPr>
          <w:rFonts w:ascii="Times New Roman" w:cs="Times New Roman" w:eastAsia="Times New Roman" w:hAnsi="Times New Roman"/>
          <w:sz w:val="22"/>
          <w:szCs w:val="22"/>
          <w:color w:val="auto"/>
        </w:rPr>
      </w:pPr>
    </w:p>
    <w:p>
      <w:pPr>
        <w:ind w:left="1500" w:right="200" w:firstLine="754"/>
        <w:spacing w:after="0" w:line="255" w:lineRule="auto"/>
        <w:tabs>
          <w:tab w:leader="none" w:pos="2548"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 on the open market at the then prevailing market price(s), on Participant’s behalf, as soon as practicable on or after each Settlement Date on which shares of Stock are issued to the Participant, the number (rounded up to the next whole number) of the shares of Stock issued on the Settlement Date sufficient to generate proceeds to cover (A) the Withholding Taxes resulting from the issuance of such shares and (B) all applicable fees and commissions due to, or required to be collected by, the Agent with respect thereto; and</w:t>
      </w:r>
    </w:p>
    <w:p>
      <w:pPr>
        <w:spacing w:after="0" w:line="175" w:lineRule="exact"/>
        <w:rPr>
          <w:rFonts w:ascii="Times New Roman" w:cs="Times New Roman" w:eastAsia="Times New Roman" w:hAnsi="Times New Roman"/>
          <w:sz w:val="21"/>
          <w:szCs w:val="21"/>
          <w:color w:val="auto"/>
        </w:rPr>
      </w:pPr>
    </w:p>
    <w:p>
      <w:pPr>
        <w:ind w:left="2560" w:hanging="306"/>
        <w:spacing w:after="0"/>
        <w:tabs>
          <w:tab w:leader="none" w:pos="256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Remit any remaining funds to the Participant.</w:t>
      </w:r>
    </w:p>
    <w:p>
      <w:pPr>
        <w:spacing w:after="0" w:line="206" w:lineRule="exact"/>
        <w:rPr>
          <w:rFonts w:ascii="Times New Roman" w:cs="Times New Roman" w:eastAsia="Times New Roman" w:hAnsi="Times New Roman"/>
          <w:sz w:val="22"/>
          <w:szCs w:val="22"/>
          <w:color w:val="auto"/>
        </w:rPr>
      </w:pPr>
    </w:p>
    <w:p>
      <w:pPr>
        <w:ind w:left="1500" w:firstLine="5"/>
        <w:spacing w:after="0" w:line="258" w:lineRule="auto"/>
        <w:tabs>
          <w:tab w:leader="none" w:pos="203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hereby authorizes the Company and the Agent to cooperate and communicate with one another to determine the number of Shares that must be sold pursuant to this Section 7.</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99" w:name="page100"/>
    <w:bookmarkEnd w:id="99"/>
    <w:p>
      <w:pPr>
        <w:jc w:val="both"/>
        <w:ind w:left="1500" w:firstLine="5"/>
        <w:spacing w:after="0" w:line="238" w:lineRule="auto"/>
        <w:tabs>
          <w:tab w:leader="none" w:pos="2039"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understands that the Agent may effect sales as provided in this Section 7 in one or more sales and that the average price for executions resulting from bunched orders will be assigned to the Participant’s account. In addition, Participant acknowledges that it may not be possible to sell shares of Stock as provided by in this Section 7 due to (1) a legal or contractual restriction applicable to the Participant or the Agent, (2) a market disruption, or (3) rules governing order execution priority on the national exchange where the Stock may be traded. In the event of the Agent’s inability to sell shares of Stock, Participant will continue to be responsible for the timely payment to the Company of all Withholding Taxes and any other federal, state, local and foreign taxes that are required by applicable laws and regulations to be withheld, including but not limited to those amounts specified in this Section 7.</w:t>
      </w:r>
    </w:p>
    <w:p>
      <w:pPr>
        <w:spacing w:after="0" w:line="195"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w:t>
      </w:r>
      <w:r>
        <w:rPr>
          <w:rFonts w:ascii="Times New Roman" w:cs="Times New Roman" w:eastAsia="Times New Roman" w:hAnsi="Times New Roman"/>
          <w:sz w:val="14"/>
          <w:szCs w:val="14"/>
          <w:b w:val="1"/>
          <w:bCs w:val="1"/>
          <w:u w:val="single" w:color="auto"/>
          <w:color w:val="auto"/>
        </w:rPr>
        <w:t>ffect of</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hange in</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ontrol</w:t>
      </w:r>
      <w:r>
        <w:rPr>
          <w:rFonts w:ascii="Times New Roman" w:cs="Times New Roman" w:eastAsia="Times New Roman" w:hAnsi="Times New Roman"/>
          <w:sz w:val="22"/>
          <w:szCs w:val="22"/>
          <w:b w:val="1"/>
          <w:bCs w:val="1"/>
          <w:u w:val="single" w:color="auto"/>
          <w:color w:val="auto"/>
        </w:rPr>
        <w:t>.</w:t>
      </w:r>
    </w:p>
    <w:p>
      <w:pPr>
        <w:spacing w:after="0" w:line="210"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In the event of a Change in Control, the Award shall be subject to the definitive agreement entered into by the Company in connection with the Change in Control. Except to the extent that the Committee determines to cash out the Award in accordance with Section 13.1(c) of the Plan, the surviving, continuing, successor, or purchasing entity or parent thereof, as the case may be (the “</w:t>
      </w:r>
      <w:r>
        <w:rPr>
          <w:rFonts w:ascii="Times New Roman" w:cs="Times New Roman" w:eastAsia="Times New Roman" w:hAnsi="Times New Roman"/>
          <w:sz w:val="22"/>
          <w:szCs w:val="22"/>
          <w:b w:val="1"/>
          <w:bCs w:val="1"/>
          <w:i w:val="1"/>
          <w:iCs w:val="1"/>
          <w:color w:val="auto"/>
        </w:rPr>
        <w:t>Acquiror</w:t>
      </w:r>
      <w:r>
        <w:rPr>
          <w:rFonts w:ascii="Times New Roman" w:cs="Times New Roman" w:eastAsia="Times New Roman" w:hAnsi="Times New Roman"/>
          <w:sz w:val="22"/>
          <w:szCs w:val="22"/>
          <w:color w:val="auto"/>
        </w:rPr>
        <w:t>”), may, without the consent of the Participant, assume or continue in full force and effect the Company’s rights and obligations under all or any portion of the outstanding Units or substitute for all or any portion of the outstanding Units substantially equivalent rights with respect to the Acquiror’s stock. For purposes of this Section, a Unit shall be deemed assumed if, following the Change in Control, the Unit confers the right to receive, subject to the terms and conditions of the Plan and this Agreement,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with the consent of the Acquiror, provide for the consideration to be received upon settlement of the Unit to consist solely of common stock of the Acquiror equal in Fair Market Value to the per share consideration received by holders of Stock pursuant to the Change in Control. The Award shall terminate and cease to be outstanding effective as of the time of consummation of the Change in Control to the extent that Units subject to the Award are neither assumed or continued by the Acquiror in connection with the Change in Control nor settled as of the time of the Change in Control.</w:t>
      </w:r>
    </w:p>
    <w:p>
      <w:pPr>
        <w:spacing w:after="0" w:line="184" w:lineRule="exact"/>
        <w:rPr>
          <w:sz w:val="20"/>
          <w:szCs w:val="20"/>
          <w:color w:val="auto"/>
        </w:rPr>
      </w:pPr>
    </w:p>
    <w:p>
      <w:pPr>
        <w:ind w:left="1020" w:hanging="263"/>
        <w:spacing w:after="0"/>
        <w:tabs>
          <w:tab w:leader="none" w:pos="10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djustments for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apital</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tructure</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1"/>
          <w:szCs w:val="21"/>
          <w:color w:val="auto"/>
        </w:rPr>
        <w:t>Subject to any required action by the stockholders of the Company and the requirements of Section 409A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0" w:name="page101"/>
    <w:bookmarkEnd w:id="100"/>
    <w:p>
      <w:pPr>
        <w:jc w:val="both"/>
        <w:spacing w:after="0" w:line="239" w:lineRule="auto"/>
        <w:rPr>
          <w:sz w:val="20"/>
          <w:szCs w:val="20"/>
          <w:color w:val="auto"/>
        </w:rPr>
      </w:pPr>
      <w:r>
        <w:rPr>
          <w:rFonts w:ascii="Times New Roman" w:cs="Times New Roman" w:eastAsia="Times New Roman" w:hAnsi="Times New Roman"/>
          <w:sz w:val="22"/>
          <w:szCs w:val="22"/>
          <w:color w:val="auto"/>
        </w:rPr>
        <w:t>has a material effect on the Fair Market Value of shares of Stock,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b w:val="1"/>
          <w:bCs w:val="1"/>
          <w:u w:val="single" w:color="auto"/>
          <w:color w:val="auto"/>
        </w:rPr>
        <w:t>R</w:t>
      </w:r>
      <w:r>
        <w:rPr>
          <w:rFonts w:ascii="Times New Roman" w:cs="Times New Roman" w:eastAsia="Times New Roman" w:hAnsi="Times New Roman"/>
          <w:sz w:val="14"/>
          <w:szCs w:val="14"/>
          <w:b w:val="1"/>
          <w:bCs w:val="1"/>
          <w:u w:val="single" w:color="auto"/>
          <w:color w:val="auto"/>
        </w:rPr>
        <w:t>ights as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w:t>
      </w:r>
      <w:r>
        <w:rPr>
          <w:rFonts w:ascii="Times New Roman" w:cs="Times New Roman" w:eastAsia="Times New Roman" w:hAnsi="Times New Roman"/>
          <w:sz w:val="14"/>
          <w:szCs w:val="14"/>
          <w:b w:val="1"/>
          <w:bCs w:val="1"/>
          <w:u w:val="single" w:color="auto"/>
          <w:color w:val="auto"/>
        </w:rPr>
        <w:t>tockholder</w:t>
      </w:r>
      <w:r>
        <w:rPr>
          <w:rFonts w:ascii="Times New Roman" w:cs="Times New Roman" w:eastAsia="Times New Roman" w:hAnsi="Times New Roman"/>
          <w:sz w:val="22"/>
          <w:szCs w:val="22"/>
          <w:b w:val="1"/>
          <w:bCs w:val="1"/>
          <w:u w:val="single" w:color="auto"/>
          <w:color w:val="auto"/>
        </w:rPr>
        <w:t>, D</w:t>
      </w:r>
      <w:r>
        <w:rPr>
          <w:rFonts w:ascii="Times New Roman" w:cs="Times New Roman" w:eastAsia="Times New Roman" w:hAnsi="Times New Roman"/>
          <w:sz w:val="14"/>
          <w:szCs w:val="14"/>
          <w:b w:val="1"/>
          <w:bCs w:val="1"/>
          <w:u w:val="single" w:color="auto"/>
          <w:color w:val="auto"/>
        </w:rPr>
        <w:t>irector</w:t>
      </w:r>
      <w:r>
        <w:rPr>
          <w:rFonts w:ascii="Times New Roman" w:cs="Times New Roman" w:eastAsia="Times New Roman" w:hAnsi="Times New Roman"/>
          <w:sz w:val="22"/>
          <w:szCs w:val="22"/>
          <w:b w:val="1"/>
          <w:bCs w:val="1"/>
          <w:u w:val="single" w:color="auto"/>
          <w:color w:val="auto"/>
        </w:rPr>
        <w:t>, E</w:t>
      </w:r>
      <w:r>
        <w:rPr>
          <w:rFonts w:ascii="Times New Roman" w:cs="Times New Roman" w:eastAsia="Times New Roman" w:hAnsi="Times New Roman"/>
          <w:sz w:val="14"/>
          <w:szCs w:val="14"/>
          <w:b w:val="1"/>
          <w:bCs w:val="1"/>
          <w:u w:val="single" w:color="auto"/>
          <w:color w:val="auto"/>
        </w:rPr>
        <w:t>mployee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onsultant</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1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b w:val="1"/>
          <w:bCs w:val="1"/>
          <w:u w:val="single" w:color="auto"/>
          <w:color w:val="auto"/>
        </w:rPr>
        <w:t>L</w:t>
      </w:r>
      <w:r>
        <w:rPr>
          <w:rFonts w:ascii="Times New Roman" w:cs="Times New Roman" w:eastAsia="Times New Roman" w:hAnsi="Times New Roman"/>
          <w:sz w:val="14"/>
          <w:szCs w:val="14"/>
          <w:b w:val="1"/>
          <w:bCs w:val="1"/>
          <w:u w:val="single" w:color="auto"/>
          <w:color w:val="auto"/>
        </w:rPr>
        <w:t>egends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The Company may at any time place legends referencing any applicable federal, state or foreign securities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ompliance with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409A.</w:t>
      </w:r>
    </w:p>
    <w:p>
      <w:pPr>
        <w:spacing w:after="0" w:line="210"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2"/>
          <w:szCs w:val="22"/>
          <w:color w:val="auto"/>
        </w:rPr>
        <w:t>It is intended that any election, payment or benefit which is made or provided pursuant to or in connection with this Award that may result in Section 409A Deferred Compensation shall comply in all respects with the applicable requirements of Section 409A (including applicable regulations or other administrative guidance thereunder, as determined by the Committee in good faith) to avoid the unfavorable tax consequences provided therein for non-compliance. In connection with effecting such compliance with Section 409A, the following shall apply: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1" w:name="page102"/>
    <w:bookmarkEnd w:id="101"/>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b w:val="1"/>
          <w:bCs w:val="1"/>
          <w:color w:val="auto"/>
        </w:rPr>
        <w:t>Separation from Service; Required Delay in Payment to Specified Employee.</w:t>
      </w:r>
      <w:r>
        <w:rPr>
          <w:rFonts w:ascii="Times New Roman" w:cs="Times New Roman" w:eastAsia="Times New Roman" w:hAnsi="Times New Roman"/>
          <w:sz w:val="22"/>
          <w:szCs w:val="22"/>
          <w:color w:val="auto"/>
        </w:rPr>
        <w:t xml:space="preserve"> Notwithstanding anything set forth herein to the contrary, no amount payable pursuant to this Agreement on account of the Participant’s termination of Service which constitutes a “deferral of compensation” within the meaning of the Treasury Regulations issued pursuant to Section 409A of the Code (the “</w:t>
      </w:r>
      <w:r>
        <w:rPr>
          <w:rFonts w:ascii="Times New Roman" w:cs="Times New Roman" w:eastAsia="Times New Roman" w:hAnsi="Times New Roman"/>
          <w:sz w:val="22"/>
          <w:szCs w:val="22"/>
          <w:b w:val="1"/>
          <w:bCs w:val="1"/>
          <w:i w:val="1"/>
          <w:iCs w:val="1"/>
          <w:color w:val="auto"/>
        </w:rPr>
        <w:t>Section 409A Regulations</w:t>
      </w:r>
      <w:r>
        <w:rPr>
          <w:rFonts w:ascii="Times New Roman" w:cs="Times New Roman" w:eastAsia="Times New Roman" w:hAnsi="Times New Roman"/>
          <w:sz w:val="22"/>
          <w:szCs w:val="22"/>
          <w:color w:val="auto"/>
        </w:rPr>
        <w:t>”) shall be paid unless and until the Participant has incurred a “separation from service” within the meaning of the Section 409A 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shall be paid to the Participant before the date (the “</w:t>
      </w:r>
      <w:r>
        <w:rPr>
          <w:rFonts w:ascii="Times New Roman" w:cs="Times New Roman" w:eastAsia="Times New Roman" w:hAnsi="Times New Roman"/>
          <w:sz w:val="22"/>
          <w:szCs w:val="22"/>
          <w:b w:val="1"/>
          <w:bCs w:val="1"/>
          <w:i w:val="1"/>
          <w:iCs w:val="1"/>
          <w:color w:val="auto"/>
        </w:rPr>
        <w:t>Delayed Payment Date</w:t>
      </w:r>
      <w:r>
        <w:rPr>
          <w:rFonts w:ascii="Times New Roman" w:cs="Times New Roman" w:eastAsia="Times New Roman" w:hAnsi="Times New Roman"/>
          <w:sz w:val="22"/>
          <w:szCs w:val="22"/>
          <w:color w:val="auto"/>
        </w:rPr>
        <w:t>”) which is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spacing w:after="0" w:line="183"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b w:val="1"/>
          <w:bCs w:val="1"/>
          <w:color w:val="auto"/>
        </w:rPr>
        <w:t>Other Changes in Time of Payment.</w:t>
      </w:r>
      <w:r>
        <w:rPr>
          <w:rFonts w:ascii="Times New Roman" w:cs="Times New Roman" w:eastAsia="Times New Roman" w:hAnsi="Times New Roman"/>
          <w:sz w:val="22"/>
          <w:szCs w:val="22"/>
          <w:color w:val="auto"/>
        </w:rPr>
        <w:t xml:space="preserve"> Neither the Participant nor the Company shall take any action to accelerate or delay the payment of any benefits under this Agreement in any manner which would not be in compliance with the Section 409A Regulations.</w:t>
      </w:r>
    </w:p>
    <w:p>
      <w:pPr>
        <w:spacing w:after="0" w:line="162"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22"/>
          <w:szCs w:val="22"/>
          <w:color w:val="auto"/>
        </w:rPr>
        <w:t xml:space="preserve">12.3 </w:t>
      </w:r>
      <w:r>
        <w:rPr>
          <w:rFonts w:ascii="Times New Roman" w:cs="Times New Roman" w:eastAsia="Times New Roman" w:hAnsi="Times New Roman"/>
          <w:sz w:val="22"/>
          <w:szCs w:val="22"/>
          <w:b w:val="1"/>
          <w:bCs w:val="1"/>
          <w:color w:val="auto"/>
        </w:rPr>
        <w:t>Amendments to Comply with Section 409A; Indemnification.</w:t>
      </w:r>
      <w:r>
        <w:rPr>
          <w:rFonts w:ascii="Times New Roman" w:cs="Times New Roman" w:eastAsia="Times New Roman" w:hAnsi="Times New Roman"/>
          <w:sz w:val="22"/>
          <w:szCs w:val="22"/>
          <w:color w:val="auto"/>
        </w:rPr>
        <w:t xml:space="preserve"> Notwithstanding any other provision of this Agreement to the contrary, 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or appropriate to comply with the Section 409A Regulations without prior notice to or consent of the Participant.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w:t>
      </w:r>
    </w:p>
    <w:p>
      <w:pPr>
        <w:spacing w:after="0" w:line="190"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2"/>
          <w:szCs w:val="22"/>
          <w:color w:val="auto"/>
        </w:rPr>
        <w:t xml:space="preserve">12.4 </w:t>
      </w:r>
      <w:r>
        <w:rPr>
          <w:rFonts w:ascii="Times New Roman" w:cs="Times New Roman" w:eastAsia="Times New Roman" w:hAnsi="Times New Roman"/>
          <w:sz w:val="22"/>
          <w:szCs w:val="22"/>
          <w:b w:val="1"/>
          <w:bCs w:val="1"/>
          <w:color w:val="auto"/>
        </w:rPr>
        <w:t>Advice of Independent Tax Advisor.</w:t>
      </w:r>
      <w:r>
        <w:rPr>
          <w:rFonts w:ascii="Times New Roman" w:cs="Times New Roman" w:eastAsia="Times New Roman" w:hAnsi="Times New Roman"/>
          <w:sz w:val="22"/>
          <w:szCs w:val="22"/>
          <w:color w:val="auto"/>
        </w:rPr>
        <w:t xml:space="preserve"> The Company has not obtained a tax ruling or other confirmation 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b w:val="1"/>
          <w:bCs w:val="1"/>
          <w:u w:val="single" w:color="auto"/>
          <w:color w:val="auto"/>
        </w:rPr>
        <w:t>M</w:t>
      </w:r>
      <w:r>
        <w:rPr>
          <w:rFonts w:ascii="Times New Roman" w:cs="Times New Roman" w:eastAsia="Times New Roman" w:hAnsi="Times New Roman"/>
          <w:sz w:val="14"/>
          <w:szCs w:val="14"/>
          <w:b w:val="1"/>
          <w:bCs w:val="1"/>
          <w:u w:val="single" w:color="auto"/>
          <w:color w:val="auto"/>
        </w:rPr>
        <w:t>iscellaneous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w:t>
      </w:r>
      <w:r>
        <w:rPr>
          <w:rFonts w:ascii="Times New Roman" w:cs="Times New Roman" w:eastAsia="Times New Roman" w:hAnsi="Times New Roman"/>
          <w:sz w:val="14"/>
          <w:szCs w:val="14"/>
          <w:b w:val="1"/>
          <w:bCs w:val="1"/>
          <w:u w:val="single" w:color="auto"/>
          <w:color w:val="auto"/>
        </w:rPr>
        <w:t>rovisions</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b w:val="1"/>
          <w:bCs w:val="1"/>
          <w:color w:val="auto"/>
        </w:rPr>
        <w:t>Termination or Amendment.</w:t>
      </w:r>
      <w:r>
        <w:rPr>
          <w:rFonts w:ascii="Times New Roman" w:cs="Times New Roman" w:eastAsia="Times New Roman" w:hAnsi="Times New Roman"/>
          <w:sz w:val="22"/>
          <w:szCs w:val="22"/>
          <w:color w:val="auto"/>
        </w:rPr>
        <w:t xml:space="preserve"> The Committee may terminate or amend the Plan or this Agreement at any time; provided, however, that except as provided in Section 8 in connection with a Change in Control, no such termination or amendment may have a materially adverse effect on the Participant’s rights under this Agreement without the consent of the Participant unless such termination or amendment is necessary to comply with applicable law or</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2" w:name="page103"/>
    <w:bookmarkEnd w:id="102"/>
    <w:p>
      <w:pPr>
        <w:jc w:val="both"/>
        <w:spacing w:after="0" w:line="258" w:lineRule="auto"/>
        <w:rPr>
          <w:sz w:val="20"/>
          <w:szCs w:val="20"/>
          <w:color w:val="auto"/>
        </w:rPr>
      </w:pPr>
      <w:r>
        <w:rPr>
          <w:rFonts w:ascii="Times New Roman" w:cs="Times New Roman" w:eastAsia="Times New Roman" w:hAnsi="Times New Roman"/>
          <w:sz w:val="22"/>
          <w:szCs w:val="22"/>
          <w:color w:val="auto"/>
        </w:rPr>
        <w:t>government regulation, including, but not limited to, Section 409A. No amendment or addition to this Agreement shall be effective unless in writing.</w:t>
      </w:r>
    </w:p>
    <w:p>
      <w:pPr>
        <w:spacing w:after="0" w:line="168"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b w:val="1"/>
          <w:bCs w:val="1"/>
          <w:color w:val="auto"/>
        </w:rPr>
        <w:t>Nontransferability of the Award.</w:t>
      </w:r>
      <w:r>
        <w:rPr>
          <w:rFonts w:ascii="Times New Roman" w:cs="Times New Roman" w:eastAsia="Times New Roman" w:hAnsi="Times New Roman"/>
          <w:sz w:val="22"/>
          <w:szCs w:val="22"/>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88"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 xml:space="preserve">13.3 </w:t>
      </w:r>
      <w:r>
        <w:rPr>
          <w:rFonts w:ascii="Times New Roman" w:cs="Times New Roman" w:eastAsia="Times New Roman" w:hAnsi="Times New Roman"/>
          <w:sz w:val="22"/>
          <w:szCs w:val="22"/>
          <w:b w:val="1"/>
          <w:bCs w:val="1"/>
          <w:color w:val="auto"/>
        </w:rPr>
        <w:t>Further Instruments.</w:t>
      </w:r>
      <w:r>
        <w:rPr>
          <w:rFonts w:ascii="Times New Roman" w:cs="Times New Roman" w:eastAsia="Times New Roman" w:hAnsi="Times New Roman"/>
          <w:sz w:val="22"/>
          <w:szCs w:val="22"/>
          <w:color w:val="auto"/>
        </w:rPr>
        <w:t xml:space="preserve"> The parties hereto agree to execute such further instruments and to take such further action as may reasonably be necessary to carry out the intent of this Agreement.</w:t>
      </w:r>
    </w:p>
    <w:p>
      <w:pPr>
        <w:spacing w:after="0" w:line="163"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13.4 </w:t>
      </w:r>
      <w:r>
        <w:rPr>
          <w:rFonts w:ascii="Times New Roman" w:cs="Times New Roman" w:eastAsia="Times New Roman" w:hAnsi="Times New Roman"/>
          <w:sz w:val="22"/>
          <w:szCs w:val="22"/>
          <w:b w:val="1"/>
          <w:bCs w:val="1"/>
          <w:color w:val="auto"/>
        </w:rPr>
        <w:t>Binding Effect.</w:t>
      </w:r>
      <w:r>
        <w:rPr>
          <w:rFonts w:ascii="Times New Roman" w:cs="Times New Roman" w:eastAsia="Times New Roman" w:hAnsi="Times New Roman"/>
          <w:sz w:val="22"/>
          <w:szCs w:val="22"/>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81"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22"/>
          <w:szCs w:val="22"/>
          <w:color w:val="auto"/>
        </w:rPr>
        <w:t xml:space="preserve">13.5 </w:t>
      </w:r>
      <w:r>
        <w:rPr>
          <w:rFonts w:ascii="Times New Roman" w:cs="Times New Roman" w:eastAsia="Times New Roman" w:hAnsi="Times New Roman"/>
          <w:sz w:val="22"/>
          <w:szCs w:val="22"/>
          <w:b w:val="1"/>
          <w:bCs w:val="1"/>
          <w:color w:val="auto"/>
        </w:rPr>
        <w:t>Delivery of Documents and Notices.</w:t>
      </w:r>
      <w:r>
        <w:rPr>
          <w:rFonts w:ascii="Times New Roman" w:cs="Times New Roman" w:eastAsia="Times New Roman" w:hAnsi="Times New Roman"/>
          <w:sz w:val="22"/>
          <w:szCs w:val="22"/>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71" w:lineRule="exact"/>
        <w:rPr>
          <w:sz w:val="20"/>
          <w:szCs w:val="20"/>
          <w:color w:val="auto"/>
        </w:rPr>
      </w:pPr>
    </w:p>
    <w:p>
      <w:pPr>
        <w:ind w:left="2560" w:hanging="306"/>
        <w:spacing w:after="0"/>
        <w:tabs>
          <w:tab w:leader="none" w:pos="256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Description of Electronic Delivery and Signature. </w:t>
      </w:r>
      <w:r>
        <w:rPr>
          <w:rFonts w:ascii="Times New Roman" w:cs="Times New Roman" w:eastAsia="Times New Roman" w:hAnsi="Times New Roman"/>
          <w:sz w:val="21"/>
          <w:szCs w:val="21"/>
          <w:color w:val="auto"/>
        </w:rPr>
        <w:t>The Plan documents, which may include but do</w:t>
      </w:r>
    </w:p>
    <w:p>
      <w:pPr>
        <w:spacing w:after="0" w:line="45" w:lineRule="exact"/>
        <w:rPr>
          <w:rFonts w:ascii="Times New Roman" w:cs="Times New Roman" w:eastAsia="Times New Roman" w:hAnsi="Times New Roman"/>
          <w:sz w:val="21"/>
          <w:szCs w:val="21"/>
          <w:color w:val="auto"/>
        </w:rPr>
      </w:pPr>
    </w:p>
    <w:p>
      <w:pPr>
        <w:jc w:val="both"/>
        <w:spacing w:after="0" w:line="23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not necessarily include: the Plan,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spacing w:after="0" w:line="186" w:lineRule="exact"/>
        <w:rPr>
          <w:rFonts w:ascii="Times New Roman" w:cs="Times New Roman" w:eastAsia="Times New Roman" w:hAnsi="Times New Roman"/>
          <w:sz w:val="21"/>
          <w:szCs w:val="21"/>
          <w:color w:val="auto"/>
        </w:rPr>
      </w:pPr>
    </w:p>
    <w:p>
      <w:pPr>
        <w:jc w:val="both"/>
        <w:ind w:firstLine="2254"/>
        <w:spacing w:after="0" w:line="242" w:lineRule="auto"/>
        <w:tabs>
          <w:tab w:leader="none" w:pos="254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Consent to Electronic Delivery and Signature. </w:t>
      </w:r>
      <w:r>
        <w:rPr>
          <w:rFonts w:ascii="Times New Roman" w:cs="Times New Roman" w:eastAsia="Times New Roman" w:hAnsi="Times New Roman"/>
          <w:sz w:val="22"/>
          <w:szCs w:val="22"/>
          <w:color w:val="auto"/>
        </w:rPr>
        <w:t>The Participant acknowledges that the Participant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has read Section 13.5(a) of this Agreement and consents to the electronic delivery of the Plan documents and, if permitted by the Company, the delivery of the Grant Notice, as described in Section 13.5(a). The Participant agrees that any and all such documents requiring a signature may be electronically signed and that such electronic signature shall have the same effect as handwritten signature for the purposes of validity, enforceability and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3" w:name="page104"/>
    <w:bookmarkEnd w:id="103"/>
    <w:p>
      <w:pPr>
        <w:jc w:val="both"/>
        <w:spacing w:after="0" w:line="239" w:lineRule="auto"/>
        <w:rPr>
          <w:sz w:val="20"/>
          <w:szCs w:val="20"/>
          <w:color w:val="auto"/>
        </w:rPr>
      </w:pPr>
      <w:r>
        <w:rPr>
          <w:rFonts w:ascii="Times New Roman" w:cs="Times New Roman" w:eastAsia="Times New Roman" w:hAnsi="Times New Roman"/>
          <w:sz w:val="22"/>
          <w:szCs w:val="22"/>
          <w:color w:val="auto"/>
        </w:rPr>
        <w:t>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177"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2"/>
          <w:szCs w:val="22"/>
          <w:color w:val="auto"/>
        </w:rPr>
        <w:t xml:space="preserve">13.6 </w:t>
      </w:r>
      <w:r>
        <w:rPr>
          <w:rFonts w:ascii="Times New Roman" w:cs="Times New Roman" w:eastAsia="Times New Roman" w:hAnsi="Times New Roman"/>
          <w:sz w:val="22"/>
          <w:szCs w:val="22"/>
          <w:b w:val="1"/>
          <w:bCs w:val="1"/>
          <w:color w:val="auto"/>
        </w:rPr>
        <w:t>Integrated Agreement.</w:t>
      </w:r>
      <w:r>
        <w:rPr>
          <w:rFonts w:ascii="Times New Roman" w:cs="Times New Roman" w:eastAsia="Times New Roman" w:hAnsi="Times New Roman"/>
          <w:sz w:val="22"/>
          <w:szCs w:val="22"/>
          <w:color w:val="auto"/>
        </w:rPr>
        <w:t xml:space="preserve"> The Grant Notice, this Agreement and the Plan, together with the Superseding Agreement, if any,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170" w:lineRule="exact"/>
        <w:rPr>
          <w:sz w:val="20"/>
          <w:szCs w:val="20"/>
          <w:color w:val="auto"/>
        </w:rPr>
      </w:pPr>
    </w:p>
    <w:p>
      <w:pPr>
        <w:jc w:val="both"/>
        <w:ind w:right="20" w:firstLine="1497"/>
        <w:spacing w:after="0" w:line="275" w:lineRule="auto"/>
        <w:rPr>
          <w:sz w:val="20"/>
          <w:szCs w:val="20"/>
          <w:color w:val="auto"/>
        </w:rPr>
      </w:pPr>
      <w:r>
        <w:rPr>
          <w:rFonts w:ascii="Times New Roman" w:cs="Times New Roman" w:eastAsia="Times New Roman" w:hAnsi="Times New Roman"/>
          <w:sz w:val="22"/>
          <w:szCs w:val="22"/>
          <w:color w:val="auto"/>
        </w:rPr>
        <w:t xml:space="preserve">13.7 </w:t>
      </w: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xml:space="preserve"> This Agreement shall be governed by the laws of the State of Delaware as such laws are applied to agreements between Delaware residents entered into and to be performed entirely within the State of Delaware.</w:t>
      </w:r>
    </w:p>
    <w:p>
      <w:pPr>
        <w:spacing w:after="0" w:line="136"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 xml:space="preserve">13.8 </w:t>
      </w: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xml:space="preserve"> The Grant Notice may be executed in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5"/>
          <w:szCs w:val="25"/>
          <w:b w:val="1"/>
          <w:bCs w:val="1"/>
          <w:color w:val="auto"/>
        </w:rPr>
        <w:t>PALOMAR HOLDINGS, INC.</w:t>
      </w:r>
    </w:p>
    <w:p>
      <w:pPr>
        <w:spacing w:after="0" w:line="3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5"/>
          <w:szCs w:val="25"/>
          <w:b w:val="1"/>
          <w:bCs w:val="1"/>
          <w:color w:val="auto"/>
        </w:rPr>
        <w:t>NOTICE OF GRANT OF PERFORMANCE STOCK UNITS</w:t>
      </w:r>
    </w:p>
    <w:p>
      <w:pPr>
        <w:spacing w:after="0" w:line="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(For U.S.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left="40" w:right="560"/>
        <w:spacing w:after="0" w:line="252" w:lineRule="auto"/>
        <w:rPr>
          <w:sz w:val="20"/>
          <w:szCs w:val="20"/>
          <w:color w:val="auto"/>
        </w:rPr>
      </w:pPr>
      <w:r>
        <w:rPr>
          <w:rFonts w:ascii="Times New Roman" w:cs="Times New Roman" w:eastAsia="Times New Roman" w:hAnsi="Times New Roman"/>
          <w:sz w:val="18"/>
          <w:szCs w:val="18"/>
          <w:color w:val="auto"/>
        </w:rPr>
        <w:t xml:space="preserve">Palomar Holdings, Inc.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has granted to the Participant an award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 certain Performance Stock Units pursuant to the Palomar Holdings, Inc. 2019 Equity Incentive Plan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each of which represents the right to receive on the applicable Settlement Date one (1) share of Stock, as follows. Capitalized terms used herein and not otherwise defined have the meanings set forth in the Plan or the Performance Stock Units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Participant: Employee ID:</w:t>
      </w:r>
    </w:p>
    <w:p>
      <w:pPr>
        <w:sectPr>
          <w:pgSz w:w="11900" w:h="16838" w:orient="portrait"/>
          <w:cols w:equalWidth="0" w:num="1">
            <w:col w:w="10760"/>
          </w:cols>
          <w:pgMar w:left="800" w:top="7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Date of Grant:</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Target Number of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Performance Period</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Maximum Number of Units: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 Date: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Start Date: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Vesting Condition: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Vested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TOTAL_SHARES_GRANTED,</w:t>
      </w:r>
    </w:p>
    <w:p>
      <w:pPr>
        <w:spacing w:after="0" w:line="32" w:lineRule="exact"/>
        <w:rPr>
          <w:sz w:val="20"/>
          <w:szCs w:val="20"/>
          <w:color w:val="auto"/>
        </w:rPr>
      </w:pPr>
    </w:p>
    <w:p>
      <w:pPr>
        <w:ind w:left="80" w:right="580"/>
        <w:spacing w:after="0" w:line="255" w:lineRule="auto"/>
        <w:rPr>
          <w:sz w:val="20"/>
          <w:szCs w:val="20"/>
          <w:color w:val="auto"/>
        </w:rPr>
      </w:pP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b w:val="1"/>
          <w:bCs w:val="1"/>
          <w:i w:val="1"/>
          <w:iCs w:val="1"/>
          <w:color w:val="auto"/>
        </w:rPr>
        <w:t>Unit</w:t>
      </w:r>
      <w:r>
        <w:rPr>
          <w:rFonts w:ascii="Times New Roman" w:cs="Times New Roman" w:eastAsia="Times New Roman" w:hAnsi="Times New Roman"/>
          <w:sz w:val="18"/>
          <w:szCs w:val="18"/>
          <w:color w:val="auto"/>
        </w:rPr>
        <w:t>”), subject to adjustment as provided by the Performance Stock Units Agreement. Each Unit shall be a Performance Share for purposes of the Plan.</w:t>
      </w:r>
    </w:p>
    <w:p>
      <w:pPr>
        <w:spacing w:after="0" w:line="200" w:lineRule="exact"/>
        <w:rPr>
          <w:sz w:val="20"/>
          <w:szCs w:val="20"/>
          <w:color w:val="auto"/>
        </w:rPr>
      </w:pPr>
    </w:p>
    <w:p>
      <w:pPr>
        <w:spacing w:after="0" w:line="3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January 1, 2026 – December 31, 2028</w:t>
      </w: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240% of Target Number of Units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60"/>
        <w:spacing w:after="0" w:line="250" w:lineRule="auto"/>
        <w:rPr>
          <w:sz w:val="20"/>
          <w:szCs w:val="20"/>
          <w:color w:val="auto"/>
        </w:rPr>
      </w:pPr>
      <w:r>
        <w:rPr>
          <w:rFonts w:ascii="Times New Roman" w:cs="Times New Roman" w:eastAsia="Times New Roman" w:hAnsi="Times New Roman"/>
          <w:sz w:val="18"/>
          <w:szCs w:val="18"/>
          <w:color w:val="auto"/>
        </w:rPr>
        <w:t>Except as provided by the Performance Stock Units Agreement, the date on which a Unit becomes a Vested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760"/>
        <w:spacing w:after="0" w:line="236" w:lineRule="auto"/>
        <w:rPr>
          <w:sz w:val="20"/>
          <w:szCs w:val="20"/>
          <w:color w:val="auto"/>
        </w:rPr>
      </w:pPr>
      <w:r>
        <w:rPr>
          <w:rFonts w:ascii="Times New Roman" w:cs="Times New Roman" w:eastAsia="Times New Roman" w:hAnsi="Times New Roman"/>
          <w:sz w:val="18"/>
          <w:szCs w:val="18"/>
          <w:color w:val="auto"/>
        </w:rPr>
        <w:t xml:space="preserve">Subject to the terms of the Participant’s employment agreement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and the terms set forth in the Agreement, Participant’s continued Service from the Vesting Start Date through December 31, 2028.</w:t>
      </w:r>
    </w:p>
    <w:p>
      <w:pPr>
        <w:spacing w:after="0" w:line="361" w:lineRule="exact"/>
        <w:rPr>
          <w:sz w:val="20"/>
          <w:szCs w:val="20"/>
          <w:color w:val="auto"/>
        </w:rPr>
      </w:pPr>
    </w:p>
    <w:p>
      <w:pPr>
        <w:ind w:left="80" w:right="640"/>
        <w:spacing w:after="0" w:line="229" w:lineRule="auto"/>
        <w:rPr>
          <w:sz w:val="20"/>
          <w:szCs w:val="20"/>
          <w:color w:val="auto"/>
        </w:rPr>
      </w:pPr>
      <w:r>
        <w:rPr>
          <w:rFonts w:ascii="Times New Roman" w:cs="Times New Roman" w:eastAsia="Times New Roman" w:hAnsi="Times New Roman"/>
          <w:sz w:val="18"/>
          <w:szCs w:val="18"/>
          <w:color w:val="auto"/>
        </w:rPr>
        <w:t xml:space="preserve">Subject to Participant’s satisfaction of the Service Vesting Condition [and further subject to the terms in the Employment Agreement,] the number of </w:t>
      </w:r>
      <w:r>
        <w:rPr>
          <w:rFonts w:ascii="Times New Roman" w:cs="Times New Roman" w:eastAsia="Times New Roman" w:hAnsi="Times New Roman"/>
          <w:sz w:val="18"/>
          <w:szCs w:val="18"/>
          <w:u w:val="single" w:color="auto"/>
          <w:color w:val="auto"/>
        </w:rPr>
        <w:t>Vested Units</w:t>
      </w:r>
      <w:r>
        <w:rPr>
          <w:rFonts w:ascii="Times New Roman" w:cs="Times New Roman" w:eastAsia="Times New Roman" w:hAnsi="Times New Roman"/>
          <w:sz w:val="18"/>
          <w:szCs w:val="18"/>
          <w:color w:val="auto"/>
        </w:rPr>
        <w:t xml:space="preserve"> (disregarding any resulting fractional Unit) will be equal to the Target Number of Units multiplied by the applicable Payout Level determined by the Committee in accordance with the Performance Vesting Criteria set out in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color w:val="auto"/>
        </w:rPr>
        <w:t xml:space="preserve"> to this Grant Notice (the “</w:t>
      </w:r>
      <w:r>
        <w:rPr>
          <w:rFonts w:ascii="Times New Roman" w:cs="Times New Roman" w:eastAsia="Times New Roman" w:hAnsi="Times New Roman"/>
          <w:sz w:val="18"/>
          <w:szCs w:val="18"/>
          <w:u w:val="single" w:color="auto"/>
          <w:color w:val="auto"/>
        </w:rPr>
        <w:t>Performance Vesting Conditions</w:t>
      </w:r>
      <w:r>
        <w:rPr>
          <w:rFonts w:ascii="Times New Roman" w:cs="Times New Roman" w:eastAsia="Times New Roman" w:hAnsi="Times New Roman"/>
          <w:sz w:val="18"/>
          <w:szCs w:val="18"/>
          <w:color w:val="auto"/>
        </w:rPr>
        <w:t>”) for:</w:t>
      </w:r>
    </w:p>
    <w:p>
      <w:pPr>
        <w:spacing w:after="0" w:line="79" w:lineRule="exact"/>
        <w:rPr>
          <w:sz w:val="20"/>
          <w:szCs w:val="20"/>
          <w:color w:val="auto"/>
        </w:rPr>
      </w:pPr>
    </w:p>
    <w:p>
      <w:pPr>
        <w:ind w:left="580" w:right="660" w:hanging="514"/>
        <w:spacing w:after="0" w:line="250" w:lineRule="auto"/>
        <w:tabs>
          <w:tab w:leader="none" w:pos="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one-year Performance Period commencing on January 1, 2026, and ending on December 31, 2026, with respect to 30% of the Target Number of Units, which are eligible to vest subject to the level of attainment of the Gross Written Premium during such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685800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200" w:space="280"/>
            <w:col w:w="8280"/>
          </w:cols>
          <w:pgMar w:left="800" w:top="752" w:right="339" w:bottom="1440" w:gutter="0" w:footer="0" w:header="0"/>
          <w:type w:val="continuous"/>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Superseding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Tax Withholding: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60" w:right="120" w:hanging="494"/>
        <w:spacing w:after="0" w:line="250" w:lineRule="auto"/>
        <w:tabs>
          <w:tab w:leader="none" w:pos="5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three-year Performance Period commencing on January 1, 2026, and ending on December 31, 2028, with respect to 70% of the Target Number of Units which are eligible to vest subject to the level of attainment of the Adjusted Return on Equity performance metric during such Performance Period; and,</w:t>
      </w:r>
    </w:p>
    <w:p>
      <w:pPr>
        <w:spacing w:after="0" w:line="69" w:lineRule="exact"/>
        <w:rPr>
          <w:rFonts w:ascii="Times New Roman" w:cs="Times New Roman" w:eastAsia="Times New Roman" w:hAnsi="Times New Roman"/>
          <w:sz w:val="18"/>
          <w:szCs w:val="18"/>
          <w:color w:val="auto"/>
        </w:rPr>
      </w:pPr>
    </w:p>
    <w:p>
      <w:pPr>
        <w:ind w:left="560" w:right="800" w:hanging="494"/>
        <w:spacing w:after="0" w:line="266" w:lineRule="auto"/>
        <w:tabs>
          <w:tab w:leader="none" w:pos="5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rTSR Percentile Rank, as further specified in the Performance Vesting Conditions.</w:t>
      </w:r>
    </w:p>
    <w:p>
      <w:pPr>
        <w:spacing w:after="0" w:line="54" w:lineRule="exact"/>
        <w:rPr>
          <w:sz w:val="20"/>
          <w:szCs w:val="20"/>
          <w:color w:val="auto"/>
        </w:rPr>
      </w:pPr>
    </w:p>
    <w:p>
      <w:pPr>
        <w:ind w:right="420"/>
        <w:spacing w:after="0" w:line="236" w:lineRule="auto"/>
        <w:rPr>
          <w:sz w:val="20"/>
          <w:szCs w:val="20"/>
          <w:color w:val="auto"/>
        </w:rPr>
      </w:pPr>
      <w:r>
        <w:rPr>
          <w:rFonts w:ascii="Times New Roman" w:cs="Times New Roman" w:eastAsia="Times New Roman" w:hAnsi="Times New Roman"/>
          <w:sz w:val="18"/>
          <w:szCs w:val="18"/>
          <w:color w:val="auto"/>
        </w:rPr>
        <w:t>For the avoidance of doubt, no Units will become Vested Units unless each of the Service Vesting Condition and the Performance Vesting Conditions are both met with respect to such Units as determined by the Compensation Committee.</w:t>
      </w:r>
    </w:p>
    <w:p>
      <w:pPr>
        <w:spacing w:after="0" w:line="10" w:lineRule="exact"/>
        <w:rPr>
          <w:sz w:val="20"/>
          <w:szCs w:val="20"/>
          <w:color w:val="auto"/>
        </w:rPr>
      </w:pPr>
    </w:p>
    <w:p>
      <w:pPr>
        <w:ind w:left="80"/>
        <w:spacing w:after="0" w:line="250" w:lineRule="auto"/>
        <w:rPr>
          <w:sz w:val="20"/>
          <w:szCs w:val="20"/>
          <w:color w:val="auto"/>
        </w:rPr>
      </w:pPr>
      <w:r>
        <w:rPr>
          <w:rFonts w:ascii="Times New Roman" w:cs="Times New Roman" w:eastAsia="Times New Roman" w:hAnsi="Times New Roman"/>
          <w:sz w:val="18"/>
          <w:szCs w:val="18"/>
          <w:color w:val="auto"/>
        </w:rPr>
        <w:t>All tax withholding obligations shall be satisfied by deducting from the shares of Stock otherwise deliverable to the Participant in settlement of the Award as permitted by Section 7.2 of the Agreement.</w:t>
      </w:r>
    </w:p>
    <w:p>
      <w:pPr>
        <w:spacing w:after="0" w:line="185" w:lineRule="exact"/>
        <w:rPr>
          <w:sz w:val="20"/>
          <w:szCs w:val="20"/>
          <w:color w:val="auto"/>
        </w:rPr>
      </w:pPr>
    </w:p>
    <w:p>
      <w:pPr>
        <w:sectPr>
          <w:pgSz w:w="11900" w:h="16838" w:orient="portrait"/>
          <w:cols w:equalWidth="0" w:num="2">
            <w:col w:w="2360" w:space="560"/>
            <w:col w:w="7480"/>
          </w:cols>
          <w:pgMar w:left="360" w:top="1440" w:right="113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1628771616.1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465455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60" w:top="1440" w:right="1139" w:bottom="1440" w:gutter="0" w:footer="0" w:header="0"/>
          <w:type w:val="continuous"/>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0"/>
        <w:spacing w:after="0" w:line="245" w:lineRule="auto"/>
        <w:rPr>
          <w:sz w:val="20"/>
          <w:szCs w:val="20"/>
          <w:color w:val="auto"/>
        </w:rPr>
      </w:pPr>
      <w:r>
        <w:rPr>
          <w:rFonts w:ascii="Times New Roman" w:cs="Times New Roman" w:eastAsia="Times New Roman" w:hAnsi="Times New Roman"/>
          <w:sz w:val="18"/>
          <w:szCs w:val="18"/>
          <w:color w:val="auto"/>
        </w:rPr>
        <w:t>By their signatures below or by electronic acceptance or authentication in a form authorized by the Company, the Company and the Participant agree that the Award is governed by this Grant Notice and by the provisions of the Performance Stock Units Agreement and the Plan, both of which are made a part of this document, and by the Superseding Agreement, if any. The Participant acknowledges that copies of the Plan, the Performance Stock Units Agreement and the prospectus for the Plan are available on the Company’s internal web site and may be viewed and printed by the Participant for attachment to the Participant’s copy of this Grant Notice. The Participant represents that the Participant has read and is familiar with the provisions of the Performance Stock Units Agreement and the Plan, and hereby accepts the Award subject to all of their terms and conditions.</w:t>
      </w:r>
    </w:p>
    <w:p>
      <w:pPr>
        <w:spacing w:after="0" w:line="200" w:lineRule="exact"/>
        <w:rPr>
          <w:sz w:val="20"/>
          <w:szCs w:val="20"/>
          <w:color w:val="auto"/>
        </w:rPr>
      </w:pPr>
    </w:p>
    <w:p>
      <w:pPr>
        <w:spacing w:after="0" w:line="3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PALOMAR HOLDINGS, INC.</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655764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308610</wp:posOffset>
            </wp:positionV>
            <wp:extent cx="376301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0"/>
        <w:spacing w:after="0"/>
        <w:tabs>
          <w:tab w:leader="none" w:pos="146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7979 Ivanhoe Avenue, Suite 500</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La Jolla, CA 92037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5715</wp:posOffset>
            </wp:positionV>
            <wp:extent cx="376301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5">
                      <a:extLst>
                        <a:ext uri="{28A0092B-C50C-407E-A947-70E740481C1C}"/>
                      </a:extLst>
                    </a:blip>
                    <a:srcRect/>
                    <a:stretch>
                      <a:fillRect/>
                    </a:stretch>
                  </pic:blipFill>
                  <pic:spPr bwMode="auto">
                    <a:xfrm>
                      <a:off x="0" y="0"/>
                      <a:ext cx="376301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2360" w:right="240" w:hanging="1871"/>
        <w:spacing w:after="0" w:line="249" w:lineRule="auto"/>
        <w:rPr>
          <w:sz w:val="20"/>
          <w:szCs w:val="20"/>
          <w:color w:val="auto"/>
        </w:rPr>
      </w:pPr>
      <w:r>
        <w:rPr>
          <w:rFonts w:ascii="Times New Roman" w:cs="Times New Roman" w:eastAsia="Times New Roman" w:hAnsi="Times New Roman"/>
          <w:sz w:val="18"/>
          <w:szCs w:val="18"/>
          <w:color w:val="auto"/>
        </w:rPr>
        <w:t xml:space="preserve">ATTACHMENTS: </w:t>
      </w:r>
      <w:r>
        <w:rPr>
          <w:rFonts w:ascii="Times New Roman" w:cs="Times New Roman" w:eastAsia="Times New Roman" w:hAnsi="Times New Roman"/>
          <w:sz w:val="18"/>
          <w:szCs w:val="18"/>
          <w:u w:val="single" w:color="auto"/>
          <w:color w:val="auto"/>
        </w:rPr>
        <w:t>Attachment 1 Performance Goals</w:t>
      </w:r>
      <w:r>
        <w:rPr>
          <w:rFonts w:ascii="Times New Roman" w:cs="Times New Roman" w:eastAsia="Times New Roman" w:hAnsi="Times New Roman"/>
          <w:sz w:val="18"/>
          <w:szCs w:val="18"/>
          <w:color w:val="auto"/>
        </w:rPr>
        <w:t>; 2019 Equity Incentive Plan, as amended to the Date of Grant; Performance Stock Units Agreement and Plan Prospectus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1628771616.1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463550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60" w:top="1440" w:right="1019" w:bottom="1440" w:gutter="0" w:footer="0" w:header="0"/>
        </w:sectPr>
      </w:pPr>
    </w:p>
    <w:bookmarkStart w:id="107" w:name="page108"/>
    <w:bookmarkEnd w:id="107"/>
    <w:p>
      <w:pPr>
        <w:ind w:left="5020"/>
        <w:spacing w:after="0"/>
        <w:rPr>
          <w:sz w:val="20"/>
          <w:szCs w:val="20"/>
          <w:color w:val="auto"/>
        </w:rPr>
      </w:pPr>
      <w:r>
        <w:rPr>
          <w:rFonts w:ascii="Times New Roman" w:cs="Times New Roman" w:eastAsia="Times New Roman" w:hAnsi="Times New Roman"/>
          <w:sz w:val="22"/>
          <w:szCs w:val="22"/>
          <w:b w:val="1"/>
          <w:bCs w:val="1"/>
          <w:u w:val="single" w:color="auto"/>
          <w:color w:val="auto"/>
        </w:rPr>
        <w:t>Attachment 1</w:t>
      </w:r>
    </w:p>
    <w:p>
      <w:pPr>
        <w:spacing w:after="0" w:line="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2026 Grant Performance</w:t>
      </w:r>
    </w:p>
    <w:p>
      <w:pPr>
        <w:spacing w:after="0" w:line="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Vesting Criteria</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1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940" w:type="dxa"/>
            <w:vAlign w:val="bottom"/>
            <w:gridSpan w:val="3"/>
          </w:tcPr>
          <w:p>
            <w:pPr>
              <w:ind w:left="600"/>
              <w:spacing w:after="0"/>
              <w:rPr>
                <w:sz w:val="20"/>
                <w:szCs w:val="20"/>
                <w:color w:val="auto"/>
              </w:rPr>
            </w:pPr>
            <w:r>
              <w:rPr>
                <w:rFonts w:ascii="Times New Roman" w:cs="Times New Roman" w:eastAsia="Times New Roman" w:hAnsi="Times New Roman"/>
                <w:sz w:val="18"/>
                <w:szCs w:val="18"/>
                <w:i w:val="1"/>
                <w:iCs w:val="1"/>
                <w:color w:val="auto"/>
              </w:rPr>
              <w:t>(performance dollar levels are in thousands)</w:t>
            </w: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1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380" w:type="dxa"/>
            <w:vAlign w:val="bottom"/>
            <w:tcBorders>
              <w:top w:val="single" w:sz="8" w:color="auto"/>
              <w:left w:val="single" w:sz="8" w:color="auto"/>
              <w:right w:val="single" w:sz="8" w:color="auto"/>
            </w:tcBorders>
            <w:shd w:val="clear" w:color="auto" w:fill="D9D9D9"/>
          </w:tcPr>
          <w:p>
            <w:pPr>
              <w:ind w:left="120"/>
              <w:spacing w:after="0" w:line="134" w:lineRule="exact"/>
              <w:rPr>
                <w:sz w:val="20"/>
                <w:szCs w:val="20"/>
                <w:color w:val="auto"/>
              </w:rPr>
            </w:pPr>
            <w:r>
              <w:rPr>
                <w:rFonts w:ascii="Times New Roman" w:cs="Times New Roman" w:eastAsia="Times New Roman" w:hAnsi="Times New Roman"/>
                <w:sz w:val="15"/>
                <w:szCs w:val="15"/>
                <w:color w:val="auto"/>
              </w:rPr>
              <w:t>2026 Grant</w:t>
            </w:r>
          </w:p>
        </w:tc>
        <w:tc>
          <w:tcPr>
            <w:tcW w:w="1140" w:type="dxa"/>
            <w:vAlign w:val="bottom"/>
            <w:tcBorders>
              <w:top w:val="single" w:sz="8" w:color="D9D9D9"/>
              <w:right w:val="single" w:sz="8" w:color="auto"/>
            </w:tcBorders>
            <w:shd w:val="clear" w:color="auto" w:fill="D9D9D9"/>
          </w:tcPr>
          <w:p>
            <w:pPr>
              <w:ind w:left="80"/>
              <w:spacing w:after="0" w:line="134" w:lineRule="exact"/>
              <w:rPr>
                <w:sz w:val="20"/>
                <w:szCs w:val="20"/>
                <w:color w:val="auto"/>
              </w:rPr>
            </w:pPr>
            <w:r>
              <w:rPr>
                <w:rFonts w:ascii="Times New Roman" w:cs="Times New Roman" w:eastAsia="Times New Roman" w:hAnsi="Times New Roman"/>
                <w:sz w:val="15"/>
                <w:szCs w:val="15"/>
                <w:color w:val="auto"/>
              </w:rPr>
              <w:t>Minimum/</w:t>
            </w:r>
          </w:p>
        </w:tc>
        <w:tc>
          <w:tcPr>
            <w:tcW w:w="880" w:type="dxa"/>
            <w:vAlign w:val="bottom"/>
            <w:tcBorders>
              <w:top w:val="single" w:sz="8" w:color="D9D9D9"/>
              <w:right w:val="single" w:sz="8" w:color="auto"/>
            </w:tcBorders>
            <w:shd w:val="clear" w:color="auto" w:fill="D9D9D9"/>
          </w:tcPr>
          <w:p>
            <w:pPr>
              <w:ind w:left="100"/>
              <w:spacing w:after="0" w:line="134" w:lineRule="exact"/>
              <w:rPr>
                <w:sz w:val="20"/>
                <w:szCs w:val="20"/>
                <w:color w:val="auto"/>
              </w:rPr>
            </w:pPr>
            <w:r>
              <w:rPr>
                <w:rFonts w:ascii="Times New Roman" w:cs="Times New Roman" w:eastAsia="Times New Roman" w:hAnsi="Times New Roman"/>
                <w:sz w:val="15"/>
                <w:szCs w:val="15"/>
                <w:color w:val="auto"/>
              </w:rPr>
              <w:t>Target</w:t>
            </w:r>
          </w:p>
        </w:tc>
        <w:tc>
          <w:tcPr>
            <w:tcW w:w="1260" w:type="dxa"/>
            <w:vAlign w:val="bottom"/>
            <w:tcBorders>
              <w:top w:val="single" w:sz="8" w:color="D9D9D9"/>
              <w:right w:val="single" w:sz="8" w:color="D9D9D9"/>
            </w:tcBorders>
            <w:shd w:val="clear" w:color="auto" w:fill="D9D9D9"/>
          </w:tcPr>
          <w:p>
            <w:pPr>
              <w:ind w:left="100"/>
              <w:spacing w:after="0" w:line="134" w:lineRule="exact"/>
              <w:rPr>
                <w:sz w:val="20"/>
                <w:szCs w:val="20"/>
                <w:color w:val="auto"/>
              </w:rPr>
            </w:pPr>
            <w:r>
              <w:rPr>
                <w:rFonts w:ascii="Times New Roman" w:cs="Times New Roman" w:eastAsia="Times New Roman" w:hAnsi="Times New Roman"/>
                <w:sz w:val="15"/>
                <w:szCs w:val="15"/>
                <w:color w:val="auto"/>
              </w:rPr>
              <w:t>Maximum</w:t>
            </w:r>
          </w:p>
        </w:tc>
        <w:tc>
          <w:tcPr>
            <w:tcW w:w="1300" w:type="dxa"/>
            <w:vAlign w:val="bottom"/>
            <w:tcBorders>
              <w:top w:val="single" w:sz="8" w:color="D9D9D9"/>
              <w:right w:val="single" w:sz="8" w:color="D9D9D9"/>
            </w:tcBorders>
            <w:shd w:val="clear" w:color="auto" w:fill="D9D9D9"/>
          </w:tcPr>
          <w:p>
            <w:pPr>
              <w:spacing w:after="0"/>
              <w:rPr>
                <w:sz w:val="11"/>
                <w:szCs w:val="11"/>
                <w:color w:val="auto"/>
              </w:rPr>
            </w:pPr>
          </w:p>
        </w:tc>
        <w:tc>
          <w:tcPr>
            <w:tcW w:w="2380" w:type="dxa"/>
            <w:vAlign w:val="bottom"/>
            <w:tcBorders>
              <w:top w:val="single" w:sz="8" w:color="D9D9D9"/>
              <w:right w:val="single" w:sz="8" w:color="D9D9D9"/>
            </w:tcBorders>
            <w:shd w:val="clear" w:color="auto" w:fill="D9D9D9"/>
          </w:tcPr>
          <w:p>
            <w:pPr>
              <w:spacing w:after="0"/>
              <w:rPr>
                <w:sz w:val="11"/>
                <w:szCs w:val="11"/>
                <w:color w:val="auto"/>
              </w:rPr>
            </w:pPr>
          </w:p>
        </w:tc>
        <w:tc>
          <w:tcPr>
            <w:tcW w:w="1280" w:type="dxa"/>
            <w:vAlign w:val="bottom"/>
            <w:tcBorders>
              <w:top w:val="single" w:sz="8" w:color="D9D9D9"/>
              <w:right w:val="single" w:sz="8" w:color="D9D9D9"/>
            </w:tcBorders>
            <w:shd w:val="clear" w:color="auto" w:fill="D9D9D9"/>
          </w:tcPr>
          <w:p>
            <w:pPr>
              <w:spacing w:after="0"/>
              <w:rPr>
                <w:sz w:val="11"/>
                <w:szCs w:val="11"/>
                <w:color w:val="auto"/>
              </w:rPr>
            </w:pPr>
          </w:p>
        </w:tc>
        <w:tc>
          <w:tcPr>
            <w:tcW w:w="380" w:type="dxa"/>
            <w:vAlign w:val="bottom"/>
            <w:tcBorders>
              <w:top w:val="single" w:sz="8" w:color="D9D9D9"/>
              <w:right w:val="single" w:sz="8" w:color="D9D9D9"/>
            </w:tcBorders>
            <w:shd w:val="clear" w:color="auto" w:fill="D9D9D9"/>
          </w:tcPr>
          <w:p>
            <w:pPr>
              <w:spacing w:after="0"/>
              <w:rPr>
                <w:sz w:val="11"/>
                <w:szCs w:val="11"/>
                <w:color w:val="auto"/>
              </w:rPr>
            </w:pPr>
          </w:p>
        </w:tc>
        <w:tc>
          <w:tcPr>
            <w:tcW w:w="1240" w:type="dxa"/>
            <w:vAlign w:val="bottom"/>
            <w:tcBorders>
              <w:top w:val="single" w:sz="8" w:color="D9D9D9"/>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380" w:type="dxa"/>
            <w:vAlign w:val="bottom"/>
            <w:tcBorders>
              <w:left w:val="single" w:sz="8" w:color="auto"/>
              <w:right w:val="single" w:sz="8" w:color="auto"/>
            </w:tcBorders>
            <w:shd w:val="clear" w:color="auto" w:fill="D9D9D9"/>
          </w:tcPr>
          <w:p>
            <w:pPr>
              <w:ind w:left="120"/>
              <w:spacing w:after="0" w:line="181" w:lineRule="exact"/>
              <w:rPr>
                <w:sz w:val="20"/>
                <w:szCs w:val="20"/>
                <w:color w:val="auto"/>
              </w:rPr>
            </w:pPr>
            <w:r>
              <w:rPr>
                <w:rFonts w:ascii="Times New Roman" w:cs="Times New Roman" w:eastAsia="Times New Roman" w:hAnsi="Times New Roman"/>
                <w:sz w:val="18"/>
                <w:szCs w:val="18"/>
                <w:color w:val="auto"/>
              </w:rPr>
              <w:t>Performance</w:t>
            </w:r>
          </w:p>
        </w:tc>
        <w:tc>
          <w:tcPr>
            <w:tcW w:w="1140" w:type="dxa"/>
            <w:vAlign w:val="bottom"/>
            <w:tcBorders>
              <w:right w:val="single" w:sz="8" w:color="auto"/>
            </w:tcBorders>
            <w:shd w:val="clear" w:color="auto" w:fill="D9D9D9"/>
          </w:tcPr>
          <w:p>
            <w:pPr>
              <w:ind w:left="80"/>
              <w:spacing w:after="0" w:line="181" w:lineRule="exact"/>
              <w:rPr>
                <w:sz w:val="20"/>
                <w:szCs w:val="20"/>
                <w:color w:val="auto"/>
              </w:rPr>
            </w:pPr>
            <w:r>
              <w:rPr>
                <w:rFonts w:ascii="Times New Roman" w:cs="Times New Roman" w:eastAsia="Times New Roman" w:hAnsi="Times New Roman"/>
                <w:sz w:val="18"/>
                <w:szCs w:val="18"/>
                <w:color w:val="auto"/>
              </w:rPr>
              <w:t>Threshold</w:t>
            </w:r>
          </w:p>
        </w:tc>
        <w:tc>
          <w:tcPr>
            <w:tcW w:w="880" w:type="dxa"/>
            <w:vAlign w:val="bottom"/>
            <w:tcBorders>
              <w:right w:val="single" w:sz="8" w:color="auto"/>
            </w:tcBorders>
            <w:shd w:val="clear" w:color="auto" w:fill="D9D9D9"/>
          </w:tcPr>
          <w:p>
            <w:pPr>
              <w:spacing w:after="0"/>
              <w:rPr>
                <w:sz w:val="15"/>
                <w:szCs w:val="15"/>
                <w:color w:val="auto"/>
              </w:rPr>
            </w:pPr>
          </w:p>
        </w:tc>
        <w:tc>
          <w:tcPr>
            <w:tcW w:w="1260" w:type="dxa"/>
            <w:vAlign w:val="bottom"/>
            <w:tcBorders>
              <w:right w:val="single" w:sz="8" w:color="D9D9D9"/>
            </w:tcBorders>
            <w:shd w:val="clear" w:color="auto" w:fill="D9D9D9"/>
          </w:tcPr>
          <w:p>
            <w:pPr>
              <w:spacing w:after="0"/>
              <w:rPr>
                <w:sz w:val="15"/>
                <w:szCs w:val="15"/>
                <w:color w:val="auto"/>
              </w:rPr>
            </w:pPr>
          </w:p>
        </w:tc>
        <w:tc>
          <w:tcPr>
            <w:tcW w:w="1300" w:type="dxa"/>
            <w:vAlign w:val="bottom"/>
            <w:tcBorders>
              <w:right w:val="single" w:sz="8" w:color="D9D9D9"/>
            </w:tcBorders>
            <w:shd w:val="clear" w:color="auto" w:fill="D9D9D9"/>
          </w:tcPr>
          <w:p>
            <w:pPr>
              <w:spacing w:after="0"/>
              <w:rPr>
                <w:sz w:val="15"/>
                <w:szCs w:val="15"/>
                <w:color w:val="auto"/>
              </w:rPr>
            </w:pPr>
          </w:p>
        </w:tc>
        <w:tc>
          <w:tcPr>
            <w:tcW w:w="2380" w:type="dxa"/>
            <w:vAlign w:val="bottom"/>
            <w:tcBorders>
              <w:right w:val="single" w:sz="8" w:color="D9D9D9"/>
            </w:tcBorders>
            <w:shd w:val="clear" w:color="auto" w:fill="D9D9D9"/>
          </w:tcPr>
          <w:p>
            <w:pPr>
              <w:spacing w:after="0"/>
              <w:rPr>
                <w:sz w:val="15"/>
                <w:szCs w:val="15"/>
                <w:color w:val="auto"/>
              </w:rPr>
            </w:pPr>
          </w:p>
        </w:tc>
        <w:tc>
          <w:tcPr>
            <w:tcW w:w="1280" w:type="dxa"/>
            <w:vAlign w:val="bottom"/>
            <w:tcBorders>
              <w:right w:val="single" w:sz="8" w:color="D9D9D9"/>
            </w:tcBorders>
            <w:shd w:val="clear" w:color="auto" w:fill="D9D9D9"/>
          </w:tcPr>
          <w:p>
            <w:pPr>
              <w:spacing w:after="0"/>
              <w:rPr>
                <w:sz w:val="15"/>
                <w:szCs w:val="15"/>
                <w:color w:val="auto"/>
              </w:rPr>
            </w:pPr>
          </w:p>
        </w:tc>
        <w:tc>
          <w:tcPr>
            <w:tcW w:w="380" w:type="dxa"/>
            <w:vAlign w:val="bottom"/>
            <w:tcBorders>
              <w:right w:val="single" w:sz="8" w:color="D9D9D9"/>
            </w:tcBorders>
            <w:shd w:val="clear" w:color="auto" w:fill="D9D9D9"/>
          </w:tcPr>
          <w:p>
            <w:pPr>
              <w:spacing w:after="0"/>
              <w:rPr>
                <w:sz w:val="15"/>
                <w:szCs w:val="15"/>
                <w:color w:val="auto"/>
              </w:rPr>
            </w:pPr>
          </w:p>
        </w:tc>
        <w:tc>
          <w:tcPr>
            <w:tcW w:w="1240" w:type="dxa"/>
            <w:vAlign w:val="bottom"/>
            <w:tcBorders>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80" w:type="dxa"/>
            <w:vAlign w:val="bottom"/>
            <w:tcBorders>
              <w:left w:val="single" w:sz="8" w:color="auto"/>
              <w:right w:val="single" w:sz="8" w:color="auto"/>
            </w:tcBorders>
            <w:shd w:val="clear" w:color="auto" w:fill="D9D9D9"/>
          </w:tcPr>
          <w:p>
            <w:pPr>
              <w:ind w:left="120"/>
              <w:spacing w:after="0" w:line="184" w:lineRule="exact"/>
              <w:rPr>
                <w:sz w:val="20"/>
                <w:szCs w:val="20"/>
                <w:color w:val="auto"/>
              </w:rPr>
            </w:pPr>
            <w:r>
              <w:rPr>
                <w:rFonts w:ascii="Times New Roman" w:cs="Times New Roman" w:eastAsia="Times New Roman" w:hAnsi="Times New Roman"/>
                <w:sz w:val="18"/>
                <w:szCs w:val="18"/>
                <w:color w:val="auto"/>
              </w:rPr>
              <w:t>Metrics &amp;</w:t>
            </w:r>
          </w:p>
        </w:tc>
        <w:tc>
          <w:tcPr>
            <w:tcW w:w="1140" w:type="dxa"/>
            <w:vAlign w:val="bottom"/>
            <w:tcBorders>
              <w:right w:val="single" w:sz="8" w:color="auto"/>
            </w:tcBorders>
            <w:shd w:val="clear" w:color="auto" w:fill="D9D9D9"/>
          </w:tcPr>
          <w:p>
            <w:pPr>
              <w:spacing w:after="0"/>
              <w:rPr>
                <w:sz w:val="16"/>
                <w:szCs w:val="16"/>
                <w:color w:val="auto"/>
              </w:rPr>
            </w:pPr>
          </w:p>
        </w:tc>
        <w:tc>
          <w:tcPr>
            <w:tcW w:w="880" w:type="dxa"/>
            <w:vAlign w:val="bottom"/>
            <w:tcBorders>
              <w:right w:val="single" w:sz="8" w:color="auto"/>
            </w:tcBorders>
            <w:shd w:val="clear" w:color="auto" w:fill="D9D9D9"/>
          </w:tcPr>
          <w:p>
            <w:pPr>
              <w:spacing w:after="0"/>
              <w:rPr>
                <w:sz w:val="16"/>
                <w:szCs w:val="16"/>
                <w:color w:val="auto"/>
              </w:rPr>
            </w:pPr>
          </w:p>
        </w:tc>
        <w:tc>
          <w:tcPr>
            <w:tcW w:w="1260" w:type="dxa"/>
            <w:vAlign w:val="bottom"/>
            <w:tcBorders>
              <w:right w:val="single" w:sz="8" w:color="D9D9D9"/>
            </w:tcBorders>
            <w:shd w:val="clear" w:color="auto" w:fill="D9D9D9"/>
          </w:tcPr>
          <w:p>
            <w:pPr>
              <w:spacing w:after="0"/>
              <w:rPr>
                <w:sz w:val="16"/>
                <w:szCs w:val="16"/>
                <w:color w:val="auto"/>
              </w:rPr>
            </w:pPr>
          </w:p>
        </w:tc>
        <w:tc>
          <w:tcPr>
            <w:tcW w:w="1300" w:type="dxa"/>
            <w:vAlign w:val="bottom"/>
            <w:tcBorders>
              <w:right w:val="single" w:sz="8" w:color="D9D9D9"/>
            </w:tcBorders>
            <w:shd w:val="clear" w:color="auto" w:fill="D9D9D9"/>
          </w:tcPr>
          <w:p>
            <w:pPr>
              <w:spacing w:after="0"/>
              <w:rPr>
                <w:sz w:val="16"/>
                <w:szCs w:val="16"/>
                <w:color w:val="auto"/>
              </w:rPr>
            </w:pPr>
          </w:p>
        </w:tc>
        <w:tc>
          <w:tcPr>
            <w:tcW w:w="2380" w:type="dxa"/>
            <w:vAlign w:val="bottom"/>
            <w:tcBorders>
              <w:right w:val="single" w:sz="8" w:color="D9D9D9"/>
            </w:tcBorders>
            <w:shd w:val="clear" w:color="auto" w:fill="D9D9D9"/>
          </w:tcPr>
          <w:p>
            <w:pPr>
              <w:spacing w:after="0"/>
              <w:rPr>
                <w:sz w:val="16"/>
                <w:szCs w:val="16"/>
                <w:color w:val="auto"/>
              </w:rPr>
            </w:pPr>
          </w:p>
        </w:tc>
        <w:tc>
          <w:tcPr>
            <w:tcW w:w="1280" w:type="dxa"/>
            <w:vAlign w:val="bottom"/>
            <w:tcBorders>
              <w:right w:val="single" w:sz="8" w:color="D9D9D9"/>
            </w:tcBorders>
            <w:shd w:val="clear" w:color="auto" w:fill="D9D9D9"/>
          </w:tcPr>
          <w:p>
            <w:pPr>
              <w:spacing w:after="0"/>
              <w:rPr>
                <w:sz w:val="16"/>
                <w:szCs w:val="16"/>
                <w:color w:val="auto"/>
              </w:rPr>
            </w:pPr>
          </w:p>
        </w:tc>
        <w:tc>
          <w:tcPr>
            <w:tcW w:w="380" w:type="dxa"/>
            <w:vAlign w:val="bottom"/>
            <w:tcBorders>
              <w:right w:val="single" w:sz="8" w:color="D9D9D9"/>
            </w:tcBorders>
            <w:shd w:val="clear" w:color="auto" w:fill="D9D9D9"/>
          </w:tcPr>
          <w:p>
            <w:pPr>
              <w:spacing w:after="0"/>
              <w:rPr>
                <w:sz w:val="16"/>
                <w:szCs w:val="16"/>
                <w:color w:val="auto"/>
              </w:rPr>
            </w:pPr>
          </w:p>
        </w:tc>
        <w:tc>
          <w:tcPr>
            <w:tcW w:w="1240" w:type="dxa"/>
            <w:vAlign w:val="bottom"/>
            <w:tcBorders>
              <w:right w:val="single" w:sz="8" w:color="auto"/>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380" w:type="dxa"/>
            <w:vAlign w:val="bottom"/>
            <w:tcBorders>
              <w:left w:val="single" w:sz="8" w:color="auto"/>
              <w:bottom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Weightings</w:t>
            </w:r>
          </w:p>
        </w:tc>
        <w:tc>
          <w:tcPr>
            <w:tcW w:w="1140" w:type="dxa"/>
            <w:vAlign w:val="bottom"/>
            <w:tcBorders>
              <w:bottom w:val="single" w:sz="8" w:color="auto"/>
              <w:right w:val="single" w:sz="8" w:color="auto"/>
            </w:tcBorders>
            <w:shd w:val="clear" w:color="auto" w:fill="D9D9D9"/>
          </w:tcPr>
          <w:p>
            <w:pPr>
              <w:spacing w:after="0"/>
              <w:rPr>
                <w:sz w:val="21"/>
                <w:szCs w:val="21"/>
                <w:color w:val="auto"/>
              </w:rPr>
            </w:pPr>
          </w:p>
        </w:tc>
        <w:tc>
          <w:tcPr>
            <w:tcW w:w="880" w:type="dxa"/>
            <w:vAlign w:val="bottom"/>
            <w:tcBorders>
              <w:bottom w:val="single" w:sz="8" w:color="auto"/>
              <w:right w:val="single" w:sz="8" w:color="auto"/>
            </w:tcBorders>
            <w:shd w:val="clear" w:color="auto" w:fill="D9D9D9"/>
          </w:tcPr>
          <w:p>
            <w:pPr>
              <w:spacing w:after="0"/>
              <w:rPr>
                <w:sz w:val="21"/>
                <w:szCs w:val="21"/>
                <w:color w:val="auto"/>
              </w:rPr>
            </w:pPr>
          </w:p>
        </w:tc>
        <w:tc>
          <w:tcPr>
            <w:tcW w:w="1260" w:type="dxa"/>
            <w:vAlign w:val="bottom"/>
            <w:tcBorders>
              <w:bottom w:val="single" w:sz="8" w:color="auto"/>
              <w:right w:val="single" w:sz="8" w:color="D9D9D9"/>
            </w:tcBorders>
            <w:shd w:val="clear" w:color="auto" w:fill="D9D9D9"/>
          </w:tcPr>
          <w:p>
            <w:pPr>
              <w:spacing w:after="0"/>
              <w:rPr>
                <w:sz w:val="21"/>
                <w:szCs w:val="21"/>
                <w:color w:val="auto"/>
              </w:rPr>
            </w:pPr>
          </w:p>
        </w:tc>
        <w:tc>
          <w:tcPr>
            <w:tcW w:w="1300" w:type="dxa"/>
            <w:vAlign w:val="bottom"/>
            <w:tcBorders>
              <w:bottom w:val="single" w:sz="8" w:color="auto"/>
              <w:right w:val="single" w:sz="8" w:color="D9D9D9"/>
            </w:tcBorders>
            <w:shd w:val="clear" w:color="auto" w:fill="D9D9D9"/>
          </w:tcPr>
          <w:p>
            <w:pPr>
              <w:spacing w:after="0"/>
              <w:rPr>
                <w:sz w:val="21"/>
                <w:szCs w:val="21"/>
                <w:color w:val="auto"/>
              </w:rPr>
            </w:pPr>
          </w:p>
        </w:tc>
        <w:tc>
          <w:tcPr>
            <w:tcW w:w="2380" w:type="dxa"/>
            <w:vAlign w:val="bottom"/>
            <w:tcBorders>
              <w:bottom w:val="single" w:sz="8" w:color="auto"/>
              <w:right w:val="single" w:sz="8" w:color="D9D9D9"/>
            </w:tcBorders>
            <w:shd w:val="clear" w:color="auto" w:fill="D9D9D9"/>
          </w:tcPr>
          <w:p>
            <w:pPr>
              <w:spacing w:after="0"/>
              <w:rPr>
                <w:sz w:val="21"/>
                <w:szCs w:val="21"/>
                <w:color w:val="auto"/>
              </w:rPr>
            </w:pPr>
          </w:p>
        </w:tc>
        <w:tc>
          <w:tcPr>
            <w:tcW w:w="1280" w:type="dxa"/>
            <w:vAlign w:val="bottom"/>
            <w:tcBorders>
              <w:bottom w:val="single" w:sz="8" w:color="auto"/>
              <w:right w:val="single" w:sz="8" w:color="D9D9D9"/>
            </w:tcBorders>
            <w:shd w:val="clear" w:color="auto" w:fill="D9D9D9"/>
          </w:tcPr>
          <w:p>
            <w:pPr>
              <w:spacing w:after="0"/>
              <w:rPr>
                <w:sz w:val="21"/>
                <w:szCs w:val="21"/>
                <w:color w:val="auto"/>
              </w:rPr>
            </w:pPr>
          </w:p>
        </w:tc>
        <w:tc>
          <w:tcPr>
            <w:tcW w:w="380" w:type="dxa"/>
            <w:vAlign w:val="bottom"/>
            <w:tcBorders>
              <w:bottom w:val="single" w:sz="8" w:color="auto"/>
              <w:right w:val="single" w:sz="8" w:color="D9D9D9"/>
            </w:tcBorders>
            <w:shd w:val="clear" w:color="auto" w:fill="D9D9D9"/>
          </w:tcPr>
          <w:p>
            <w:pPr>
              <w:spacing w:after="0"/>
              <w:rPr>
                <w:sz w:val="21"/>
                <w:szCs w:val="21"/>
                <w:color w:val="auto"/>
              </w:rPr>
            </w:pPr>
          </w:p>
        </w:tc>
        <w:tc>
          <w:tcPr>
            <w:tcW w:w="1240" w:type="dxa"/>
            <w:vAlign w:val="bottom"/>
            <w:tcBorders>
              <w:bottom w:val="single" w:sz="8" w:color="auto"/>
              <w:right w:val="single" w:sz="8" w:color="auto"/>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1380" w:type="dxa"/>
            <w:vAlign w:val="bottom"/>
            <w:tcBorders>
              <w:left w:val="single" w:sz="8" w:color="auto"/>
              <w:right w:val="single" w:sz="8" w:color="auto"/>
            </w:tcBorders>
          </w:tcPr>
          <w:p>
            <w:pPr>
              <w:ind w:left="120"/>
              <w:spacing w:after="0" w:line="134" w:lineRule="exact"/>
              <w:rPr>
                <w:sz w:val="20"/>
                <w:szCs w:val="20"/>
                <w:color w:val="auto"/>
              </w:rPr>
            </w:pPr>
            <w:r>
              <w:rPr>
                <w:rFonts w:ascii="Times New Roman" w:cs="Times New Roman" w:eastAsia="Times New Roman" w:hAnsi="Times New Roman"/>
                <w:sz w:val="15"/>
                <w:szCs w:val="15"/>
                <w:color w:val="auto"/>
              </w:rPr>
              <w:t>Gross Written</w:t>
            </w:r>
          </w:p>
        </w:tc>
        <w:tc>
          <w:tcPr>
            <w:tcW w:w="1140" w:type="dxa"/>
            <w:vAlign w:val="bottom"/>
            <w:tcBorders>
              <w:right w:val="single" w:sz="8" w:color="auto"/>
            </w:tcBorders>
          </w:tcPr>
          <w:p>
            <w:pPr>
              <w:ind w:left="80"/>
              <w:spacing w:after="0" w:line="134" w:lineRule="exact"/>
              <w:rPr>
                <w:sz w:val="20"/>
                <w:szCs w:val="20"/>
                <w:color w:val="auto"/>
              </w:rPr>
            </w:pPr>
            <w:r>
              <w:rPr>
                <w:rFonts w:ascii="Times New Roman" w:cs="Times New Roman" w:eastAsia="Times New Roman" w:hAnsi="Times New Roman"/>
                <w:sz w:val="15"/>
                <w:szCs w:val="15"/>
                <w:color w:val="auto"/>
              </w:rPr>
              <w:t>$2.21B</w:t>
            </w:r>
          </w:p>
        </w:tc>
        <w:tc>
          <w:tcPr>
            <w:tcW w:w="880" w:type="dxa"/>
            <w:vAlign w:val="bottom"/>
            <w:tcBorders>
              <w:right w:val="single" w:sz="8" w:color="auto"/>
            </w:tcBorders>
          </w:tcPr>
          <w:p>
            <w:pPr>
              <w:ind w:left="100"/>
              <w:spacing w:after="0" w:line="134" w:lineRule="exact"/>
              <w:rPr>
                <w:sz w:val="20"/>
                <w:szCs w:val="20"/>
                <w:color w:val="auto"/>
              </w:rPr>
            </w:pPr>
            <w:r>
              <w:rPr>
                <w:rFonts w:ascii="Times New Roman" w:cs="Times New Roman" w:eastAsia="Times New Roman" w:hAnsi="Times New Roman"/>
                <w:sz w:val="15"/>
                <w:szCs w:val="15"/>
                <w:color w:val="auto"/>
              </w:rPr>
              <w:t>$2.46B</w:t>
            </w:r>
          </w:p>
        </w:tc>
        <w:tc>
          <w:tcPr>
            <w:tcW w:w="1260" w:type="dxa"/>
            <w:vAlign w:val="bottom"/>
            <w:tcBorders>
              <w:right w:val="single" w:sz="8" w:color="auto"/>
            </w:tcBorders>
          </w:tcPr>
          <w:p>
            <w:pPr>
              <w:ind w:left="100"/>
              <w:spacing w:after="0" w:line="134" w:lineRule="exact"/>
              <w:rPr>
                <w:sz w:val="20"/>
                <w:szCs w:val="20"/>
                <w:color w:val="auto"/>
              </w:rPr>
            </w:pPr>
            <w:r>
              <w:rPr>
                <w:rFonts w:ascii="Times New Roman" w:cs="Times New Roman" w:eastAsia="Times New Roman" w:hAnsi="Times New Roman"/>
                <w:sz w:val="15"/>
                <w:szCs w:val="15"/>
                <w:color w:val="auto"/>
              </w:rPr>
              <w:t>$2.71B</w:t>
            </w:r>
          </w:p>
        </w:tc>
        <w:tc>
          <w:tcPr>
            <w:tcW w:w="13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380" w:type="dxa"/>
            <w:vAlign w:val="bottom"/>
            <w:tcBorders>
              <w:left w:val="single" w:sz="8" w:color="auto"/>
              <w:right w:val="single" w:sz="8" w:color="auto"/>
            </w:tcBorders>
          </w:tcPr>
          <w:p>
            <w:pPr>
              <w:ind w:left="120"/>
              <w:spacing w:after="0" w:line="181" w:lineRule="exact"/>
              <w:rPr>
                <w:sz w:val="20"/>
                <w:szCs w:val="20"/>
                <w:color w:val="auto"/>
              </w:rPr>
            </w:pPr>
            <w:r>
              <w:rPr>
                <w:rFonts w:ascii="Times New Roman" w:cs="Times New Roman" w:eastAsia="Times New Roman" w:hAnsi="Times New Roman"/>
                <w:sz w:val="18"/>
                <w:szCs w:val="18"/>
                <w:color w:val="auto"/>
              </w:rPr>
              <w:t>Premiums</w:t>
            </w:r>
          </w:p>
        </w:tc>
        <w:tc>
          <w:tcPr>
            <w:tcW w:w="114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80" w:type="dxa"/>
            <w:vAlign w:val="bottom"/>
            <w:tcBorders>
              <w:left w:val="single" w:sz="8" w:color="auto"/>
              <w:right w:val="single" w:sz="8" w:color="auto"/>
            </w:tcBorders>
          </w:tcPr>
          <w:p>
            <w:pPr>
              <w:ind w:left="120"/>
              <w:spacing w:after="0" w:line="184" w:lineRule="exact"/>
              <w:rPr>
                <w:sz w:val="20"/>
                <w:szCs w:val="20"/>
                <w:color w:val="auto"/>
              </w:rPr>
            </w:pPr>
            <w:r>
              <w:rPr>
                <w:rFonts w:ascii="Times New Roman" w:cs="Times New Roman" w:eastAsia="Times New Roman" w:hAnsi="Times New Roman"/>
                <w:sz w:val="18"/>
                <w:szCs w:val="18"/>
                <w:color w:val="auto"/>
              </w:rPr>
              <w:t>(with fees)</w:t>
            </w:r>
          </w:p>
        </w:tc>
        <w:tc>
          <w:tcPr>
            <w:tcW w:w="114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(applies to 30%</w:t>
            </w:r>
          </w:p>
        </w:tc>
        <w:tc>
          <w:tcPr>
            <w:tcW w:w="114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of Target</w:t>
            </w:r>
          </w:p>
        </w:tc>
        <w:tc>
          <w:tcPr>
            <w:tcW w:w="114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Number of</w:t>
            </w:r>
          </w:p>
        </w:tc>
        <w:tc>
          <w:tcPr>
            <w:tcW w:w="114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Units)</w:t>
            </w:r>
          </w:p>
        </w:tc>
        <w:tc>
          <w:tcPr>
            <w:tcW w:w="11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1380" w:type="dxa"/>
            <w:vAlign w:val="bottom"/>
            <w:tcBorders>
              <w:left w:val="single" w:sz="8" w:color="auto"/>
              <w:right w:val="single" w:sz="8" w:color="auto"/>
            </w:tcBorders>
          </w:tcPr>
          <w:p>
            <w:pPr>
              <w:ind w:left="120"/>
              <w:spacing w:after="0" w:line="150" w:lineRule="exact"/>
              <w:rPr>
                <w:sz w:val="20"/>
                <w:szCs w:val="20"/>
                <w:color w:val="auto"/>
              </w:rPr>
            </w:pPr>
            <w:r>
              <w:rPr>
                <w:rFonts w:ascii="Times New Roman" w:cs="Times New Roman" w:eastAsia="Times New Roman" w:hAnsi="Times New Roman"/>
                <w:sz w:val="17"/>
                <w:szCs w:val="17"/>
                <w:color w:val="auto"/>
              </w:rPr>
              <w:t>Adjusted</w:t>
            </w:r>
          </w:p>
        </w:tc>
        <w:tc>
          <w:tcPr>
            <w:tcW w:w="1140" w:type="dxa"/>
            <w:vAlign w:val="bottom"/>
            <w:tcBorders>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color w:val="auto"/>
              </w:rPr>
              <w:t>9%</w:t>
            </w:r>
          </w:p>
        </w:tc>
        <w:tc>
          <w:tcPr>
            <w:tcW w:w="88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color w:val="auto"/>
              </w:rPr>
              <w:t>12%</w:t>
            </w:r>
          </w:p>
        </w:tc>
        <w:tc>
          <w:tcPr>
            <w:tcW w:w="126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color w:val="auto"/>
              </w:rPr>
              <w:t>15%</w:t>
            </w:r>
          </w:p>
        </w:tc>
        <w:tc>
          <w:tcPr>
            <w:tcW w:w="1300" w:type="dxa"/>
            <w:vAlign w:val="bottom"/>
            <w:tcBorders>
              <w:right w:val="single" w:sz="8" w:color="auto"/>
            </w:tcBorders>
          </w:tcPr>
          <w:p>
            <w:pPr>
              <w:spacing w:after="0"/>
              <w:rPr>
                <w:sz w:val="13"/>
                <w:szCs w:val="13"/>
                <w:color w:val="auto"/>
              </w:rPr>
            </w:pPr>
          </w:p>
        </w:tc>
        <w:tc>
          <w:tcPr>
            <w:tcW w:w="2380" w:type="dxa"/>
            <w:vAlign w:val="bottom"/>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380" w:type="dxa"/>
            <w:vAlign w:val="bottom"/>
            <w:tcBorders>
              <w:left w:val="single" w:sz="8" w:color="auto"/>
              <w:right w:val="single" w:sz="8" w:color="auto"/>
            </w:tcBorders>
          </w:tcPr>
          <w:p>
            <w:pPr>
              <w:ind w:left="120"/>
              <w:spacing w:after="0" w:line="181" w:lineRule="exact"/>
              <w:rPr>
                <w:sz w:val="20"/>
                <w:szCs w:val="20"/>
                <w:color w:val="auto"/>
              </w:rPr>
            </w:pPr>
            <w:r>
              <w:rPr>
                <w:rFonts w:ascii="Times New Roman" w:cs="Times New Roman" w:eastAsia="Times New Roman" w:hAnsi="Times New Roman"/>
                <w:sz w:val="18"/>
                <w:szCs w:val="18"/>
                <w:color w:val="auto"/>
              </w:rPr>
              <w:t>Return on</w:t>
            </w:r>
          </w:p>
        </w:tc>
        <w:tc>
          <w:tcPr>
            <w:tcW w:w="114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2380" w:type="dxa"/>
            <w:vAlign w:val="bottom"/>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80" w:type="dxa"/>
            <w:vAlign w:val="bottom"/>
            <w:tcBorders>
              <w:left w:val="single" w:sz="8" w:color="auto"/>
              <w:right w:val="single" w:sz="8" w:color="auto"/>
            </w:tcBorders>
          </w:tcPr>
          <w:p>
            <w:pPr>
              <w:ind w:left="120"/>
              <w:spacing w:after="0" w:line="184" w:lineRule="exact"/>
              <w:rPr>
                <w:sz w:val="20"/>
                <w:szCs w:val="20"/>
                <w:color w:val="auto"/>
              </w:rPr>
            </w:pPr>
            <w:r>
              <w:rPr>
                <w:rFonts w:ascii="Times New Roman" w:cs="Times New Roman" w:eastAsia="Times New Roman" w:hAnsi="Times New Roman"/>
                <w:sz w:val="18"/>
                <w:szCs w:val="18"/>
                <w:color w:val="auto"/>
              </w:rPr>
              <w:t>Equity (applies</w:t>
            </w:r>
          </w:p>
        </w:tc>
        <w:tc>
          <w:tcPr>
            <w:tcW w:w="114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38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to 70% of</w:t>
            </w:r>
          </w:p>
        </w:tc>
        <w:tc>
          <w:tcPr>
            <w:tcW w:w="114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38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Target Number</w:t>
            </w:r>
          </w:p>
        </w:tc>
        <w:tc>
          <w:tcPr>
            <w:tcW w:w="114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38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 Units)</w:t>
            </w:r>
          </w:p>
        </w:tc>
        <w:tc>
          <w:tcPr>
            <w:tcW w:w="114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23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rTSR Percentile Rank Modifier</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380" w:type="dxa"/>
            <w:vAlign w:val="bottom"/>
            <w:tcBorders>
              <w:left w:val="single" w:sz="8" w:color="auto"/>
              <w:right w:val="single" w:sz="8" w:color="auto"/>
            </w:tcBorders>
            <w:shd w:val="clear" w:color="auto" w:fill="EEECE1"/>
          </w:tcPr>
          <w:p>
            <w:pPr>
              <w:spacing w:after="0"/>
              <w:rPr>
                <w:sz w:val="15"/>
                <w:szCs w:val="15"/>
                <w:color w:val="auto"/>
              </w:rPr>
            </w:pPr>
          </w:p>
        </w:tc>
        <w:tc>
          <w:tcPr>
            <w:tcW w:w="1140" w:type="dxa"/>
            <w:vAlign w:val="bottom"/>
            <w:tcBorders>
              <w:right w:val="single" w:sz="8" w:color="auto"/>
            </w:tcBorders>
            <w:shd w:val="clear" w:color="auto" w:fill="EEECE1"/>
          </w:tcPr>
          <w:p>
            <w:pPr>
              <w:spacing w:after="0"/>
              <w:rPr>
                <w:sz w:val="15"/>
                <w:szCs w:val="15"/>
                <w:color w:val="auto"/>
              </w:rPr>
            </w:pPr>
          </w:p>
        </w:tc>
        <w:tc>
          <w:tcPr>
            <w:tcW w:w="880" w:type="dxa"/>
            <w:vAlign w:val="bottom"/>
            <w:tcBorders>
              <w:right w:val="single" w:sz="8" w:color="auto"/>
            </w:tcBorders>
            <w:shd w:val="clear" w:color="auto" w:fill="EEECE1"/>
          </w:tcPr>
          <w:p>
            <w:pPr>
              <w:spacing w:after="0"/>
              <w:rPr>
                <w:sz w:val="15"/>
                <w:szCs w:val="15"/>
                <w:color w:val="auto"/>
              </w:rPr>
            </w:pPr>
          </w:p>
        </w:tc>
        <w:tc>
          <w:tcPr>
            <w:tcW w:w="1260" w:type="dxa"/>
            <w:vAlign w:val="bottom"/>
            <w:tcBorders>
              <w:right w:val="single" w:sz="8" w:color="auto"/>
            </w:tcBorders>
            <w:shd w:val="clear" w:color="auto" w:fill="EEECE1"/>
          </w:tcPr>
          <w:p>
            <w:pPr>
              <w:spacing w:after="0"/>
              <w:rPr>
                <w:sz w:val="15"/>
                <w:szCs w:val="15"/>
                <w:color w:val="auto"/>
              </w:rPr>
            </w:pPr>
          </w:p>
        </w:tc>
        <w:tc>
          <w:tcPr>
            <w:tcW w:w="1300" w:type="dxa"/>
            <w:vAlign w:val="bottom"/>
            <w:tcBorders>
              <w:right w:val="single" w:sz="8" w:color="auto"/>
            </w:tcBorders>
            <w:shd w:val="clear" w:color="auto" w:fill="EEECE1"/>
          </w:tcPr>
          <w:p>
            <w:pPr>
              <w:spacing w:after="0"/>
              <w:rPr>
                <w:sz w:val="15"/>
                <w:szCs w:val="15"/>
                <w:color w:val="auto"/>
              </w:rPr>
            </w:pPr>
          </w:p>
        </w:tc>
        <w:tc>
          <w:tcPr>
            <w:tcW w:w="23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rPr>
              <w:t>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 and above</w:t>
            </w:r>
          </w:p>
        </w:tc>
        <w:tc>
          <w:tcPr>
            <w:tcW w:w="1280" w:type="dxa"/>
            <w:vAlign w:val="bottom"/>
            <w:tcBorders>
              <w:right w:val="single" w:sz="8" w:color="auto"/>
            </w:tcBorders>
          </w:tcPr>
          <w:p>
            <w:pPr>
              <w:ind w:left="80"/>
              <w:spacing w:after="0" w:line="173" w:lineRule="exact"/>
              <w:rPr>
                <w:sz w:val="20"/>
                <w:szCs w:val="20"/>
                <w:color w:val="auto"/>
              </w:rPr>
            </w:pPr>
            <w:r>
              <w:rPr>
                <w:rFonts w:ascii="Times New Roman" w:cs="Times New Roman" w:eastAsia="Times New Roman" w:hAnsi="Times New Roman"/>
                <w:sz w:val="20"/>
                <w:szCs w:val="20"/>
                <w:color w:val="auto"/>
              </w:rPr>
              <w:t>Multiplier</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380" w:type="dxa"/>
            <w:vAlign w:val="bottom"/>
            <w:tcBorders>
              <w:left w:val="single" w:sz="8" w:color="auto"/>
              <w:bottom w:val="single" w:sz="8" w:color="EEECE1"/>
              <w:right w:val="single" w:sz="8" w:color="auto"/>
            </w:tcBorders>
            <w:shd w:val="clear" w:color="auto" w:fill="EEECE1"/>
          </w:tcPr>
          <w:p>
            <w:pPr>
              <w:spacing w:after="0" w:line="20" w:lineRule="exact"/>
              <w:rPr>
                <w:sz w:val="1"/>
                <w:szCs w:val="1"/>
                <w:color w:val="auto"/>
              </w:rPr>
            </w:pPr>
          </w:p>
        </w:tc>
        <w:tc>
          <w:tcPr>
            <w:tcW w:w="1140" w:type="dxa"/>
            <w:vAlign w:val="bottom"/>
            <w:tcBorders>
              <w:bottom w:val="single" w:sz="8" w:color="EEECE1"/>
              <w:right w:val="single" w:sz="8" w:color="auto"/>
            </w:tcBorders>
            <w:shd w:val="clear" w:color="auto" w:fill="EEECE1"/>
          </w:tcPr>
          <w:p>
            <w:pPr>
              <w:spacing w:after="0" w:line="20" w:lineRule="exact"/>
              <w:rPr>
                <w:sz w:val="1"/>
                <w:szCs w:val="1"/>
                <w:color w:val="auto"/>
              </w:rPr>
            </w:pPr>
          </w:p>
        </w:tc>
        <w:tc>
          <w:tcPr>
            <w:tcW w:w="880" w:type="dxa"/>
            <w:vAlign w:val="bottom"/>
            <w:tcBorders>
              <w:bottom w:val="single" w:sz="8" w:color="EEECE1"/>
              <w:right w:val="single" w:sz="8" w:color="auto"/>
            </w:tcBorders>
            <w:shd w:val="clear" w:color="auto" w:fill="EEECE1"/>
          </w:tcPr>
          <w:p>
            <w:pPr>
              <w:spacing w:after="0" w:line="20" w:lineRule="exact"/>
              <w:rPr>
                <w:sz w:val="1"/>
                <w:szCs w:val="1"/>
                <w:color w:val="auto"/>
              </w:rPr>
            </w:pPr>
          </w:p>
        </w:tc>
        <w:tc>
          <w:tcPr>
            <w:tcW w:w="1260" w:type="dxa"/>
            <w:vAlign w:val="bottom"/>
            <w:tcBorders>
              <w:bottom w:val="single" w:sz="8" w:color="EEECE1"/>
              <w:right w:val="single" w:sz="8" w:color="auto"/>
            </w:tcBorders>
            <w:shd w:val="clear" w:color="auto" w:fill="EEECE1"/>
          </w:tcPr>
          <w:p>
            <w:pPr>
              <w:spacing w:after="0" w:line="20" w:lineRule="exact"/>
              <w:rPr>
                <w:sz w:val="1"/>
                <w:szCs w:val="1"/>
                <w:color w:val="auto"/>
              </w:rPr>
            </w:pPr>
          </w:p>
        </w:tc>
        <w:tc>
          <w:tcPr>
            <w:tcW w:w="1300" w:type="dxa"/>
            <w:vAlign w:val="bottom"/>
            <w:tcBorders>
              <w:bottom w:val="single" w:sz="8" w:color="EEECE1"/>
              <w:right w:val="single" w:sz="8" w:color="auto"/>
            </w:tcBorders>
            <w:shd w:val="clear" w:color="auto" w:fill="EEECE1"/>
          </w:tcPr>
          <w:p>
            <w:pPr>
              <w:spacing w:after="0" w:line="20" w:lineRule="exact"/>
              <w:rPr>
                <w:sz w:val="1"/>
                <w:szCs w:val="1"/>
                <w:color w:val="auto"/>
              </w:rPr>
            </w:pPr>
          </w:p>
        </w:tc>
        <w:tc>
          <w:tcPr>
            <w:tcW w:w="2380" w:type="dxa"/>
            <w:vAlign w:val="bottom"/>
            <w:tcBorders>
              <w:right w:val="single" w:sz="8" w:color="auto"/>
            </w:tcBorders>
            <w:vMerge w:val="continue"/>
          </w:tcPr>
          <w:p>
            <w:pPr>
              <w:spacing w:after="0" w:line="20" w:lineRule="exact"/>
              <w:rPr>
                <w:sz w:val="1"/>
                <w:szCs w:val="1"/>
                <w:color w:val="auto"/>
              </w:rPr>
            </w:pPr>
          </w:p>
        </w:tc>
        <w:tc>
          <w:tcPr>
            <w:tcW w:w="1280" w:type="dxa"/>
            <w:vAlign w:val="bottom"/>
            <w:tcBorders>
              <w:right w:val="single" w:sz="8" w:color="auto"/>
            </w:tcBorders>
            <w:vMerge w:val="restart"/>
          </w:tcPr>
          <w:p>
            <w:pPr>
              <w:ind w:left="80"/>
              <w:spacing w:after="0" w:line="198" w:lineRule="exact"/>
              <w:rPr>
                <w:sz w:val="20"/>
                <w:szCs w:val="20"/>
                <w:color w:val="auto"/>
              </w:rPr>
            </w:pPr>
            <w:r>
              <w:rPr>
                <w:rFonts w:ascii="Times New Roman" w:cs="Times New Roman" w:eastAsia="Times New Roman" w:hAnsi="Times New Roman"/>
                <w:sz w:val="20"/>
                <w:szCs w:val="20"/>
                <w:color w:val="auto"/>
              </w:rPr>
              <w:t>1.2</w:t>
            </w:r>
          </w:p>
        </w:tc>
        <w:tc>
          <w:tcPr>
            <w:tcW w:w="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380" w:type="dxa"/>
            <w:vAlign w:val="bottom"/>
            <w:tcBorders>
              <w:left w:val="single" w:sz="8" w:color="auto"/>
              <w:right w:val="single" w:sz="8" w:color="auto"/>
            </w:tcBorders>
          </w:tcPr>
          <w:p>
            <w:pPr>
              <w:ind w:left="120"/>
              <w:spacing w:after="0" w:line="156" w:lineRule="exact"/>
              <w:rPr>
                <w:sz w:val="20"/>
                <w:szCs w:val="20"/>
                <w:color w:val="auto"/>
              </w:rPr>
            </w:pPr>
            <w:r>
              <w:rPr>
                <w:rFonts w:ascii="Times New Roman" w:cs="Times New Roman" w:eastAsia="Times New Roman" w:hAnsi="Times New Roman"/>
                <w:sz w:val="18"/>
                <w:szCs w:val="18"/>
                <w:color w:val="auto"/>
              </w:rPr>
              <w:t>Performance</w:t>
            </w:r>
          </w:p>
        </w:tc>
        <w:tc>
          <w:tcPr>
            <w:tcW w:w="114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8"/>
                <w:szCs w:val="18"/>
                <w:color w:val="auto"/>
              </w:rPr>
              <w:t>50%</w:t>
            </w:r>
          </w:p>
        </w:tc>
        <w:tc>
          <w:tcPr>
            <w:tcW w:w="880" w:type="dxa"/>
            <w:vAlign w:val="bottom"/>
            <w:tcBorders>
              <w:right w:val="single" w:sz="8" w:color="auto"/>
            </w:tcBorders>
          </w:tcPr>
          <w:p>
            <w:pPr>
              <w:ind w:left="100"/>
              <w:spacing w:after="0" w:line="156" w:lineRule="exact"/>
              <w:rPr>
                <w:sz w:val="20"/>
                <w:szCs w:val="20"/>
                <w:color w:val="auto"/>
              </w:rPr>
            </w:pPr>
            <w:r>
              <w:rPr>
                <w:rFonts w:ascii="Times New Roman" w:cs="Times New Roman" w:eastAsia="Times New Roman" w:hAnsi="Times New Roman"/>
                <w:sz w:val="18"/>
                <w:szCs w:val="18"/>
                <w:color w:val="auto"/>
              </w:rPr>
              <w:t>100%</w:t>
            </w:r>
          </w:p>
        </w:tc>
        <w:tc>
          <w:tcPr>
            <w:tcW w:w="1260" w:type="dxa"/>
            <w:vAlign w:val="bottom"/>
            <w:tcBorders>
              <w:right w:val="single" w:sz="8" w:color="auto"/>
            </w:tcBorders>
          </w:tcPr>
          <w:p>
            <w:pPr>
              <w:ind w:left="100"/>
              <w:spacing w:after="0" w:line="156" w:lineRule="exact"/>
              <w:rPr>
                <w:sz w:val="20"/>
                <w:szCs w:val="20"/>
                <w:color w:val="auto"/>
              </w:rPr>
            </w:pPr>
            <w:r>
              <w:rPr>
                <w:rFonts w:ascii="Times New Roman" w:cs="Times New Roman" w:eastAsia="Times New Roman" w:hAnsi="Times New Roman"/>
                <w:sz w:val="18"/>
                <w:szCs w:val="18"/>
                <w:color w:val="auto"/>
              </w:rPr>
              <w:t>200%</w:t>
            </w:r>
          </w:p>
        </w:tc>
        <w:tc>
          <w:tcPr>
            <w:tcW w:w="1300" w:type="dxa"/>
            <w:vAlign w:val="bottom"/>
            <w:tcBorders>
              <w:right w:val="single" w:sz="8" w:color="auto"/>
            </w:tcBorders>
          </w:tcPr>
          <w:p>
            <w:pPr>
              <w:spacing w:after="0"/>
              <w:rPr>
                <w:sz w:val="13"/>
                <w:szCs w:val="13"/>
                <w:color w:val="auto"/>
              </w:rPr>
            </w:pPr>
          </w:p>
        </w:tc>
        <w:tc>
          <w:tcPr>
            <w:tcW w:w="2380" w:type="dxa"/>
            <w:vAlign w:val="bottom"/>
            <w:tcBorders>
              <w:right w:val="single" w:sz="8" w:color="auto"/>
            </w:tcBorders>
            <w:vMerge w:val="continue"/>
          </w:tcPr>
          <w:p>
            <w:pPr>
              <w:spacing w:after="0"/>
              <w:rPr>
                <w:sz w:val="13"/>
                <w:szCs w:val="13"/>
                <w:color w:val="auto"/>
              </w:rPr>
            </w:pPr>
          </w:p>
        </w:tc>
        <w:tc>
          <w:tcPr>
            <w:tcW w:w="1280" w:type="dxa"/>
            <w:vAlign w:val="bottom"/>
            <w:tcBorders>
              <w:right w:val="single" w:sz="8" w:color="auto"/>
            </w:tcBorders>
            <w:vMerge w:val="continue"/>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380" w:type="dxa"/>
            <w:vAlign w:val="bottom"/>
            <w:tcBorders>
              <w:left w:val="single" w:sz="8" w:color="auto"/>
              <w:right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Metrics Payout</w:t>
            </w:r>
          </w:p>
        </w:tc>
        <w:tc>
          <w:tcPr>
            <w:tcW w:w="11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ind w:left="80"/>
              <w:spacing w:after="0" w:line="203" w:lineRule="exact"/>
              <w:rPr>
                <w:sz w:val="20"/>
                <w:szCs w:val="20"/>
                <w:color w:val="auto"/>
              </w:rPr>
            </w:pPr>
            <w:r>
              <w:rPr>
                <w:rFonts w:ascii="Times New Roman" w:cs="Times New Roman" w:eastAsia="Times New Roman" w:hAnsi="Times New Roman"/>
                <w:sz w:val="20"/>
                <w:szCs w:val="20"/>
                <w:color w:val="auto"/>
              </w:rPr>
              <w:t>(maximum</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80" w:type="dxa"/>
            <w:vAlign w:val="bottom"/>
            <w:tcBorders>
              <w:left w:val="single" w:sz="8" w:color="auto"/>
              <w:right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Level</w:t>
            </w:r>
          </w:p>
        </w:tc>
        <w:tc>
          <w:tcPr>
            <w:tcW w:w="11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ind w:left="80"/>
              <w:spacing w:after="0" w:line="203" w:lineRule="exact"/>
              <w:rPr>
                <w:sz w:val="20"/>
                <w:szCs w:val="20"/>
                <w:color w:val="auto"/>
              </w:rPr>
            </w:pPr>
            <w:r>
              <w:rPr>
                <w:rFonts w:ascii="Times New Roman" w:cs="Times New Roman" w:eastAsia="Times New Roman" w:hAnsi="Times New Roman"/>
                <w:sz w:val="20"/>
                <w:szCs w:val="20"/>
                <w:color w:val="auto"/>
              </w:rPr>
              <w:t>equal to</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380" w:type="dxa"/>
            <w:vAlign w:val="bottom"/>
            <w:tcBorders>
              <w:left w:val="single" w:sz="8" w:color="auto"/>
              <w:right w:val="single" w:sz="8" w:color="auto"/>
            </w:tcBorders>
          </w:tcPr>
          <w:p>
            <w:pPr>
              <w:ind w:left="120"/>
              <w:spacing w:after="0" w:line="144" w:lineRule="exact"/>
              <w:rPr>
                <w:sz w:val="20"/>
                <w:szCs w:val="20"/>
                <w:color w:val="auto"/>
              </w:rPr>
            </w:pPr>
            <w:r>
              <w:rPr>
                <w:rFonts w:ascii="Times New Roman" w:cs="Times New Roman" w:eastAsia="Times New Roman" w:hAnsi="Times New Roman"/>
                <w:sz w:val="16"/>
                <w:szCs w:val="16"/>
                <w:color w:val="auto"/>
              </w:rPr>
              <w:t>Percentage</w:t>
            </w:r>
          </w:p>
        </w:tc>
        <w:tc>
          <w:tcPr>
            <w:tcW w:w="11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238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vMerge w:val="restart"/>
          </w:tcPr>
          <w:p>
            <w:pPr>
              <w:ind w:left="80"/>
              <w:spacing w:after="0" w:line="220" w:lineRule="exact"/>
              <w:rPr>
                <w:sz w:val="20"/>
                <w:szCs w:val="20"/>
                <w:color w:val="auto"/>
              </w:rPr>
            </w:pPr>
            <w:r>
              <w:rPr>
                <w:rFonts w:ascii="Times New Roman" w:cs="Times New Roman" w:eastAsia="Times New Roman" w:hAnsi="Times New Roman"/>
                <w:sz w:val="20"/>
                <w:szCs w:val="20"/>
                <w:color w:val="auto"/>
              </w:rPr>
              <w:t>240% of</w:t>
            </w:r>
          </w:p>
        </w:tc>
        <w:tc>
          <w:tcPr>
            <w:tcW w:w="38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380" w:type="dxa"/>
            <w:vAlign w:val="bottom"/>
            <w:tcBorders>
              <w:left w:val="single" w:sz="8" w:color="auto"/>
              <w:right w:val="single" w:sz="8" w:color="auto"/>
            </w:tcBorders>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subject to</w:t>
            </w:r>
          </w:p>
        </w:tc>
        <w:tc>
          <w:tcPr>
            <w:tcW w:w="114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Multiplied</w:t>
            </w:r>
          </w:p>
        </w:tc>
        <w:tc>
          <w:tcPr>
            <w:tcW w:w="238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38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restart"/>
          </w:tcPr>
          <w:p>
            <w:pPr>
              <w:ind w:left="100"/>
              <w:spacing w:after="0" w:line="189" w:lineRule="exact"/>
              <w:rPr>
                <w:sz w:val="20"/>
                <w:szCs w:val="20"/>
                <w:color w:val="auto"/>
              </w:rPr>
            </w:pPr>
            <w:r>
              <w:rPr>
                <w:rFonts w:ascii="Times New Roman" w:cs="Times New Roman" w:eastAsia="Times New Roman" w:hAnsi="Times New Roman"/>
                <w:sz w:val="18"/>
                <w:szCs w:val="18"/>
                <w:color w:val="auto"/>
              </w:rPr>
              <w:t>Percentage of</w:t>
            </w:r>
          </w:p>
        </w:tc>
        <w:tc>
          <w:tcPr>
            <w:tcW w:w="0" w:type="dxa"/>
            <w:vAlign w:val="bottom"/>
          </w:tcPr>
          <w:p>
            <w:pPr>
              <w:spacing w:after="0"/>
              <w:rPr>
                <w:sz w:val="1"/>
                <w:szCs w:val="1"/>
                <w:color w:val="auto"/>
              </w:rPr>
            </w:pPr>
          </w:p>
        </w:tc>
      </w:tr>
      <w:tr>
        <w:trPr>
          <w:trHeight w:val="112"/>
        </w:trPr>
        <w:tc>
          <w:tcPr>
            <w:tcW w:w="1380" w:type="dxa"/>
            <w:vAlign w:val="bottom"/>
            <w:tcBorders>
              <w:left w:val="single" w:sz="8" w:color="auto"/>
              <w:right w:val="single" w:sz="8" w:color="auto"/>
            </w:tcBorders>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vMerge w:val="continue"/>
          </w:tcPr>
          <w:p>
            <w:pPr>
              <w:spacing w:after="0"/>
              <w:rPr>
                <w:sz w:val="9"/>
                <w:szCs w:val="9"/>
                <w:color w:val="auto"/>
              </w:rPr>
            </w:pPr>
          </w:p>
        </w:tc>
        <w:tc>
          <w:tcPr>
            <w:tcW w:w="238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vMerge w:val="restart"/>
          </w:tcPr>
          <w:p>
            <w:pPr>
              <w:ind w:left="80"/>
              <w:spacing w:after="0" w:line="199" w:lineRule="exact"/>
              <w:rPr>
                <w:sz w:val="20"/>
                <w:szCs w:val="20"/>
                <w:color w:val="auto"/>
              </w:rPr>
            </w:pPr>
            <w:r>
              <w:rPr>
                <w:rFonts w:ascii="Times New Roman" w:cs="Times New Roman" w:eastAsia="Times New Roman" w:hAnsi="Times New Roman"/>
                <w:sz w:val="20"/>
                <w:szCs w:val="20"/>
                <w:color w:val="auto"/>
              </w:rPr>
              <w:t>Target Units)</w:t>
            </w:r>
          </w:p>
        </w:tc>
        <w:tc>
          <w:tcPr>
            <w:tcW w:w="38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380" w:type="dxa"/>
            <w:vAlign w:val="bottom"/>
            <w:tcBorders>
              <w:left w:val="single" w:sz="8" w:color="auto"/>
              <w:right w:val="single" w:sz="8" w:color="auto"/>
            </w:tcBorders>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adjustment</w:t>
            </w:r>
          </w:p>
        </w:tc>
        <w:tc>
          <w:tcPr>
            <w:tcW w:w="114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300" w:type="dxa"/>
            <w:vAlign w:val="bottom"/>
            <w:tcBorders>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1280" w:type="dxa"/>
            <w:vAlign w:val="bottom"/>
            <w:tcBorders>
              <w:right w:val="single" w:sz="8" w:color="auto"/>
            </w:tcBorders>
            <w:vMerge w:val="continue"/>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vMerge w:val="restart"/>
          </w:tcPr>
          <w:p>
            <w:pPr>
              <w:ind w:left="100"/>
              <w:spacing w:after="0" w:line="189" w:lineRule="exact"/>
              <w:rPr>
                <w:sz w:val="20"/>
                <w:szCs w:val="20"/>
                <w:color w:val="auto"/>
              </w:rPr>
            </w:pPr>
            <w:r>
              <w:rPr>
                <w:rFonts w:ascii="Times New Roman" w:cs="Times New Roman" w:eastAsia="Times New Roman" w:hAnsi="Times New Roman"/>
                <w:sz w:val="18"/>
                <w:szCs w:val="18"/>
                <w:color w:val="auto"/>
              </w:rPr>
              <w:t>Units Earned</w:t>
            </w:r>
          </w:p>
        </w:tc>
        <w:tc>
          <w:tcPr>
            <w:tcW w:w="0" w:type="dxa"/>
            <w:vAlign w:val="bottom"/>
          </w:tcPr>
          <w:p>
            <w:pPr>
              <w:spacing w:after="0"/>
              <w:rPr>
                <w:sz w:val="1"/>
                <w:szCs w:val="1"/>
                <w:color w:val="auto"/>
              </w:rPr>
            </w:pPr>
          </w:p>
        </w:tc>
      </w:tr>
      <w:tr>
        <w:trPr>
          <w:trHeight w:val="103"/>
        </w:trPr>
        <w:tc>
          <w:tcPr>
            <w:tcW w:w="138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by</w:t>
            </w:r>
          </w:p>
        </w:tc>
        <w:tc>
          <w:tcPr>
            <w:tcW w:w="238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38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based on rTSR</w:t>
            </w:r>
          </w:p>
        </w:tc>
        <w:tc>
          <w:tcPr>
            <w:tcW w:w="114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vMerge w:val="continue"/>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Percentile</w:t>
            </w:r>
          </w:p>
        </w:tc>
        <w:tc>
          <w:tcPr>
            <w:tcW w:w="114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Rank Modifier</w:t>
            </w:r>
          </w:p>
        </w:tc>
        <w:tc>
          <w:tcPr>
            <w:tcW w:w="1140" w:type="dxa"/>
            <w:vAlign w:val="bottom"/>
            <w:tcBorders>
              <w:righ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rPr>
              <w:t>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percentile-below</w:t>
            </w:r>
          </w:p>
        </w:tc>
        <w:tc>
          <w:tcPr>
            <w:tcW w:w="1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rPr>
              <w:t>1.20</w:t>
            </w:r>
          </w:p>
        </w:tc>
        <w:tc>
          <w:tcPr>
            <w:tcW w:w="380" w:type="dxa"/>
            <w:vAlign w:val="bottom"/>
            <w:tcBorders>
              <w:right w:val="single" w:sz="8" w:color="auto"/>
            </w:tcBorders>
            <w:vMerge w:val="restart"/>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380" w:type="dxa"/>
            <w:vAlign w:val="bottom"/>
            <w:tcBorders>
              <w:right w:val="single" w:sz="8" w:color="auto"/>
            </w:tcBorders>
            <w:vMerge w:val="continue"/>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1280" w:type="dxa"/>
            <w:vAlign w:val="bottom"/>
            <w:tcBorders>
              <w:right w:val="single" w:sz="8" w:color="auto"/>
            </w:tcBorders>
          </w:tcPr>
          <w:p>
            <w:pPr>
              <w:ind w:left="80"/>
              <w:spacing w:after="0" w:line="207" w:lineRule="exact"/>
              <w:rPr>
                <w:sz w:val="20"/>
                <w:szCs w:val="20"/>
                <w:color w:val="auto"/>
              </w:rPr>
            </w:pPr>
            <w:r>
              <w:rPr>
                <w:rFonts w:ascii="Times New Roman" w:cs="Times New Roman" w:eastAsia="Times New Roman" w:hAnsi="Times New Roman"/>
                <w:sz w:val="20"/>
                <w:szCs w:val="20"/>
                <w:color w:val="auto"/>
              </w:rPr>
              <w:t>(maximum</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0"/>
                <w:szCs w:val="20"/>
                <w:color w:val="auto"/>
              </w:rPr>
              <w:t>equal to</w:t>
            </w:r>
          </w:p>
        </w:tc>
        <w:tc>
          <w:tcPr>
            <w:tcW w:w="3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ind w:left="80"/>
              <w:spacing w:after="0" w:line="203" w:lineRule="exact"/>
              <w:rPr>
                <w:sz w:val="20"/>
                <w:szCs w:val="20"/>
                <w:color w:val="auto"/>
              </w:rPr>
            </w:pPr>
            <w:r>
              <w:rPr>
                <w:rFonts w:ascii="Times New Roman" w:cs="Times New Roman" w:eastAsia="Times New Roman" w:hAnsi="Times New Roman"/>
                <w:sz w:val="20"/>
                <w:szCs w:val="20"/>
                <w:color w:val="auto"/>
              </w:rPr>
              <w:t>200% of</w:t>
            </w:r>
          </w:p>
        </w:tc>
        <w:tc>
          <w:tcPr>
            <w:tcW w:w="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23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rPr>
              <w:t>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 (target)</w:t>
            </w:r>
          </w:p>
        </w:tc>
        <w:tc>
          <w:tcPr>
            <w:tcW w:w="1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Target Units)</w:t>
            </w:r>
          </w:p>
        </w:tc>
        <w:tc>
          <w:tcPr>
            <w:tcW w:w="3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Borders>
              <w:right w:val="single" w:sz="8" w:color="auto"/>
            </w:tcBorders>
          </w:tcPr>
          <w:p>
            <w:pPr>
              <w:spacing w:after="0" w:line="20" w:lineRule="exact"/>
              <w:rPr>
                <w:sz w:val="1"/>
                <w:szCs w:val="1"/>
                <w:color w:val="auto"/>
              </w:rPr>
            </w:pPr>
          </w:p>
        </w:tc>
        <w:tc>
          <w:tcPr>
            <w:tcW w:w="2380" w:type="dxa"/>
            <w:vAlign w:val="bottom"/>
            <w:tcBorders>
              <w:right w:val="single" w:sz="8" w:color="auto"/>
            </w:tcBorders>
            <w:vMerge w:val="continue"/>
          </w:tcPr>
          <w:p>
            <w:pPr>
              <w:spacing w:after="0" w:line="20" w:lineRule="exact"/>
              <w:rPr>
                <w:sz w:val="1"/>
                <w:szCs w:val="1"/>
                <w:color w:val="auto"/>
              </w:rPr>
            </w:pPr>
          </w:p>
        </w:tc>
        <w:tc>
          <w:tcPr>
            <w:tcW w:w="1280" w:type="dxa"/>
            <w:vAlign w:val="bottom"/>
            <w:tcBorders>
              <w:right w:val="single" w:sz="8" w:color="auto"/>
            </w:tcBorders>
            <w:vMerge w:val="restart"/>
          </w:tcPr>
          <w:p>
            <w:pPr>
              <w:ind w:left="80"/>
              <w:spacing w:after="0" w:line="198" w:lineRule="exact"/>
              <w:rPr>
                <w:sz w:val="20"/>
                <w:szCs w:val="20"/>
                <w:color w:val="auto"/>
              </w:rPr>
            </w:pPr>
            <w:r>
              <w:rPr>
                <w:rFonts w:ascii="Times New Roman" w:cs="Times New Roman" w:eastAsia="Times New Roman" w:hAnsi="Times New Roman"/>
                <w:sz w:val="20"/>
                <w:szCs w:val="20"/>
                <w:color w:val="auto"/>
              </w:rPr>
              <w:t>1.00</w:t>
            </w:r>
          </w:p>
        </w:tc>
        <w:tc>
          <w:tcPr>
            <w:tcW w:w="380" w:type="dxa"/>
            <w:vAlign w:val="bottom"/>
            <w:tcBorders>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2380" w:type="dxa"/>
            <w:vAlign w:val="bottom"/>
            <w:tcBorders>
              <w:right w:val="single" w:sz="8" w:color="auto"/>
            </w:tcBorders>
            <w:vMerge w:val="continue"/>
          </w:tcPr>
          <w:p>
            <w:pPr>
              <w:spacing w:after="0"/>
              <w:rPr>
                <w:sz w:val="13"/>
                <w:szCs w:val="13"/>
                <w:color w:val="auto"/>
              </w:rPr>
            </w:pPr>
          </w:p>
        </w:tc>
        <w:tc>
          <w:tcPr>
            <w:tcW w:w="1280" w:type="dxa"/>
            <w:vAlign w:val="bottom"/>
            <w:tcBorders>
              <w:right w:val="single" w:sz="8" w:color="auto"/>
            </w:tcBorders>
            <w:vMerge w:val="continue"/>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2380" w:type="dxa"/>
            <w:vAlign w:val="bottom"/>
            <w:tcBorders>
              <w:right w:val="single" w:sz="8" w:color="auto"/>
            </w:tcBorders>
          </w:tcPr>
          <w:p>
            <w:pPr>
              <w:ind w:left="80"/>
              <w:spacing w:after="0" w:line="220" w:lineRule="exact"/>
              <w:rPr>
                <w:sz w:val="20"/>
                <w:szCs w:val="20"/>
                <w:color w:val="auto"/>
              </w:rPr>
            </w:pPr>
            <w:r>
              <w:rPr>
                <w:rFonts w:ascii="Times New Roman" w:cs="Times New Roman" w:eastAsia="Times New Roman" w:hAnsi="Times New Roman"/>
                <w:sz w:val="19"/>
                <w:szCs w:val="19"/>
                <w:color w:val="auto"/>
              </w:rPr>
              <w:t>At or below 25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percentile</w:t>
            </w:r>
          </w:p>
        </w:tc>
        <w:tc>
          <w:tcPr>
            <w:tcW w:w="1280" w:type="dxa"/>
            <w:vAlign w:val="bottom"/>
            <w:tcBorders>
              <w:right w:val="single" w:sz="8" w:color="auto"/>
            </w:tcBorders>
          </w:tcPr>
          <w:p>
            <w:pPr>
              <w:ind w:left="80"/>
              <w:spacing w:after="0" w:line="220" w:lineRule="exact"/>
              <w:rPr>
                <w:sz w:val="20"/>
                <w:szCs w:val="20"/>
                <w:color w:val="auto"/>
              </w:rPr>
            </w:pPr>
            <w:r>
              <w:rPr>
                <w:rFonts w:ascii="Times New Roman" w:cs="Times New Roman" w:eastAsia="Times New Roman" w:hAnsi="Times New Roman"/>
                <w:sz w:val="20"/>
                <w:szCs w:val="20"/>
                <w:color w:val="auto"/>
              </w:rPr>
              <w:t>.80</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(minimum/threshold)</w:t>
            </w:r>
          </w:p>
        </w:tc>
        <w:tc>
          <w:tcPr>
            <w:tcW w:w="1280" w:type="dxa"/>
            <w:vAlign w:val="bottom"/>
            <w:tcBorders>
              <w:bottom w:val="single" w:sz="8" w:color="auto"/>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2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-2451100</wp:posOffset>
            </wp:positionV>
            <wp:extent cx="61036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7">
                      <a:extLst>
                        <a:ext uri="{28A0092B-C50C-407E-A947-70E740481C1C}"/>
                      </a:extLst>
                    </a:blip>
                    <a:srcRect/>
                    <a:stretch>
                      <a:fillRect/>
                    </a:stretch>
                  </pic:blipFill>
                  <pic:spPr bwMode="auto">
                    <a:xfrm>
                      <a:off x="0" y="0"/>
                      <a:ext cx="6103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-1366520</wp:posOffset>
            </wp:positionV>
            <wp:extent cx="6347460" cy="6940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8">
                      <a:extLst>
                        <a:ext uri="{28A0092B-C50C-407E-A947-70E740481C1C}"/>
                      </a:extLst>
                    </a:blip>
                    <a:srcRect/>
                    <a:stretch>
                      <a:fillRect/>
                    </a:stretch>
                  </pic:blipFill>
                  <pic:spPr bwMode="auto">
                    <a:xfrm>
                      <a:off x="0" y="0"/>
                      <a:ext cx="6347460" cy="6940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-556895</wp:posOffset>
            </wp:positionV>
            <wp:extent cx="233997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9">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this purpose:</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percentage of target Units earned will be determined based on:</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1628771616.1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459740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08" w:name="page109"/>
    <w:bookmarkEnd w:id="108"/>
    <w:p>
      <w:pPr>
        <w:ind w:left="860" w:right="880" w:hanging="368"/>
        <w:spacing w:after="0" w:line="477" w:lineRule="auto"/>
        <w:tabs>
          <w:tab w:leader="none" w:pos="84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applicable attained performance level percentage of each Performance Metric subject to the weightings noted above </w:t>
      </w:r>
      <w:r>
        <w:rPr>
          <w:rFonts w:ascii="Times New Roman" w:cs="Times New Roman" w:eastAsia="Times New Roman" w:hAnsi="Times New Roman"/>
          <w:sz w:val="18"/>
          <w:szCs w:val="18"/>
          <w:u w:val="single" w:color="auto"/>
          <w:color w:val="auto"/>
        </w:rPr>
        <w:t>multiplied by</w:t>
      </w:r>
    </w:p>
    <w:p>
      <w:pPr>
        <w:ind w:left="480" w:right="980" w:firstLine="8"/>
        <w:spacing w:after="0" w:line="258" w:lineRule="auto"/>
        <w:tabs>
          <w:tab w:leader="none" w:pos="76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percentile of relative Total Shareholder Return (“</w:t>
      </w:r>
      <w:r>
        <w:rPr>
          <w:rFonts w:ascii="Times New Roman" w:cs="Times New Roman" w:eastAsia="Times New Roman" w:hAnsi="Times New Roman"/>
          <w:sz w:val="18"/>
          <w:szCs w:val="18"/>
          <w:u w:val="single" w:color="auto"/>
          <w:color w:val="auto"/>
        </w:rPr>
        <w:t>rTSR</w:t>
      </w:r>
      <w:r>
        <w:rPr>
          <w:rFonts w:ascii="Times New Roman" w:cs="Times New Roman" w:eastAsia="Times New Roman" w:hAnsi="Times New Roman"/>
          <w:sz w:val="18"/>
          <w:szCs w:val="18"/>
          <w:color w:val="auto"/>
        </w:rPr>
        <w:t>”) achieved by the Company compared to the S&amp;P 1500 P&amp;C Index over the three-year Performance Period commencing on January 1, 2026, and ending on December 31, 2028 rounding up to the nearest whole share.</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 xml:space="preserve">Gross Written Premiums (with fees) and Adjusted Return on Equity </w:t>
      </w:r>
      <w:r>
        <w:rPr>
          <w:rFonts w:ascii="Times New Roman" w:cs="Times New Roman" w:eastAsia="Times New Roman" w:hAnsi="Times New Roman"/>
          <w:sz w:val="18"/>
          <w:szCs w:val="18"/>
          <w:color w:val="auto"/>
        </w:rPr>
        <w:t>shall have the applicable meanings as defined in the Company’s</w:t>
      </w:r>
    </w:p>
    <w:p>
      <w:pPr>
        <w:spacing w:after="0" w:line="31" w:lineRule="exact"/>
        <w:rPr>
          <w:sz w:val="20"/>
          <w:szCs w:val="20"/>
          <w:color w:val="auto"/>
        </w:rPr>
      </w:pPr>
    </w:p>
    <w:p>
      <w:pPr>
        <w:jc w:val="both"/>
        <w:ind w:left="480" w:right="560"/>
        <w:spacing w:after="0"/>
        <w:rPr>
          <w:sz w:val="20"/>
          <w:szCs w:val="20"/>
          <w:color w:val="auto"/>
        </w:rPr>
      </w:pPr>
      <w:r>
        <w:rPr>
          <w:rFonts w:ascii="Times New Roman" w:cs="Times New Roman" w:eastAsia="Times New Roman" w:hAnsi="Times New Roman"/>
          <w:sz w:val="18"/>
          <w:szCs w:val="18"/>
          <w:color w:val="auto"/>
        </w:rPr>
        <w:t>Form 8-K Earnings Releases, Quarterly Reports on Form 10-Q and Annual Report on Form 10-K for the applicable Performance Periods for such Performance Metrics which can be found on the Company’s Investor Relations website (www.plmr.com &gt;&gt; Investors &gt;&gt; Financials &gt;&gt; SEC Filings). Gross Written Premium (with fees) (“</w:t>
      </w:r>
      <w:r>
        <w:rPr>
          <w:rFonts w:ascii="Times New Roman" w:cs="Times New Roman" w:eastAsia="Times New Roman" w:hAnsi="Times New Roman"/>
          <w:sz w:val="18"/>
          <w:szCs w:val="18"/>
          <w:u w:val="single" w:color="auto"/>
          <w:color w:val="auto"/>
        </w:rPr>
        <w:t>GWP</w:t>
      </w:r>
      <w:r>
        <w:rPr>
          <w:rFonts w:ascii="Times New Roman" w:cs="Times New Roman" w:eastAsia="Times New Roman" w:hAnsi="Times New Roman"/>
          <w:sz w:val="18"/>
          <w:szCs w:val="18"/>
          <w:color w:val="auto"/>
        </w:rPr>
        <w:t>) will be measured over a one-year Performance Period from January 1, 2026, to December 31, 2028, and adjusted Return on Equity (“</w:t>
      </w:r>
      <w:r>
        <w:rPr>
          <w:rFonts w:ascii="Times New Roman" w:cs="Times New Roman" w:eastAsia="Times New Roman" w:hAnsi="Times New Roman"/>
          <w:sz w:val="18"/>
          <w:szCs w:val="18"/>
          <w:u w:val="single" w:color="auto"/>
          <w:color w:val="auto"/>
        </w:rPr>
        <w:t>AROE</w:t>
      </w:r>
      <w:r>
        <w:rPr>
          <w:rFonts w:ascii="Times New Roman" w:cs="Times New Roman" w:eastAsia="Times New Roman" w:hAnsi="Times New Roman"/>
          <w:sz w:val="18"/>
          <w:szCs w:val="18"/>
          <w:color w:val="auto"/>
        </w:rPr>
        <w:t>”) will be measured by taking the average annual AROE over a three-year Performance Period from January 1, 2026, to December 31, 2028. Each Performance Metric shall be evaluated separately for purposes of the determined Payout Level percentage for such Performance Metric.</w:t>
      </w:r>
    </w:p>
    <w:p>
      <w:pPr>
        <w:spacing w:after="0" w:line="184" w:lineRule="exact"/>
        <w:rPr>
          <w:sz w:val="20"/>
          <w:szCs w:val="20"/>
          <w:color w:val="auto"/>
        </w:rPr>
      </w:pPr>
    </w:p>
    <w:p>
      <w:pPr>
        <w:jc w:val="both"/>
        <w:ind w:left="480"/>
        <w:spacing w:after="0" w:line="247" w:lineRule="auto"/>
        <w:rPr>
          <w:sz w:val="20"/>
          <w:szCs w:val="20"/>
          <w:color w:val="auto"/>
        </w:rPr>
      </w:pPr>
      <w:r>
        <w:rPr>
          <w:rFonts w:ascii="Times New Roman" w:cs="Times New Roman" w:eastAsia="Times New Roman" w:hAnsi="Times New Roman"/>
          <w:sz w:val="18"/>
          <w:szCs w:val="18"/>
          <w:color w:val="auto"/>
        </w:rPr>
        <w:t>Each Performance Metric will be evaluated separately with respect to its applicable Performance Period for purposes of determining whether the minimum/threshold level of performance was attained for such Performance Metric. The applicable Performance Metric’s minimum/threshold performance level must be met for any Units to be eligible to be earned with respect to such performance metric. If minimum/threshold performance with respect to only GWP or only AROE (but not both) is met, Units may still be earned based on achievement of such Performance Metric.</w:t>
      </w:r>
    </w:p>
    <w:p>
      <w:pPr>
        <w:spacing w:after="0" w:line="390" w:lineRule="exact"/>
        <w:rPr>
          <w:sz w:val="20"/>
          <w:szCs w:val="20"/>
          <w:color w:val="auto"/>
        </w:rPr>
      </w:pPr>
    </w:p>
    <w:p>
      <w:pPr>
        <w:jc w:val="both"/>
        <w:ind w:left="480"/>
        <w:spacing w:after="0" w:line="258" w:lineRule="auto"/>
        <w:rPr>
          <w:sz w:val="20"/>
          <w:szCs w:val="20"/>
          <w:color w:val="auto"/>
        </w:rPr>
      </w:pPr>
      <w:r>
        <w:rPr>
          <w:rFonts w:ascii="Times New Roman" w:cs="Times New Roman" w:eastAsia="Times New Roman" w:hAnsi="Times New Roman"/>
          <w:sz w:val="18"/>
          <w:szCs w:val="18"/>
          <w:color w:val="auto"/>
        </w:rPr>
        <w:t>The percentage of Units eligible to vest based on the level of attainment of the Performance Vesting Conditions will be determined based on pro-rata linear payout if performance falls between minimum/threshold and target or between target and maximum, rounded up to the nearest decimal point, in each case with respect to each of the Performance Metrics and the rTSR Percentile Rank modifier.</w:t>
      </w:r>
    </w:p>
    <w:p>
      <w:pPr>
        <w:spacing w:after="0" w:line="1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purposes of determining rTSR Percentile Rank:</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b w:val="1"/>
          <w:bCs w:val="1"/>
          <w:i w:val="1"/>
          <w:iCs w:val="1"/>
          <w:color w:val="auto"/>
        </w:rPr>
        <w:t>Beginning Period Average Price</w:t>
      </w:r>
      <w:r>
        <w:rPr>
          <w:rFonts w:ascii="Times New Roman" w:cs="Times New Roman" w:eastAsia="Times New Roman" w:hAnsi="Times New Roman"/>
          <w:sz w:val="17"/>
          <w:szCs w:val="17"/>
          <w:color w:val="auto"/>
        </w:rPr>
        <w:t>” means the average official closing price per share of the issuer over the 30-consecutive-trading days ending</w:t>
      </w:r>
    </w:p>
    <w:p>
      <w:pPr>
        <w:spacing w:after="0" w:line="29" w:lineRule="exact"/>
        <w:rPr>
          <w:sz w:val="20"/>
          <w:szCs w:val="20"/>
          <w:color w:val="auto"/>
        </w:rPr>
      </w:pPr>
    </w:p>
    <w:p>
      <w:pPr>
        <w:jc w:val="both"/>
        <w:ind w:left="720"/>
        <w:spacing w:after="0" w:line="246" w:lineRule="auto"/>
        <w:rPr>
          <w:sz w:val="20"/>
          <w:szCs w:val="20"/>
          <w:color w:val="auto"/>
        </w:rPr>
      </w:pPr>
      <w:r>
        <w:rPr>
          <w:rFonts w:ascii="Times New Roman" w:cs="Times New Roman" w:eastAsia="Times New Roman" w:hAnsi="Times New Roman"/>
          <w:sz w:val="18"/>
          <w:szCs w:val="18"/>
          <w:color w:val="auto"/>
        </w:rPr>
        <w:t>with and including the first day of the applicable Performance Period (or, if the applicable day is not a trading day, the immediately preceding trading day).</w:t>
      </w:r>
    </w:p>
    <w:p>
      <w:pPr>
        <w:spacing w:after="0" w:line="176" w:lineRule="exact"/>
        <w:rPr>
          <w:sz w:val="20"/>
          <w:szCs w:val="20"/>
          <w:color w:val="auto"/>
        </w:rPr>
      </w:pPr>
    </w:p>
    <w:p>
      <w:pPr>
        <w:jc w:val="both"/>
        <w:ind w:left="7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Ending Period Average Price</w:t>
      </w:r>
      <w:r>
        <w:rPr>
          <w:rFonts w:ascii="Times New Roman" w:cs="Times New Roman" w:eastAsia="Times New Roman" w:hAnsi="Times New Roman"/>
          <w:sz w:val="18"/>
          <w:szCs w:val="18"/>
          <w:color w:val="auto"/>
        </w:rPr>
        <w:t>” means the average official closing price per share of the issuer over the 30-consecutive-trading days ending with and including the last day of the applicable Performance Period (or, if the applicable day is not a trading day, the immediately preceding trading day).</w:t>
      </w:r>
    </w:p>
    <w:p>
      <w:pPr>
        <w:spacing w:after="0" w:line="164" w:lineRule="exact"/>
        <w:rPr>
          <w:sz w:val="20"/>
          <w:szCs w:val="20"/>
          <w:color w:val="auto"/>
        </w:rPr>
      </w:pPr>
    </w:p>
    <w:p>
      <w:pPr>
        <w:jc w:val="both"/>
        <w:ind w:left="720" w:firstLine="5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“S&amp;P 1500 P&amp;C Index Companies</w:t>
      </w:r>
      <w:r>
        <w:rPr>
          <w:rFonts w:ascii="Times New Roman" w:cs="Times New Roman" w:eastAsia="Times New Roman" w:hAnsi="Times New Roman"/>
          <w:sz w:val="18"/>
          <w:szCs w:val="18"/>
          <w:color w:val="auto"/>
        </w:rPr>
        <w:t>” means the companies that are included in the S&amp;P 1500 P&amp;C Index continuously from the beginning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the end of the applicable Performance Period.</w:t>
      </w:r>
    </w:p>
    <w:p>
      <w:pPr>
        <w:spacing w:after="0" w:line="171" w:lineRule="exact"/>
        <w:rPr>
          <w:sz w:val="20"/>
          <w:szCs w:val="20"/>
          <w:color w:val="auto"/>
        </w:rPr>
      </w:pPr>
    </w:p>
    <w:p>
      <w:pPr>
        <w:jc w:val="both"/>
        <w:ind w:left="720"/>
        <w:spacing w:after="0" w:line="250" w:lineRule="auto"/>
        <w:rPr>
          <w:sz w:val="20"/>
          <w:szCs w:val="20"/>
          <w:color w:val="auto"/>
        </w:rPr>
      </w:pPr>
      <w:r>
        <w:rPr>
          <w:rFonts w:ascii="Times New Roman" w:cs="Times New Roman" w:eastAsia="Times New Roman" w:hAnsi="Times New Roman"/>
          <w:sz w:val="18"/>
          <w:szCs w:val="18"/>
          <w:color w:val="auto"/>
        </w:rPr>
        <w:t>Any company included in the measurement group which (i) ceases to be publicly traded during the Performance Period shall be removed from the measurement group or (ii) subsequently reorganizes under the United States Bankruptcy Code (or any successor or comparable law) shall remain in the measurement group and all such companies (if any) shall be deemed to be ranked below all other companies in the measurement group.</w:t>
      </w:r>
    </w:p>
    <w:p>
      <w:pPr>
        <w:spacing w:after="0" w:line="177" w:lineRule="exact"/>
        <w:rPr>
          <w:sz w:val="20"/>
          <w:szCs w:val="20"/>
          <w:color w:val="auto"/>
        </w:rPr>
      </w:pPr>
    </w:p>
    <w:p>
      <w:pPr>
        <w:jc w:val="both"/>
        <w:ind w:left="720" w:right="20"/>
        <w:spacing w:after="0" w:line="266" w:lineRule="auto"/>
        <w:rPr>
          <w:sz w:val="20"/>
          <w:szCs w:val="20"/>
          <w:color w:val="auto"/>
        </w:rPr>
      </w:pPr>
      <w:r>
        <w:rPr>
          <w:rFonts w:ascii="Times New Roman" w:cs="Times New Roman" w:eastAsia="Times New Roman" w:hAnsi="Times New Roman"/>
          <w:sz w:val="18"/>
          <w:szCs w:val="18"/>
          <w:color w:val="auto"/>
        </w:rPr>
        <w:t>The Committee shall have the authority to make appropriate adjustments to the extent necessary to account for extraordinary, unusual and infrequently occurring events and transactions involving the S&amp;P 1500 P&amp;C Index Companies.</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Metric</w:t>
      </w:r>
      <w:r>
        <w:rPr>
          <w:rFonts w:ascii="Times New Roman" w:cs="Times New Roman" w:eastAsia="Times New Roman" w:hAnsi="Times New Roman"/>
          <w:sz w:val="18"/>
          <w:szCs w:val="18"/>
          <w:color w:val="auto"/>
        </w:rPr>
        <w:t>” means each of Gross Written Premiums (with fees) and Adjusted Return on Equity.</w:t>
      </w:r>
    </w:p>
    <w:p>
      <w:pPr>
        <w:spacing w:after="0" w:line="212" w:lineRule="exact"/>
        <w:rPr>
          <w:sz w:val="20"/>
          <w:szCs w:val="20"/>
          <w:color w:val="auto"/>
        </w:rPr>
      </w:pPr>
    </w:p>
    <w:p>
      <w:pPr>
        <w:jc w:val="both"/>
        <w:ind w:left="72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with respect to each Performance Metric, means the Performance Period specified in the Grant Notice for such Performance Metric.</w:t>
      </w:r>
    </w:p>
    <w:p>
      <w:pPr>
        <w:spacing w:after="0" w:line="16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8"/>
          <w:szCs w:val="18"/>
          <w:b w:val="1"/>
          <w:bCs w:val="1"/>
          <w:i w:val="1"/>
          <w:iCs w:val="1"/>
          <w:color w:val="auto"/>
        </w:rPr>
        <w:t>TSR Percentile Rank</w:t>
      </w:r>
      <w:r>
        <w:rPr>
          <w:rFonts w:ascii="Times New Roman" w:cs="Times New Roman" w:eastAsia="Times New Roman" w:hAnsi="Times New Roman"/>
          <w:sz w:val="18"/>
          <w:szCs w:val="18"/>
          <w:color w:val="auto"/>
        </w:rPr>
        <w:t>” means the Company’s percentile ranking relative to the S&amp;P 1500 P&amp;C Index Companies, based on TSR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1628771616.1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465455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255" w:right="339" w:bottom="1440" w:gutter="0" w:footer="0" w:header="0"/>
        </w:sectPr>
      </w:pPr>
    </w:p>
    <w:bookmarkStart w:id="109" w:name="page110"/>
    <w:bookmarkEnd w:id="109"/>
    <w:p>
      <w:pPr>
        <w:jc w:val="both"/>
        <w:ind w:left="1460"/>
        <w:spacing w:after="0" w:line="247" w:lineRule="auto"/>
        <w:rPr>
          <w:sz w:val="20"/>
          <w:szCs w:val="20"/>
          <w:color w:val="auto"/>
        </w:rPr>
      </w:pPr>
      <w:r>
        <w:rPr>
          <w:rFonts w:ascii="Times New Roman" w:cs="Times New Roman" w:eastAsia="Times New Roman" w:hAnsi="Times New Roman"/>
          <w:sz w:val="18"/>
          <w:szCs w:val="18"/>
          <w:color w:val="auto"/>
        </w:rPr>
        <w:t>TSR Percentile Rank is determined by ordering the S&amp;P 1500 P&amp;C Index Companies (plus the Company if the Company is not one of the S&amp;P 1500 P&amp;C Index Companies) from highest to lowest based on TSR for the Performance Period and counting down from the company with the highest TSR (ranked first) to the Company’s position on the list. If two companies are ranked equally, the ranking of the next company shall account for the tie, so that if one company is ranked first, and two companies are tied for second, the next company is ranked fourth. After this ranking, the TSR Percentile Rank will be calculated using the following formula, rounded to the nearest whole percentile by application of regular rounding:</w:t>
      </w:r>
    </w:p>
    <w:p>
      <w:pPr>
        <w:spacing w:after="0" w:line="164" w:lineRule="exact"/>
        <w:rPr>
          <w:sz w:val="20"/>
          <w:szCs w:val="20"/>
          <w:color w:val="auto"/>
        </w:rPr>
      </w:pPr>
    </w:p>
    <w:tbl>
      <w:tblPr>
        <w:tblLayout w:type="fixed"/>
        <w:tblInd w:w="4100" w:type="dxa"/>
        <w:tblCellMar>
          <w:top w:w="0" w:type="dxa"/>
          <w:left w:w="0" w:type="dxa"/>
          <w:bottom w:w="0" w:type="dxa"/>
          <w:right w:w="0" w:type="dxa"/>
        </w:tblCellMar>
      </w:tblPr>
      <w:tr>
        <w:trPr>
          <w:trHeight w:val="223"/>
        </w:trPr>
        <w:tc>
          <w:tcPr>
            <w:tcW w:w="2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TSR Percentile Rank =</w:t>
            </w:r>
          </w:p>
        </w:tc>
        <w:tc>
          <w:tcPr>
            <w:tcW w:w="1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18"/>
                <w:szCs w:val="18"/>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100</w:t>
            </w:r>
          </w:p>
        </w:tc>
        <w:tc>
          <w:tcPr>
            <w:tcW w:w="0" w:type="dxa"/>
            <w:vAlign w:val="bottom"/>
          </w:tcPr>
          <w:p>
            <w:pPr>
              <w:spacing w:after="0"/>
              <w:rPr>
                <w:sz w:val="1"/>
                <w:szCs w:val="1"/>
                <w:color w:val="auto"/>
              </w:rPr>
            </w:pPr>
          </w:p>
        </w:tc>
      </w:tr>
      <w:tr>
        <w:trPr>
          <w:trHeight w:val="88"/>
        </w:trPr>
        <w:tc>
          <w:tcPr>
            <w:tcW w:w="2680" w:type="dxa"/>
            <w:vAlign w:val="bottom"/>
            <w:vMerge w:val="continue"/>
          </w:tcPr>
          <w:p>
            <w:pPr>
              <w:spacing w:after="0"/>
              <w:rPr>
                <w:sz w:val="7"/>
                <w:szCs w:val="7"/>
                <w:color w:val="auto"/>
              </w:rPr>
            </w:pPr>
          </w:p>
        </w:tc>
        <w:tc>
          <w:tcPr>
            <w:tcW w:w="1060" w:type="dxa"/>
            <w:vAlign w:val="bottom"/>
            <w:vMerge w:val="restart"/>
          </w:tcPr>
          <w:p>
            <w:pPr>
              <w:ind w:left="80"/>
              <w:spacing w:after="0" w:line="184" w:lineRule="exact"/>
              <w:rPr>
                <w:sz w:val="20"/>
                <w:szCs w:val="20"/>
                <w:color w:val="auto"/>
              </w:rPr>
            </w:pPr>
            <w:r>
              <w:rPr>
                <w:rFonts w:ascii="Times New Roman" w:cs="Times New Roman" w:eastAsia="Times New Roman" w:hAnsi="Times New Roman"/>
                <w:sz w:val="18"/>
                <w:szCs w:val="18"/>
                <w:i w:val="1"/>
                <w:iCs w:val="1"/>
                <w:color w:val="auto"/>
              </w:rPr>
              <w:t>N</w:t>
            </w: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6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1460" w:right="20"/>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w:t>
      </w:r>
      <w:r>
        <w:rPr>
          <w:rFonts w:ascii="Times New Roman" w:cs="Times New Roman" w:eastAsia="Times New Roman" w:hAnsi="Times New Roman"/>
          <w:sz w:val="18"/>
          <w:szCs w:val="18"/>
          <w:color w:val="auto"/>
        </w:rPr>
        <w:t>” represents the number of S&amp;P 1500 P&amp;C Index Companies for the Performance Period (plus the Company if the Company is not one of the S&amp;P 1500 P&amp;C Index Companies for the applicable Performance Period).</w:t>
      </w:r>
    </w:p>
    <w:p>
      <w:pPr>
        <w:spacing w:after="0" w:line="193" w:lineRule="exact"/>
        <w:rPr>
          <w:sz w:val="20"/>
          <w:szCs w:val="20"/>
          <w:color w:val="auto"/>
        </w:rPr>
      </w:pPr>
    </w:p>
    <w:p>
      <w:pPr>
        <w:ind w:left="14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18"/>
          <w:szCs w:val="18"/>
          <w:color w:val="auto"/>
        </w:rPr>
        <w:t>” represents the Company’s ranking among the S&amp;P 1500 P&amp;C Index Companies (plus the Company if the Company is not one of the S&amp;P 1500 P&amp;C Index Companies for the applicable Performance Period).</w:t>
      </w:r>
    </w:p>
    <w:p>
      <w:pPr>
        <w:spacing w:after="0" w:line="168" w:lineRule="exact"/>
        <w:rPr>
          <w:sz w:val="20"/>
          <w:szCs w:val="20"/>
          <w:color w:val="auto"/>
        </w:rPr>
      </w:pPr>
    </w:p>
    <w:p>
      <w:pPr>
        <w:ind w:left="1460" w:right="20"/>
        <w:spacing w:after="0" w:line="237" w:lineRule="auto"/>
        <w:rPr>
          <w:sz w:val="20"/>
          <w:szCs w:val="20"/>
          <w:color w:val="auto"/>
        </w:rPr>
      </w:pPr>
      <w:r>
        <w:rPr>
          <w:rFonts w:ascii="Times New Roman" w:cs="Times New Roman" w:eastAsia="Times New Roman" w:hAnsi="Times New Roman"/>
          <w:sz w:val="18"/>
          <w:szCs w:val="18"/>
          <w:color w:val="auto"/>
        </w:rPr>
        <w:t>For example, if there are 100 S&amp;P 1500 P&amp;C Index Companies (including the Company), and the Company ranked 40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the TSR Percentile Rank would be at the 60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w:t>
      </w:r>
    </w:p>
    <w:p>
      <w:pPr>
        <w:spacing w:after="0" w:line="31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60 = (100 – 40)/100 * 100.</w:t>
      </w:r>
    </w:p>
    <w:p>
      <w:pPr>
        <w:spacing w:after="0" w:line="221" w:lineRule="exact"/>
        <w:rPr>
          <w:sz w:val="20"/>
          <w:szCs w:val="20"/>
          <w:color w:val="auto"/>
        </w:rPr>
      </w:pPr>
    </w:p>
    <w:p>
      <w:pPr>
        <w:jc w:val="both"/>
        <w:ind w:left="720"/>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TSR</w:t>
      </w:r>
      <w:r>
        <w:rPr>
          <w:rFonts w:ascii="Times New Roman" w:cs="Times New Roman" w:eastAsia="Times New Roman" w:hAnsi="Times New Roman"/>
          <w:sz w:val="18"/>
          <w:szCs w:val="18"/>
          <w:color w:val="auto"/>
        </w:rPr>
        <w:t>” means total shareholder return as determined by dividing (i) the sum of (A) the Ending Period Average Price minus the Beginning Period Average Price plus (B) all dividends and other distributions paid on the issuer’s shares during the applicable Performance Period by (ii) the Beginning Period Average Price. In calculating TSR, all dividends are assumed to have been reinvested in shares when paid. The Committee shall have the authority to make appropriate equitable adjustments to account for extraordinary items affecting the TSR.</w:t>
      </w:r>
    </w:p>
    <w:p>
      <w:pPr>
        <w:spacing w:after="0" w:line="191"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imitation 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mount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in this Agreement to the contrary, under no circumstances can a Participant earn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Maximum Number of Units set forth in the Grant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1628771616.1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465455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039"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PALOMAR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PERFORMANCE STOCK UNITS AGREEMENT</w:t>
      </w:r>
    </w:p>
    <w:p>
      <w:pPr>
        <w:jc w:val="center"/>
        <w:spacing w:after="0"/>
        <w:rPr>
          <w:sz w:val="20"/>
          <w:szCs w:val="20"/>
          <w:color w:val="auto"/>
        </w:rPr>
      </w:pPr>
      <w:r>
        <w:rPr>
          <w:rFonts w:ascii="Times New Roman" w:cs="Times New Roman" w:eastAsia="Times New Roman" w:hAnsi="Times New Roman"/>
          <w:sz w:val="22"/>
          <w:szCs w:val="22"/>
          <w:b w:val="1"/>
          <w:bCs w:val="1"/>
          <w:color w:val="auto"/>
        </w:rPr>
        <w:t>(For U.S. Participants)</w:t>
      </w:r>
    </w:p>
    <w:p>
      <w:pPr>
        <w:spacing w:after="0" w:line="178"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 xml:space="preserve">Palomar Holdings, Inc. has granted to the Participant named in the </w:t>
      </w:r>
      <w:r>
        <w:rPr>
          <w:rFonts w:ascii="Times New Roman" w:cs="Times New Roman" w:eastAsia="Times New Roman" w:hAnsi="Times New Roman"/>
          <w:sz w:val="21"/>
          <w:szCs w:val="21"/>
          <w:i w:val="1"/>
          <w:iCs w:val="1"/>
          <w:color w:val="auto"/>
        </w:rPr>
        <w:t>Notice of Grant of Performance Stock Units</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Grant Notice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to which this Performance Stock Units Agreement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is attached an Award consisting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Performance Stock Units (each a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Unit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subject to the terms and conditions set forth in the Grant Notice and this Agreement. The Award has been granted pursuant to and shall in all respects be subject to the terms and conditions of the Palomar Holdings, Inc. 2019 Equity Incentive Plan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as amended to the Date of Grant,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Plan Prospectus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w:t>
      </w:r>
    </w:p>
    <w:p>
      <w:pPr>
        <w:spacing w:after="0" w:line="6" w:lineRule="exact"/>
        <w:rPr>
          <w:sz w:val="20"/>
          <w:szCs w:val="20"/>
          <w:color w:val="auto"/>
        </w:rPr>
      </w:pPr>
    </w:p>
    <w:p>
      <w:pPr>
        <w:jc w:val="both"/>
        <w:ind w:firstLine="8"/>
        <w:spacing w:after="0" w:line="235" w:lineRule="auto"/>
        <w:tabs>
          <w:tab w:leader="none" w:pos="31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187" w:lineRule="exact"/>
        <w:rPr>
          <w:sz w:val="20"/>
          <w:szCs w:val="20"/>
          <w:color w:val="auto"/>
        </w:rPr>
      </w:pPr>
    </w:p>
    <w:p>
      <w:pPr>
        <w:ind w:left="520" w:hanging="512"/>
        <w:spacing w:after="0"/>
        <w:tabs>
          <w:tab w:leader="none" w:pos="52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 AND CONSTRUCTION.</w:t>
      </w:r>
    </w:p>
    <w:p>
      <w:pPr>
        <w:spacing w:after="0" w:line="204" w:lineRule="exact"/>
        <w:rPr>
          <w:sz w:val="20"/>
          <w:szCs w:val="20"/>
          <w:color w:val="auto"/>
        </w:rPr>
      </w:pPr>
    </w:p>
    <w:p>
      <w:pPr>
        <w:ind w:right="20" w:firstLine="749"/>
        <w:spacing w:after="0" w:line="276" w:lineRule="auto"/>
        <w:rPr>
          <w:sz w:val="20"/>
          <w:szCs w:val="20"/>
          <w:color w:val="auto"/>
        </w:rPr>
      </w:pPr>
      <w:r>
        <w:rPr>
          <w:rFonts w:ascii="Times New Roman" w:cs="Times New Roman" w:eastAsia="Times New Roman" w:hAnsi="Times New Roman"/>
          <w:sz w:val="22"/>
          <w:szCs w:val="22"/>
          <w:b w:val="1"/>
          <w:bCs w:val="1"/>
          <w:color w:val="auto"/>
        </w:rPr>
        <w:t>1.1 Definitions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otherwise defined herein, capitalized terms shall have the meanings assigned to such terms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Notice or the Plan.</w:t>
      </w:r>
    </w:p>
    <w:p>
      <w:pPr>
        <w:spacing w:after="0" w:line="134" w:lineRule="exact"/>
        <w:rPr>
          <w:sz w:val="20"/>
          <w:szCs w:val="20"/>
          <w:color w:val="auto"/>
        </w:rPr>
      </w:pPr>
    </w:p>
    <w:p>
      <w:pPr>
        <w:ind w:right="14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1.2 Construction</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Captions and titles contained herein are for convenience only and shall not affect the meaning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66"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22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182" w:lineRule="exact"/>
        <w:rPr>
          <w:sz w:val="20"/>
          <w:szCs w:val="20"/>
          <w:color w:val="auto"/>
        </w:rPr>
      </w:pPr>
    </w:p>
    <w:p>
      <w:pPr>
        <w:ind w:left="520" w:hanging="512"/>
        <w:spacing w:after="0"/>
        <w:tabs>
          <w:tab w:leader="none" w:pos="52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THE AWARD.</w:t>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1628213759.3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1" w:name="page112"/>
    <w:bookmarkEnd w:id="111"/>
    <w:p>
      <w:pPr>
        <w:ind w:right="80" w:firstLine="749"/>
        <w:spacing w:after="0"/>
        <w:rPr>
          <w:sz w:val="20"/>
          <w:szCs w:val="20"/>
          <w:color w:val="auto"/>
        </w:rPr>
      </w:pPr>
      <w:r>
        <w:rPr>
          <w:rFonts w:ascii="Times New Roman" w:cs="Times New Roman" w:eastAsia="Times New Roman" w:hAnsi="Times New Roman"/>
          <w:sz w:val="22"/>
          <w:szCs w:val="22"/>
          <w:b w:val="1"/>
          <w:bCs w:val="1"/>
          <w:color w:val="auto"/>
        </w:rPr>
        <w:t xml:space="preserve">3.1 Grant of Units. </w:t>
      </w:r>
      <w:r>
        <w:rPr>
          <w:rFonts w:ascii="Times New Roman" w:cs="Times New Roman" w:eastAsia="Times New Roman" w:hAnsi="Times New Roman"/>
          <w:sz w:val="22"/>
          <w:szCs w:val="22"/>
          <w:color w:val="auto"/>
        </w:rPr>
        <w:t>On the Date of Grant, the Company hereby awards to the Participant up to the Maximum Units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in the Grant Notice, which, depending on the level of the Performance Metric attained during the Performance Period, may result in the Participant earning as little as zero (0) Units or as many as the Maximum Units. Subject to the terms of this Agreement and the Plan, each Unit, to the extent it is earned and becomes a Vested Unit, represents a right to receive one (1) share of Stock on the Settlement Date (as defined in Section 6.1). Unless and until a Unit has been determined to be an earned unit and has vested and become a Vested Unit as set forth in the Grant Notice (including any appendix) and this Agreement, the Participant will have no right to settlement of such Units. Prior to settlement of any Units, such Units will represent an unfunded and unsecured obligation of the Company.</w:t>
      </w:r>
    </w:p>
    <w:p>
      <w:pPr>
        <w:spacing w:after="0" w:line="177"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3.2 No Monetary Payment Required. </w:t>
      </w:r>
      <w:r>
        <w:rPr>
          <w:rFonts w:ascii="Times New Roman" w:cs="Times New Roman" w:eastAsia="Times New Roman" w:hAnsi="Times New Roman"/>
          <w:sz w:val="22"/>
          <w:szCs w:val="22"/>
          <w:color w:val="auto"/>
        </w:rPr>
        <w:t>The Participant is not required to make any monetary payment (other than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w:t>
      </w:r>
    </w:p>
    <w:p>
      <w:pPr>
        <w:spacing w:after="0" w:line="170"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 OF UNITS.</w:t>
      </w:r>
    </w:p>
    <w:p>
      <w:pPr>
        <w:spacing w:after="0" w:line="220" w:lineRule="exact"/>
        <w:rPr>
          <w:sz w:val="20"/>
          <w:szCs w:val="20"/>
          <w:color w:val="auto"/>
        </w:rPr>
      </w:pPr>
    </w:p>
    <w:p>
      <w:pPr>
        <w:ind w:right="140" w:firstLine="749"/>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4.1 Vested Units. </w:t>
      </w:r>
      <w:r>
        <w:rPr>
          <w:rFonts w:ascii="Times New Roman" w:cs="Times New Roman" w:eastAsia="Times New Roman" w:hAnsi="Times New Roman"/>
          <w:sz w:val="22"/>
          <w:szCs w:val="22"/>
          <w:color w:val="auto"/>
        </w:rPr>
        <w:t>Units acquired pursuant to this Agreement shall become Vested Units as provided in the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For purposes of determining the number of Vested Units following an Ownership Change Event, credited Service shall include all Service with any Company which is a Participating Company at the time the Service is rendered, whether or not such Company is a Participating Company both before and after the Ownership Change Event.</w:t>
      </w:r>
    </w:p>
    <w:p>
      <w:pPr>
        <w:spacing w:after="0" w:line="169" w:lineRule="exact"/>
        <w:rPr>
          <w:sz w:val="20"/>
          <w:szCs w:val="20"/>
          <w:color w:val="auto"/>
        </w:rPr>
      </w:pPr>
    </w:p>
    <w:p>
      <w:pPr>
        <w:ind w:right="20" w:firstLine="749"/>
        <w:spacing w:after="0" w:line="275" w:lineRule="auto"/>
        <w:rPr>
          <w:sz w:val="20"/>
          <w:szCs w:val="20"/>
          <w:color w:val="auto"/>
        </w:rPr>
      </w:pPr>
      <w:r>
        <w:rPr>
          <w:rFonts w:ascii="Times New Roman" w:cs="Times New Roman" w:eastAsia="Times New Roman" w:hAnsi="Times New Roman"/>
          <w:sz w:val="22"/>
          <w:szCs w:val="22"/>
          <w:b w:val="1"/>
          <w:bCs w:val="1"/>
          <w:color w:val="auto"/>
        </w:rPr>
        <w:t>4.2 Retirement</w:t>
      </w:r>
      <w:r>
        <w:rPr>
          <w:rFonts w:ascii="Times New Roman" w:cs="Times New Roman" w:eastAsia="Times New Roman" w:hAnsi="Times New Roman"/>
          <w:sz w:val="22"/>
          <w:szCs w:val="22"/>
          <w:color w:val="auto"/>
        </w:rPr>
        <w:t>. Notwithstanding the provisions of Section 5.1 below, in the event of Participant’s Qualified Retirement,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shall</w:t>
      </w:r>
    </w:p>
    <w:p>
      <w:pPr>
        <w:spacing w:after="0" w:line="140" w:lineRule="exact"/>
        <w:rPr>
          <w:sz w:val="20"/>
          <w:szCs w:val="20"/>
          <w:color w:val="auto"/>
        </w:rPr>
      </w:pPr>
    </w:p>
    <w:p>
      <w:pPr>
        <w:jc w:val="both"/>
        <w:ind w:left="760" w:firstLine="1494"/>
        <w:spacing w:after="0" w:line="244" w:lineRule="auto"/>
        <w:tabs>
          <w:tab w:leader="none" w:pos="251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Award is subject to time-based vesting only, be treated as providing Service following the date of Participant’s Qualified Retirement through the remaining vesting dates pursuant to the vesting schedule set forth in the Grant Notice such that the remaining unvested portion of the Award will continue to become Vested Units on each such remaining vesting date, or</w:t>
      </w:r>
    </w:p>
    <w:p>
      <w:pPr>
        <w:spacing w:after="0" w:line="186" w:lineRule="exact"/>
        <w:rPr>
          <w:rFonts w:ascii="Times New Roman" w:cs="Times New Roman" w:eastAsia="Times New Roman" w:hAnsi="Times New Roman"/>
          <w:sz w:val="22"/>
          <w:szCs w:val="22"/>
          <w:color w:val="auto"/>
        </w:rPr>
      </w:pPr>
    </w:p>
    <w:p>
      <w:pPr>
        <w:jc w:val="both"/>
        <w:ind w:left="760" w:firstLine="1494"/>
        <w:spacing w:after="0" w:line="238" w:lineRule="auto"/>
        <w:tabs>
          <w:tab w:leader="none" w:pos="262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Award is subject to performance-based vesting, for purposes of any time-based vesting conditions applicable to such Award, be treated as satisfying the time-based conditions with respect to a pro-rata portion of the Award on the Participant’s Retirement Date based on the number of full months of continuous Service completed between the Award’s grant date and the Participant’s Retirement Date such that the pro-rata portion of the Award will remain outstanding, provided that, for the avoidance of doubt, performance conditions applicable to the Award, if any, shall continue to apply to such Award with the Award outstanding with respect to the pro-rata portion that satisfies the time-based conditions and eligible to become earned and Vested Units based on the satisfaction of such performance conditions. For clarity, no shares of Stock shall be issued and no payment shall be made on the Participant’s Retirement Date, and no Units shall</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1628213759.3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2" w:name="page113"/>
    <w:bookmarkEnd w:id="112"/>
    <w:p>
      <w:pPr>
        <w:ind w:left="760"/>
        <w:spacing w:after="0" w:line="258" w:lineRule="auto"/>
        <w:rPr>
          <w:sz w:val="20"/>
          <w:szCs w:val="20"/>
          <w:color w:val="auto"/>
        </w:rPr>
      </w:pPr>
      <w:r>
        <w:rPr>
          <w:rFonts w:ascii="Times New Roman" w:cs="Times New Roman" w:eastAsia="Times New Roman" w:hAnsi="Times New Roman"/>
          <w:sz w:val="22"/>
          <w:szCs w:val="22"/>
          <w:color w:val="auto"/>
        </w:rPr>
        <w:t>become Vested Units, solely by reason of the Participant’s Qualified Retirement. Such Units shall become Vested Units on the applicable Settlement Dates on the Award’s original vesting schedule.</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For purposes of this Section 4.2, “Qualified Retirement” means Participant’s resignation of employment with the Company on or after attainment of age fifty-eight (58) with a minimum of five (5) years of Service with the Company (including with an acquired entity prior to the grant date and regardless of whether such Service is continuous, with a Participant’s period of Service calculated using a 365-day period to determine each year of Service), provided that:</w:t>
      </w:r>
    </w:p>
    <w:p>
      <w:pPr>
        <w:spacing w:after="0" w:line="173" w:lineRule="exact"/>
        <w:rPr>
          <w:sz w:val="20"/>
          <w:szCs w:val="20"/>
          <w:color w:val="auto"/>
        </w:rPr>
      </w:pPr>
    </w:p>
    <w:p>
      <w:pPr>
        <w:ind w:left="760" w:right="20" w:firstLine="1563"/>
        <w:spacing w:after="0" w:line="271" w:lineRule="auto"/>
        <w:tabs>
          <w:tab w:leader="none" w:pos="2635"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Retirement Date (as defined below), the Participant’s age plus years of Service with the Company equals or exceeds 65;</w:t>
      </w:r>
    </w:p>
    <w:p>
      <w:pPr>
        <w:spacing w:after="0" w:line="144" w:lineRule="exact"/>
        <w:rPr>
          <w:rFonts w:ascii="Times New Roman" w:cs="Times New Roman" w:eastAsia="Times New Roman" w:hAnsi="Times New Roman"/>
          <w:sz w:val="22"/>
          <w:szCs w:val="22"/>
          <w:color w:val="auto"/>
        </w:rPr>
      </w:pPr>
    </w:p>
    <w:p>
      <w:pPr>
        <w:ind w:left="760" w:firstLine="1494"/>
        <w:spacing w:after="0" w:line="271" w:lineRule="auto"/>
        <w:tabs>
          <w:tab w:leader="none" w:pos="2597"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provides the Company with the required amount of Qualified Retirement Notice regarding his or her resignation of employment, and</w:t>
      </w:r>
    </w:p>
    <w:p>
      <w:pPr>
        <w:spacing w:after="0" w:line="144" w:lineRule="exact"/>
        <w:rPr>
          <w:rFonts w:ascii="Times New Roman" w:cs="Times New Roman" w:eastAsia="Times New Roman" w:hAnsi="Times New Roman"/>
          <w:sz w:val="22"/>
          <w:szCs w:val="22"/>
          <w:color w:val="auto"/>
        </w:rPr>
      </w:pPr>
    </w:p>
    <w:p>
      <w:pPr>
        <w:jc w:val="both"/>
        <w:ind w:left="760" w:firstLine="1494"/>
        <w:spacing w:after="0" w:line="250" w:lineRule="auto"/>
        <w:tabs>
          <w:tab w:leader="none" w:pos="257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and prior to the Participant’s Retirement Date, no facts or circumstances shall exist that could give rise to the Covered Employee’s termination of employment for Cause (as defined in the Plan) regardless of whether the Company pursues termination for Cause.</w:t>
      </w:r>
    </w:p>
    <w:p>
      <w:pPr>
        <w:spacing w:after="0" w:line="16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In order to be eligible for continued or credited time-based vesting under this Section 4.2, (i) the Participant must timely deliver to the Company and not revoke a general waiver and release of claims in favor of the Company, its affiliates and related parties, in a form provided by the Company, and (ii) except as otherwise determined or affirmatively waived by the Committee, the Participant must deliver to the Company’s Chief People Officer (or such other individual designated by the Committee), no less than six (6) months prior to the date of a Qualified Retirement, advance written notice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Qualified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Retirement Notice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of such Covered Employee’s voluntary termination of employment giving rise to a Qualified Retirement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 a requested retirement date (the “</w:t>
      </w:r>
      <w:r>
        <w:rPr>
          <w:rFonts w:ascii="Times New Roman" w:cs="Times New Roman" w:eastAsia="Times New Roman" w:hAnsi="Times New Roman"/>
          <w:sz w:val="22"/>
          <w:szCs w:val="22"/>
          <w:b w:val="1"/>
          <w:bCs w:val="1"/>
          <w:i w:val="1"/>
          <w:iCs w:val="1"/>
          <w:color w:val="auto"/>
        </w:rPr>
        <w:t>Proposed Retirement Date</w:t>
      </w:r>
      <w:r>
        <w:rPr>
          <w:rFonts w:ascii="Times New Roman" w:cs="Times New Roman" w:eastAsia="Times New Roman" w:hAnsi="Times New Roman"/>
          <w:sz w:val="22"/>
          <w:szCs w:val="22"/>
          <w:color w:val="auto"/>
        </w:rPr>
        <w:t xml:space="preserve">”). The Committee (or its designee) may, in its sole discretion, designate the employee’s retirement date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Retirement Date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which may be earlier or later than the Covered Employee’s Proposed Retirement Date.</w:t>
      </w:r>
    </w:p>
    <w:p>
      <w:pPr>
        <w:spacing w:after="0" w:line="199"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The foregoing provisions shall control the vesting of the Award in the event of a Qualified Retirement notwithstanding the provisions of any Company policy.</w:t>
      </w:r>
    </w:p>
    <w:p>
      <w:pPr>
        <w:spacing w:after="0" w:line="154" w:lineRule="exact"/>
        <w:rPr>
          <w:sz w:val="20"/>
          <w:szCs w:val="20"/>
          <w:color w:val="auto"/>
        </w:rPr>
      </w:pPr>
    </w:p>
    <w:p>
      <w:pPr>
        <w:ind w:left="520" w:hanging="512"/>
        <w:spacing w:after="0"/>
        <w:tabs>
          <w:tab w:leader="none" w:pos="52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COMPANY REACQUISITION RIGHT.</w:t>
      </w:r>
    </w:p>
    <w:p>
      <w:pPr>
        <w:spacing w:after="0" w:line="220"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5.1 Grant of Company Reacquisition Right. </w:t>
      </w:r>
      <w:r>
        <w:rPr>
          <w:rFonts w:ascii="Times New Roman" w:cs="Times New Roman" w:eastAsia="Times New Roman" w:hAnsi="Times New Roman"/>
          <w:sz w:val="21"/>
          <w:szCs w:val="21"/>
          <w:color w:val="auto"/>
        </w:rPr>
        <w:t>Except to the extent otherwise provided by the Superseding Agreement, if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in the event that the Participant’s Service terminates for any reason or no reason, with or without cause, the Participant shall forfeit and the Company shall automatically reacquire all Units which are not, as of the time of such termination, Vested Units (</w:t>
      </w:r>
      <w:r>
        <w:rPr>
          <w:rFonts w:ascii="Times New Roman" w:cs="Times New Roman" w:eastAsia="Times New Roman" w:hAnsi="Times New Roman"/>
          <w:sz w:val="21"/>
          <w:szCs w:val="21"/>
          <w:b w:val="1"/>
          <w:bCs w:val="1"/>
          <w:i w:val="1"/>
          <w:iCs w:val="1"/>
          <w:color w:val="auto"/>
        </w:rPr>
        <w:t>“Unvested Units”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and the Participant shall not be entitled to any payment therefor (the </w:t>
      </w:r>
      <w:r>
        <w:rPr>
          <w:rFonts w:ascii="Times New Roman" w:cs="Times New Roman" w:eastAsia="Times New Roman" w:hAnsi="Times New Roman"/>
          <w:sz w:val="21"/>
          <w:szCs w:val="21"/>
          <w:b w:val="1"/>
          <w:bCs w:val="1"/>
          <w:i w:val="1"/>
          <w:iCs w:val="1"/>
          <w:color w:val="auto"/>
        </w:rPr>
        <w:t>“Company Reacquisition Right”</w:t>
      </w:r>
      <w:r>
        <w:rPr>
          <w:rFonts w:ascii="Times New Roman" w:cs="Times New Roman" w:eastAsia="Times New Roman" w:hAnsi="Times New Roman"/>
          <w:sz w:val="21"/>
          <w:szCs w:val="21"/>
          <w:color w:val="auto"/>
        </w:rPr>
        <w:t>).</w:t>
      </w:r>
    </w:p>
    <w:p>
      <w:pPr>
        <w:spacing w:after="0" w:line="15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2"/>
          <w:szCs w:val="22"/>
          <w:b w:val="1"/>
          <w:bCs w:val="1"/>
          <w:color w:val="auto"/>
        </w:rPr>
        <w:t>5.2 Ownership Change Event, Non-Cash Dividends, Distributions and Adjustments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the occurrence of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Ownership Change Event, a dividend or distribution to the stockholders of the Company paid in shares of Stock or other property, or any other adjustment</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1628213759.3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3" w:name="page114"/>
    <w:bookmarkEnd w:id="113"/>
    <w:p>
      <w:pPr>
        <w:jc w:val="both"/>
        <w:spacing w:after="0" w:line="238" w:lineRule="auto"/>
        <w:rPr>
          <w:sz w:val="20"/>
          <w:szCs w:val="20"/>
          <w:color w:val="auto"/>
        </w:rPr>
      </w:pPr>
      <w:r>
        <w:rPr>
          <w:rFonts w:ascii="Times New Roman" w:cs="Times New Roman" w:eastAsia="Times New Roman" w:hAnsi="Times New Roman"/>
          <w:sz w:val="22"/>
          <w:szCs w:val="22"/>
          <w:color w:val="auto"/>
        </w:rPr>
        <w:t>upon a change in the capital structure of the Company as described in Section 9, any and all new, substituted or additional securities or other property (other than regular, periodic cash dividends paid on Stock pursuant to the Company’s dividend policy) to which the Participant is entitled by reason of the Participant’s ownership of Unvested Units shall be immediately subject to the Company Reacquisition Right and included in the terms “Units” and “Unvested Units” for all purposes of the Company Reacquisition Right with the same force and effect as the Unvested Units immediately prior to the Ownership Change Event, dividend, distribution or adjustment, as the case may be. For purposes of determining the number of Vested Units following an Ownership Change Event, dividend, distribution or adjustment, credited Service shall include all Service with any Company which is a Participating Company at the time the Service is rendered, whether or not such Company is a Participating Company both before and after any such event.</w:t>
      </w:r>
    </w:p>
    <w:p>
      <w:pPr>
        <w:spacing w:after="0" w:line="195" w:lineRule="exact"/>
        <w:rPr>
          <w:sz w:val="20"/>
          <w:szCs w:val="20"/>
          <w:color w:val="auto"/>
        </w:rPr>
      </w:pPr>
    </w:p>
    <w:p>
      <w:pPr>
        <w:ind w:left="520" w:hanging="512"/>
        <w:spacing w:after="0"/>
        <w:tabs>
          <w:tab w:leader="none" w:pos="52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SETTLEMENT OF THE AWARD</w:t>
      </w:r>
    </w:p>
    <w:p>
      <w:pPr>
        <w:spacing w:after="0" w:line="204" w:lineRule="exact"/>
        <w:rPr>
          <w:sz w:val="20"/>
          <w:szCs w:val="20"/>
          <w:color w:val="auto"/>
        </w:rPr>
      </w:pPr>
    </w:p>
    <w:p>
      <w:pPr>
        <w:ind w:right="40" w:firstLine="749"/>
        <w:spacing w:after="0" w:line="242" w:lineRule="auto"/>
        <w:rPr>
          <w:sz w:val="20"/>
          <w:szCs w:val="20"/>
          <w:color w:val="auto"/>
        </w:rPr>
      </w:pPr>
      <w:r>
        <w:rPr>
          <w:rFonts w:ascii="Times New Roman" w:cs="Times New Roman" w:eastAsia="Times New Roman" w:hAnsi="Times New Roman"/>
          <w:sz w:val="22"/>
          <w:szCs w:val="22"/>
          <w:b w:val="1"/>
          <w:bCs w:val="1"/>
          <w:color w:val="auto"/>
        </w:rPr>
        <w:t>6.1 Issuance of Shares of Stock</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“Settlement Date” with respect to a Vested Unit will be the date on which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 becomes a Vested Unit or as soon as administratively practicable but no later than 30 days thereafter. The Company shall deliver to the Participant a number of shares of Stock equal to the number of Vested Units subject to this Award. Shares of Stock issued in settlement of Units shall not be subject to any restriction on transfer other than any such restriction as may be required pursuant to Section 6.3, Section 7 or the Company’s Trading Compliance Policy.</w:t>
      </w:r>
    </w:p>
    <w:p>
      <w:pPr>
        <w:spacing w:after="0" w:line="183" w:lineRule="exact"/>
        <w:rPr>
          <w:sz w:val="20"/>
          <w:szCs w:val="20"/>
          <w:color w:val="auto"/>
        </w:rPr>
      </w:pPr>
    </w:p>
    <w:p>
      <w:pPr>
        <w:ind w:right="60" w:firstLine="749"/>
        <w:spacing w:after="0" w:line="242" w:lineRule="auto"/>
        <w:rPr>
          <w:sz w:val="20"/>
          <w:szCs w:val="20"/>
          <w:color w:val="auto"/>
        </w:rPr>
      </w:pPr>
      <w:r>
        <w:rPr>
          <w:rFonts w:ascii="Times New Roman" w:cs="Times New Roman" w:eastAsia="Times New Roman" w:hAnsi="Times New Roman"/>
          <w:sz w:val="22"/>
          <w:szCs w:val="22"/>
          <w:b w:val="1"/>
          <w:bCs w:val="1"/>
          <w:color w:val="auto"/>
        </w:rPr>
        <w:t>6.2 Beneficial Ownership of Shares; Certificate Registration</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Participant hereby authorizes the Company,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70"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6.3 Restrictions on Grant of the Award and Issuance of Shares </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grant of the Award and issuance of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1628213759.3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4" w:name="page115"/>
    <w:bookmarkEnd w:id="114"/>
    <w:p>
      <w:pPr>
        <w:ind w:left="760"/>
        <w:spacing w:after="0"/>
        <w:rPr>
          <w:sz w:val="20"/>
          <w:szCs w:val="20"/>
          <w:color w:val="auto"/>
        </w:rPr>
      </w:pPr>
      <w:r>
        <w:rPr>
          <w:rFonts w:ascii="Times New Roman" w:cs="Times New Roman" w:eastAsia="Times New Roman" w:hAnsi="Times New Roman"/>
          <w:sz w:val="22"/>
          <w:szCs w:val="22"/>
          <w:b w:val="1"/>
          <w:bCs w:val="1"/>
          <w:color w:val="auto"/>
        </w:rPr>
        <w:t>6.4 Fractional Shares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shall not be required to issue fractional shares upon the settlement of the Award</w:t>
      </w:r>
    </w:p>
    <w:p>
      <w:pPr>
        <w:spacing w:after="0" w:line="208" w:lineRule="exact"/>
        <w:rPr>
          <w:sz w:val="20"/>
          <w:szCs w:val="20"/>
          <w:color w:val="auto"/>
        </w:rPr>
      </w:pPr>
    </w:p>
    <w:p>
      <w:pPr>
        <w:ind w:left="520" w:hanging="512"/>
        <w:spacing w:after="0"/>
        <w:tabs>
          <w:tab w:leader="none" w:pos="52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TAX WITHHOLDING</w:t>
      </w:r>
      <w:r>
        <w:rPr>
          <w:rFonts w:ascii="Times New Roman" w:cs="Times New Roman" w:eastAsia="Times New Roman" w:hAnsi="Times New Roman"/>
          <w:sz w:val="22"/>
          <w:szCs w:val="22"/>
          <w:b w:val="1"/>
          <w:bCs w:val="1"/>
          <w:color w:val="auto"/>
        </w:rPr>
        <w:t>.</w:t>
      </w:r>
    </w:p>
    <w:p>
      <w:pPr>
        <w:spacing w:after="0" w:line="220" w:lineRule="exact"/>
        <w:rPr>
          <w:sz w:val="20"/>
          <w:szCs w:val="20"/>
          <w:color w:val="auto"/>
        </w:rPr>
      </w:pPr>
    </w:p>
    <w:p>
      <w:pPr>
        <w:ind w:right="260" w:firstLine="749"/>
        <w:spacing w:after="0" w:line="253" w:lineRule="auto"/>
        <w:rPr>
          <w:sz w:val="20"/>
          <w:szCs w:val="20"/>
          <w:color w:val="auto"/>
        </w:rPr>
      </w:pPr>
      <w:r>
        <w:rPr>
          <w:rFonts w:ascii="Times New Roman" w:cs="Times New Roman" w:eastAsia="Times New Roman" w:hAnsi="Times New Roman"/>
          <w:sz w:val="21"/>
          <w:szCs w:val="21"/>
          <w:b w:val="1"/>
          <w:bCs w:val="1"/>
          <w:color w:val="auto"/>
        </w:rPr>
        <w:t xml:space="preserve">7.1 Withholding Taxes. </w:t>
      </w:r>
      <w:r>
        <w:rPr>
          <w:rFonts w:ascii="Times New Roman" w:cs="Times New Roman" w:eastAsia="Times New Roman" w:hAnsi="Times New Roman"/>
          <w:sz w:val="21"/>
          <w:szCs w:val="21"/>
          <w:color w:val="auto"/>
        </w:rPr>
        <w:t>To the extent that the receipt, vesting or settlement of Vested Units results in compensation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income or wages to the Participant for federal, state, local and/or foreign tax purposes, the Participant shall make arrangements satisfactory to the Company regarding the payment of, any income tax, social insurance contribution or other applicable taxes that are required to be withheld in respect of this Award, which arrangements include the delivery of cash or cash equivalents, shares of Stock (including previously owned shares of Stock (which is not subject to any pledge or other security interest), net settlement, a broker-assisted sale, or other cashless withholding or reduction of the amount of shares otherwise issuable or delivered pursuant to this Award), other property, or any other legal consideration the Company deems appropriate.</w:t>
      </w:r>
    </w:p>
    <w:p>
      <w:pPr>
        <w:spacing w:after="0" w:line="18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If such tax obligations are satisfied through net settlement or the surrender of previously owned shares of Stock, the maximum number of shares of Stock that may be so withheld (or surrendered) shall be the number of shares of Stock that have an aggregate Fair Market Value on the date of withholding or surrender equal to the aggregate amount of such tax liabilities determined based on the greatest withholding rates for federal, state, local and/or foreign tax purposes, including payroll taxes, that may be utilized without creating adverse accounting treatment for the Company with respect to this Award, as determined by the Committee. Any fraction of a Share required to satisfy such tax obligations shall be disregarded and the amount due shall be paid instead in cash to the Participant. The Participant acknowledges that there may be adverse tax consequences upon the receipt, vesting or settlement of this Award or disposition of the underlying shares and that the Participant has been advised, and hereby is advised, to consult a tax advisor. The Participant represents that the Participant is in no manner relying on the Board, the Committee, the Company or an Affiliate or any of their respective managers, directors, officers, employees or authorized representatives (including attorneys, accountants, consultants, bankers, lenders, prospective lenders and financial representatives) for tax advice or an assessment of such tax consequences.</w:t>
      </w:r>
    </w:p>
    <w:p>
      <w:pPr>
        <w:spacing w:after="0" w:line="184" w:lineRule="exact"/>
        <w:rPr>
          <w:sz w:val="20"/>
          <w:szCs w:val="20"/>
          <w:color w:val="auto"/>
        </w:rPr>
      </w:pPr>
    </w:p>
    <w:p>
      <w:pPr>
        <w:ind w:right="80" w:firstLine="749"/>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7.2 Withholding in Shares. </w:t>
      </w:r>
      <w:r>
        <w:rPr>
          <w:rFonts w:ascii="Times New Roman" w:cs="Times New Roman" w:eastAsia="Times New Roman" w:hAnsi="Times New Roman"/>
          <w:sz w:val="22"/>
          <w:szCs w:val="22"/>
          <w:color w:val="auto"/>
        </w:rPr>
        <w:t>The Company will have the right (as determined by the Committee and as may be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Grant Notice or otherwise), but not the obligation, to require the Participant to satisfy all or any portion of a Participating Company’s tax withholding obligations by deducting from the shares of Stock otherwise deliverable to the Participant in settlement of the Award a number of whole shares having a Fair Market Value as determined by the Company as of the date on which the tax withholding obligations arise, not in excess of the amount of such tax withholding obligations as described in Section 7.1.</w:t>
      </w:r>
    </w:p>
    <w:p>
      <w:pPr>
        <w:spacing w:after="0" w:line="182" w:lineRule="exact"/>
        <w:rPr>
          <w:sz w:val="20"/>
          <w:szCs w:val="20"/>
          <w:color w:val="auto"/>
        </w:rPr>
      </w:pPr>
    </w:p>
    <w:p>
      <w:pPr>
        <w:ind w:left="520" w:hanging="512"/>
        <w:spacing w:after="0"/>
        <w:tabs>
          <w:tab w:leader="none" w:pos="52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OF CHANGE IN CONTROL</w:t>
      </w:r>
      <w:r>
        <w:rPr>
          <w:rFonts w:ascii="Times New Roman" w:cs="Times New Roman" w:eastAsia="Times New Roman" w:hAnsi="Times New Roman"/>
          <w:sz w:val="22"/>
          <w:szCs w:val="22"/>
          <w:b w:val="1"/>
          <w:bCs w:val="1"/>
          <w:i w:val="1"/>
          <w:iCs w:val="1"/>
          <w:u w:val="single" w:color="auto"/>
          <w:color w:val="auto"/>
        </w:rPr>
        <w:t>.</w:t>
      </w:r>
    </w:p>
    <w:p>
      <w:pPr>
        <w:spacing w:after="0" w:line="212" w:lineRule="exact"/>
        <w:rPr>
          <w:sz w:val="20"/>
          <w:szCs w:val="20"/>
          <w:color w:val="auto"/>
        </w:rPr>
      </w:pPr>
    </w:p>
    <w:p>
      <w:pPr>
        <w:jc w:val="both"/>
        <w:ind w:firstLine="843"/>
        <w:spacing w:after="0" w:line="244" w:lineRule="auto"/>
        <w:rPr>
          <w:sz w:val="20"/>
          <w:szCs w:val="20"/>
          <w:color w:val="auto"/>
        </w:rPr>
      </w:pPr>
      <w:r>
        <w:rPr>
          <w:rFonts w:ascii="Times New Roman" w:cs="Times New Roman" w:eastAsia="Times New Roman" w:hAnsi="Times New Roman"/>
          <w:sz w:val="22"/>
          <w:szCs w:val="22"/>
          <w:color w:val="auto"/>
        </w:rPr>
        <w:t>In the event of a Change in Control, the Award shall be subject to the definitive agreement entered into by the Company in connection with the Change in Control. Except to the extent that the Committee determines to cash out the Award in accordance with Section 13.1(c) of the Plan, the surviving, continuing, successor, or purchasing entity or parent thereof, as the case may be (the “</w:t>
      </w:r>
      <w:r>
        <w:rPr>
          <w:rFonts w:ascii="Times New Roman" w:cs="Times New Roman" w:eastAsia="Times New Roman" w:hAnsi="Times New Roman"/>
          <w:sz w:val="22"/>
          <w:szCs w:val="22"/>
          <w:b w:val="1"/>
          <w:bCs w:val="1"/>
          <w:i w:val="1"/>
          <w:iCs w:val="1"/>
          <w:color w:val="auto"/>
        </w:rPr>
        <w:t>Acquiror</w:t>
      </w:r>
      <w:r>
        <w:rPr>
          <w:rFonts w:ascii="Times New Roman" w:cs="Times New Roman" w:eastAsia="Times New Roman" w:hAnsi="Times New Roman"/>
          <w:sz w:val="22"/>
          <w:szCs w:val="22"/>
          <w:color w:val="auto"/>
        </w:rPr>
        <w:t>”), may, without the consent of the Participant, assume or continue in full force and</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1628213759.3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15" w:name="page116"/>
    <w:bookmarkEnd w:id="115"/>
    <w:p>
      <w:pPr>
        <w:jc w:val="both"/>
        <w:spacing w:after="0" w:line="237" w:lineRule="auto"/>
        <w:rPr>
          <w:sz w:val="20"/>
          <w:szCs w:val="20"/>
          <w:color w:val="auto"/>
        </w:rPr>
      </w:pPr>
      <w:r>
        <w:rPr>
          <w:rFonts w:ascii="Times New Roman" w:cs="Times New Roman" w:eastAsia="Times New Roman" w:hAnsi="Times New Roman"/>
          <w:sz w:val="22"/>
          <w:szCs w:val="22"/>
          <w:color w:val="auto"/>
        </w:rPr>
        <w:t>effect the Company’s rights and obligations under all or any portion of the outstanding Units or substitute for all or any portion of the outstanding Units substantially equivalent rights with respect to the Acquiror’s stock. For purposes of this Section, a Unit shall be deemed assumed if, following the Change in Control, the Unit confers the right to receive, subject to the terms and conditions of the Plan and this Agreement,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with the consent of the Acquiror, provide for the consideration to be received upon settlement of the Unit to consist solely of common stock of the Acquiror equal in Fair Market Value to the per share consideration received by holders of Stock pursuant to the Change in Control. The Award shall terminate and cease to be outstanding effective as of the time of consummation of the Change in Control to the extent that Units subject to the Award are neither assumed or continued by the Acquiror in connection with the Change in Control nor settled as of the time of the Change in Control.</w:t>
      </w:r>
    </w:p>
    <w:p>
      <w:pPr>
        <w:spacing w:after="0" w:line="198" w:lineRule="exact"/>
        <w:rPr>
          <w:sz w:val="20"/>
          <w:szCs w:val="20"/>
          <w:color w:val="auto"/>
        </w:rPr>
      </w:pPr>
    </w:p>
    <w:p>
      <w:pPr>
        <w:ind w:left="520" w:hanging="512"/>
        <w:spacing w:after="0"/>
        <w:tabs>
          <w:tab w:leader="none" w:pos="52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 FOR CHANGES IN CAPITAL STRUCTURE.</w:t>
      </w:r>
    </w:p>
    <w:p>
      <w:pPr>
        <w:spacing w:after="0" w:line="21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Subject to any required action by the stockholders of the Company and the requirements of Section 409A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184" w:lineRule="exact"/>
        <w:rPr>
          <w:sz w:val="20"/>
          <w:szCs w:val="20"/>
          <w:color w:val="auto"/>
        </w:rPr>
      </w:pPr>
    </w:p>
    <w:p>
      <w:pPr>
        <w:ind w:left="520" w:hanging="512"/>
        <w:spacing w:after="0"/>
        <w:tabs>
          <w:tab w:leader="none" w:pos="52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RIGHTS AS A STOCKHOLDER, DIRECTOR, EMPLOYEE OR CONSULTANT.</w:t>
      </w:r>
    </w:p>
    <w:p>
      <w:pPr>
        <w:spacing w:after="0" w:line="22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1628213759.3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6" w:name="page117"/>
    <w:bookmarkEnd w:id="116"/>
    <w:p>
      <w:pPr>
        <w:jc w:val="both"/>
        <w:spacing w:after="0" w:line="243" w:lineRule="auto"/>
        <w:rPr>
          <w:sz w:val="20"/>
          <w:szCs w:val="20"/>
          <w:color w:val="auto"/>
        </w:rPr>
      </w:pPr>
      <w:r>
        <w:rPr>
          <w:rFonts w:ascii="Times New Roman" w:cs="Times New Roman" w:eastAsia="Times New Roman" w:hAnsi="Times New Roman"/>
          <w:sz w:val="22"/>
          <w:szCs w:val="22"/>
          <w:color w:val="auto"/>
        </w:rPr>
        <w:t>record date is prior to the date the shares are issued, except as provided in Section 9.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173" w:lineRule="exact"/>
        <w:rPr>
          <w:sz w:val="20"/>
          <w:szCs w:val="20"/>
          <w:color w:val="auto"/>
        </w:rPr>
      </w:pPr>
    </w:p>
    <w:p>
      <w:pPr>
        <w:ind w:left="520" w:hanging="512"/>
        <w:spacing w:after="0"/>
        <w:tabs>
          <w:tab w:leader="none" w:pos="52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LEGENDS.</w:t>
      </w:r>
    </w:p>
    <w:p>
      <w:pPr>
        <w:spacing w:after="0" w:line="210"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2"/>
          <w:szCs w:val="22"/>
          <w:color w:val="auto"/>
        </w:rPr>
        <w:t>The Company may at any time place legends referencing any applicable federal, state or foreign securities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165" w:lineRule="exact"/>
        <w:rPr>
          <w:sz w:val="20"/>
          <w:szCs w:val="20"/>
          <w:color w:val="auto"/>
        </w:rPr>
      </w:pPr>
    </w:p>
    <w:p>
      <w:pPr>
        <w:ind w:left="520" w:hanging="512"/>
        <w:spacing w:after="0"/>
        <w:tabs>
          <w:tab w:leader="none" w:pos="52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COMPLIANCE WITH SECTION 409A.</w:t>
      </w:r>
    </w:p>
    <w:p>
      <w:pPr>
        <w:spacing w:after="0" w:line="21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It is intended that any election, payment or benefit which is made or provided pursuant to or in connection with this Award that may result in Section 409A Deferred Compensation shall comply in all respects with the applicable requirements of Section 409A (including applicable regulations or other administrative guidance thereunder, as determined by the Committee in good faith) to avoid the unfavorable tax consequences provided therein for non-compliance. In connection with effecting such compliance with Section 409A, the following shall apply:</w:t>
      </w:r>
    </w:p>
    <w:p>
      <w:pPr>
        <w:spacing w:after="0" w:line="173" w:lineRule="exact"/>
        <w:rPr>
          <w:sz w:val="20"/>
          <w:szCs w:val="20"/>
          <w:color w:val="auto"/>
        </w:rPr>
      </w:pPr>
    </w:p>
    <w:p>
      <w:pPr>
        <w:ind w:right="8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12.1 Separation from Service; Required Delay in Payment to Specified Employee. </w:t>
      </w:r>
      <w:r>
        <w:rPr>
          <w:rFonts w:ascii="Times New Roman" w:cs="Times New Roman" w:eastAsia="Times New Roman" w:hAnsi="Times New Roman"/>
          <w:sz w:val="22"/>
          <w:szCs w:val="22"/>
          <w:color w:val="auto"/>
        </w:rPr>
        <w:t>Notwithstanding anything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forth herein to the contrary, no amount payable pursuant to this Agreement on account of the Participant’s termination of Service which constitutes a “deferral of compensation” within the meaning of the Treasury Regulations issued pursuant to Section 409A of the Code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Section 409A Regulations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shall be paid unless and until the Participant has incurred a “separation from service” within the meaning of the Section 409A 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shall be paid to the Participant before the date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Delayed Payment Date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which is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in a lump sum on the Delayed Payment Date.</w:t>
      </w:r>
    </w:p>
    <w:p>
      <w:pPr>
        <w:spacing w:after="0" w:line="197" w:lineRule="exact"/>
        <w:rPr>
          <w:sz w:val="20"/>
          <w:szCs w:val="20"/>
          <w:color w:val="auto"/>
        </w:rPr>
      </w:pPr>
    </w:p>
    <w:p>
      <w:pPr>
        <w:ind w:right="20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12.2 Other Changes in Time of Payment. </w:t>
      </w:r>
      <w:r>
        <w:rPr>
          <w:rFonts w:ascii="Times New Roman" w:cs="Times New Roman" w:eastAsia="Times New Roman" w:hAnsi="Times New Roman"/>
          <w:sz w:val="22"/>
          <w:szCs w:val="22"/>
          <w:color w:val="auto"/>
        </w:rPr>
        <w:t>Neither the Participant nor the Company shall take any action to accelerate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delay the payment of any benefits under this Agreement in any manner which would not be in compliance with the Section 409A Regulations.</w:t>
      </w:r>
    </w:p>
    <w:p>
      <w:pPr>
        <w:spacing w:after="0" w:line="181" w:lineRule="exact"/>
        <w:rPr>
          <w:sz w:val="20"/>
          <w:szCs w:val="20"/>
          <w:color w:val="auto"/>
        </w:rPr>
      </w:pPr>
    </w:p>
    <w:p>
      <w:pPr>
        <w:ind w:right="60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12.3 Amendments to Comply with Section 409A; Indemnification. </w:t>
      </w:r>
      <w:r>
        <w:rPr>
          <w:rFonts w:ascii="Times New Roman" w:cs="Times New Roman" w:eastAsia="Times New Roman" w:hAnsi="Times New Roman"/>
          <w:sz w:val="22"/>
          <w:szCs w:val="22"/>
          <w:color w:val="auto"/>
        </w:rPr>
        <w:t>Notwithstanding any other provision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the contrary, the Company is authorized to amend this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1628213759.3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7" w:name="page118"/>
    <w:bookmarkEnd w:id="117"/>
    <w:p>
      <w:pPr>
        <w:spacing w:after="0" w:line="241" w:lineRule="auto"/>
        <w:rPr>
          <w:sz w:val="20"/>
          <w:szCs w:val="20"/>
          <w:color w:val="auto"/>
        </w:rPr>
      </w:pPr>
      <w:r>
        <w:rPr>
          <w:rFonts w:ascii="Times New Roman" w:cs="Times New Roman" w:eastAsia="Times New Roman" w:hAnsi="Times New Roman"/>
          <w:sz w:val="22"/>
          <w:szCs w:val="22"/>
          <w:color w:val="auto"/>
        </w:rPr>
        <w:t>Agreement, to void or amend any election made by the Participant under this Agreement and/or to delay the payment of any monies and/or provision of any benefits in such manner as may be determined by the Company, in its discretion, to be necessary or appropriate to comply with the Section 409A Regulations without prior notice to or consent of the Participant.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w:t>
      </w:r>
    </w:p>
    <w:p>
      <w:pPr>
        <w:spacing w:after="0" w:line="173" w:lineRule="exact"/>
        <w:rPr>
          <w:sz w:val="20"/>
          <w:szCs w:val="20"/>
          <w:color w:val="auto"/>
        </w:rPr>
      </w:pPr>
    </w:p>
    <w:p>
      <w:pPr>
        <w:ind w:right="60" w:firstLine="749"/>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12.4 Advice of Independent Tax Advisor. </w:t>
      </w:r>
      <w:r>
        <w:rPr>
          <w:rFonts w:ascii="Times New Roman" w:cs="Times New Roman" w:eastAsia="Times New Roman" w:hAnsi="Times New Roman"/>
          <w:sz w:val="22"/>
          <w:szCs w:val="22"/>
          <w:color w:val="auto"/>
        </w:rPr>
        <w:t>The Company has not obtained a tax ruling or other confirmation from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Internal 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w:t>
      </w:r>
    </w:p>
    <w:p>
      <w:pPr>
        <w:spacing w:after="0" w:line="184" w:lineRule="exact"/>
        <w:rPr>
          <w:sz w:val="20"/>
          <w:szCs w:val="20"/>
          <w:color w:val="auto"/>
        </w:rPr>
      </w:pPr>
    </w:p>
    <w:p>
      <w:pPr>
        <w:ind w:left="520" w:hanging="512"/>
        <w:spacing w:after="0"/>
        <w:tabs>
          <w:tab w:leader="none" w:pos="52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 PROVISIONS.</w:t>
      </w:r>
    </w:p>
    <w:p>
      <w:pPr>
        <w:spacing w:after="0" w:line="206" w:lineRule="exact"/>
        <w:rPr>
          <w:sz w:val="20"/>
          <w:szCs w:val="20"/>
          <w:color w:val="auto"/>
        </w:rPr>
      </w:pPr>
    </w:p>
    <w:p>
      <w:pPr>
        <w:ind w:right="380" w:firstLine="749"/>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13.1 Termination or Amendment. </w:t>
      </w:r>
      <w:r>
        <w:rPr>
          <w:rFonts w:ascii="Times New Roman" w:cs="Times New Roman" w:eastAsia="Times New Roman" w:hAnsi="Times New Roman"/>
          <w:sz w:val="21"/>
          <w:szCs w:val="21"/>
          <w:color w:val="auto"/>
        </w:rPr>
        <w:t>The Committee may terminate or amend the Plan or this Agreement at any time;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provided, however, that except as provided in Section 8 in connection with a Change in Control, no such termination or amendment may have a materially adverse effect on the Participant’s rights under this Agreement without the consent of the Participant unless such termination or amendment is necessary to comply with applicable law or government regulation, including, but not limited to, Section 409A. No amendment or addition to this Agreement shall be effective unless in writing.</w:t>
      </w:r>
    </w:p>
    <w:p>
      <w:pPr>
        <w:spacing w:after="0" w:line="155"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13.2 Nontransferability of the Award. </w:t>
      </w:r>
      <w:r>
        <w:rPr>
          <w:rFonts w:ascii="Times New Roman" w:cs="Times New Roman" w:eastAsia="Times New Roman" w:hAnsi="Times New Roman"/>
          <w:sz w:val="22"/>
          <w:szCs w:val="22"/>
          <w:color w:val="auto"/>
        </w:rPr>
        <w:t>Prior to the issuance of shares of Stock on the applicable Settlement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72" w:lineRule="exact"/>
        <w:rPr>
          <w:sz w:val="20"/>
          <w:szCs w:val="20"/>
          <w:color w:val="auto"/>
        </w:rPr>
      </w:pPr>
    </w:p>
    <w:p>
      <w:pPr>
        <w:ind w:right="1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13.3 Further Instruments. </w:t>
      </w:r>
      <w:r>
        <w:rPr>
          <w:rFonts w:ascii="Times New Roman" w:cs="Times New Roman" w:eastAsia="Times New Roman" w:hAnsi="Times New Roman"/>
          <w:sz w:val="22"/>
          <w:szCs w:val="22"/>
          <w:color w:val="auto"/>
        </w:rPr>
        <w:t>The parties hereto agree to execute such further instruments and to take such further action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may reasonably be necessary to carry out the intent of this Agreement.</w:t>
      </w:r>
    </w:p>
    <w:p>
      <w:pPr>
        <w:spacing w:after="0" w:line="163" w:lineRule="exact"/>
        <w:rPr>
          <w:sz w:val="20"/>
          <w:szCs w:val="20"/>
          <w:color w:val="auto"/>
        </w:rPr>
      </w:pPr>
    </w:p>
    <w:p>
      <w:pPr>
        <w:jc w:val="both"/>
        <w:ind w:right="600" w:firstLine="749"/>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13.4 Binding Effect. </w:t>
      </w:r>
      <w:r>
        <w:rPr>
          <w:rFonts w:ascii="Times New Roman" w:cs="Times New Roman" w:eastAsia="Times New Roman" w:hAnsi="Times New Roman"/>
          <w:sz w:val="22"/>
          <w:szCs w:val="22"/>
          <w:color w:val="auto"/>
        </w:rPr>
        <w:t>This Agreement shall inure to the benefit of the successors and assigns of the Company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restrictions on transfer set forth herein, be binding upon the Participant and the Participant’s heirs, executors, administrators, successors and assigns.</w:t>
      </w:r>
    </w:p>
    <w:p>
      <w:pPr>
        <w:spacing w:after="0" w:line="162" w:lineRule="exact"/>
        <w:rPr>
          <w:sz w:val="20"/>
          <w:szCs w:val="20"/>
          <w:color w:val="auto"/>
        </w:rPr>
      </w:pPr>
    </w:p>
    <w:p>
      <w:pPr>
        <w:ind w:right="1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13.5 Delivery of Documents and Notices. </w:t>
      </w:r>
      <w:r>
        <w:rPr>
          <w:rFonts w:ascii="Times New Roman" w:cs="Times New Roman" w:eastAsia="Times New Roman" w:hAnsi="Times New Roman"/>
          <w:sz w:val="22"/>
          <w:szCs w:val="22"/>
          <w:color w:val="auto"/>
        </w:rPr>
        <w:t>Any document relating to participation in the Plan or any notice required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permitted hereunder shall be given in writing and shall be</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1628213759.3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8" w:name="page119"/>
    <w:bookmarkEnd w:id="118"/>
    <w:p>
      <w:pPr>
        <w:ind w:right="200"/>
        <w:spacing w:after="0" w:line="258" w:lineRule="auto"/>
        <w:rPr>
          <w:sz w:val="20"/>
          <w:szCs w:val="20"/>
          <w:color w:val="auto"/>
        </w:rPr>
      </w:pPr>
      <w:r>
        <w:rPr>
          <w:rFonts w:ascii="Times New Roman" w:cs="Times New Roman" w:eastAsia="Times New Roman" w:hAnsi="Times New Roman"/>
          <w:sz w:val="21"/>
          <w:szCs w:val="21"/>
          <w:color w:val="auto"/>
        </w:rPr>
        <w:t>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54" w:lineRule="exact"/>
        <w:rPr>
          <w:sz w:val="20"/>
          <w:szCs w:val="20"/>
          <w:color w:val="auto"/>
        </w:rPr>
      </w:pPr>
    </w:p>
    <w:p>
      <w:pPr>
        <w:ind w:left="2040" w:hanging="535"/>
        <w:spacing w:after="0"/>
        <w:tabs>
          <w:tab w:leader="none" w:pos="204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Description of Electronic Delivery and Signature. </w:t>
      </w:r>
      <w:r>
        <w:rPr>
          <w:rFonts w:ascii="Times New Roman" w:cs="Times New Roman" w:eastAsia="Times New Roman" w:hAnsi="Times New Roman"/>
          <w:sz w:val="22"/>
          <w:szCs w:val="22"/>
          <w:color w:val="auto"/>
        </w:rPr>
        <w:t>The Plan documents, which may include but do not</w:t>
      </w:r>
    </w:p>
    <w:p>
      <w:pPr>
        <w:spacing w:after="0" w:line="20" w:lineRule="exact"/>
        <w:rPr>
          <w:rFonts w:ascii="Times New Roman" w:cs="Times New Roman" w:eastAsia="Times New Roman" w:hAnsi="Times New Roman"/>
          <w:sz w:val="22"/>
          <w:szCs w:val="22"/>
          <w:b w:val="1"/>
          <w:bCs w:val="1"/>
          <w:color w:val="auto"/>
        </w:rPr>
      </w:pPr>
    </w:p>
    <w:p>
      <w:pPr>
        <w:ind w:right="160"/>
        <w:spacing w:after="0" w:line="23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necessarily include: the Plan,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spacing w:after="0" w:line="171"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Consent to Electronic Delivery and Signature. </w:t>
      </w:r>
      <w:r>
        <w:rPr>
          <w:rFonts w:ascii="Times New Roman" w:cs="Times New Roman" w:eastAsia="Times New Roman" w:hAnsi="Times New Roman"/>
          <w:sz w:val="22"/>
          <w:szCs w:val="22"/>
          <w:color w:val="auto"/>
        </w:rPr>
        <w:t>The Participant acknowledges that the Participant has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read Section 13.5(a) of this Agreement and consents to the electronic delivery of the Plan documents and, if permitted by the Company, the delivery of the Grant Notice, as described in Section 13.5(a).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189" w:lineRule="exact"/>
        <w:rPr>
          <w:sz w:val="20"/>
          <w:szCs w:val="20"/>
          <w:color w:val="auto"/>
        </w:rPr>
      </w:pPr>
    </w:p>
    <w:p>
      <w:pPr>
        <w:ind w:right="60" w:firstLine="749"/>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13.6 Integrated Agreement. </w:t>
      </w:r>
      <w:r>
        <w:rPr>
          <w:rFonts w:ascii="Times New Roman" w:cs="Times New Roman" w:eastAsia="Times New Roman" w:hAnsi="Times New Roman"/>
          <w:sz w:val="22"/>
          <w:szCs w:val="22"/>
          <w:color w:val="auto"/>
        </w:rPr>
        <w:t>The Grant Notice, this Agreement and the Plan, together with the Superseding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any,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1628213759.3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9" w:name="page120"/>
    <w:bookmarkEnd w:id="119"/>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13.7 Applicable Law. </w:t>
      </w:r>
      <w:r>
        <w:rPr>
          <w:rFonts w:ascii="Times New Roman" w:cs="Times New Roman" w:eastAsia="Times New Roman" w:hAnsi="Times New Roman"/>
          <w:sz w:val="22"/>
          <w:szCs w:val="22"/>
          <w:color w:val="auto"/>
        </w:rPr>
        <w:t>This Agreement shall be governed by the laws of the State of Delaware as such laws are applied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agreements between Delaware residents entered into and to be performed entirely within the State of Delaware.</w:t>
      </w:r>
    </w:p>
    <w:p>
      <w:pPr>
        <w:spacing w:after="0" w:line="163"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13.8 Counterparts. </w:t>
      </w:r>
      <w:r>
        <w:rPr>
          <w:rFonts w:ascii="Times New Roman" w:cs="Times New Roman" w:eastAsia="Times New Roman" w:hAnsi="Times New Roman"/>
          <w:sz w:val="22"/>
          <w:szCs w:val="22"/>
          <w:color w:val="auto"/>
        </w:rPr>
        <w:t>The Grant Notice may be executed in counterparts, each of which shall be deemed an original, but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of which together shall constitute one and the same instrument.</w:t>
      </w:r>
    </w:p>
    <w:p>
      <w:pPr>
        <w:spacing w:after="0" w:line="2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10</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1628213759.3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04" w:right="51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
        <w:spacing w:after="0"/>
        <w:rPr>
          <w:sz w:val="20"/>
          <w:szCs w:val="20"/>
          <w:color w:val="auto"/>
        </w:rPr>
      </w:pPr>
      <w:r>
        <w:rPr>
          <w:rFonts w:ascii="Arial" w:cs="Arial" w:eastAsia="Arial" w:hAnsi="Arial"/>
          <w:sz w:val="47"/>
          <w:szCs w:val="47"/>
          <w:b w:val="1"/>
          <w:bCs w:val="1"/>
          <w:color w:val="004160"/>
        </w:rPr>
        <w:t>PALOMAR HOLDINGS, INC.</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36"/>
          <w:szCs w:val="36"/>
          <w:color w:val="004160"/>
        </w:rPr>
        <w:t>INSIDER TRADING POLICY</w:t>
      </w:r>
    </w:p>
    <w:p>
      <w:pPr>
        <w:spacing w:after="0" w:line="199" w:lineRule="exact"/>
        <w:rPr>
          <w:sz w:val="20"/>
          <w:szCs w:val="20"/>
          <w:color w:val="auto"/>
        </w:rPr>
      </w:pPr>
    </w:p>
    <w:p>
      <w:pPr>
        <w:ind w:left="728" w:right="320" w:hanging="728"/>
        <w:spacing w:after="0" w:line="244" w:lineRule="auto"/>
        <w:tabs>
          <w:tab w:leader="none" w:pos="728" w:val="left"/>
        </w:tabs>
        <w:numPr>
          <w:ilvl w:val="0"/>
          <w:numId w:val="86"/>
        </w:numPr>
        <w:rPr>
          <w:rFonts w:ascii="Arial" w:cs="Arial" w:eastAsia="Arial" w:hAnsi="Arial"/>
          <w:sz w:val="18"/>
          <w:szCs w:val="18"/>
          <w:color w:val="004160"/>
        </w:rPr>
      </w:pPr>
      <w:r>
        <w:rPr>
          <w:rFonts w:ascii="Arial" w:cs="Arial" w:eastAsia="Arial" w:hAnsi="Arial"/>
          <w:sz w:val="18"/>
          <w:szCs w:val="18"/>
          <w:u w:val="single" w:color="auto"/>
          <w:color w:val="004160"/>
        </w:rPr>
        <w:t>Purpose of this Policy.</w:t>
      </w:r>
      <w:r>
        <w:rPr>
          <w:rFonts w:ascii="Arial" w:cs="Arial" w:eastAsia="Arial" w:hAnsi="Arial"/>
          <w:sz w:val="18"/>
          <w:szCs w:val="18"/>
          <w:color w:val="004160"/>
        </w:rPr>
        <w:t xml:space="preserve"> The purchase, sale, or gifting of securities while possessing material non-public information or the disclosure of inside information to others who may trade in such securities is sometimes referred to as “insider trading” and is prohibited by federal and state securities laws. As an essential part of your work, you may have access to material non-public information about Palomar Holdings, Inc., its divisions and majority-owned or controlled subsidiaries (collectively, “</w:t>
      </w:r>
      <w:r>
        <w:rPr>
          <w:rFonts w:ascii="Arial" w:cs="Arial" w:eastAsia="Arial" w:hAnsi="Arial"/>
          <w:sz w:val="18"/>
          <w:szCs w:val="18"/>
          <w:b w:val="1"/>
          <w:bCs w:val="1"/>
          <w:i w:val="1"/>
          <w:iCs w:val="1"/>
          <w:color w:val="004160"/>
        </w:rPr>
        <w:t>Palomar</w:t>
      </w:r>
      <w:r>
        <w:rPr>
          <w:rFonts w:ascii="Arial" w:cs="Arial" w:eastAsia="Arial" w:hAnsi="Arial"/>
          <w:sz w:val="18"/>
          <w:szCs w:val="18"/>
          <w:color w:val="004160"/>
        </w:rPr>
        <w:t>”), including information about other companies with which Palomar does, or may do, business. Palomar has adopted this Insider Trading Policy (the “</w:t>
      </w:r>
      <w:r>
        <w:rPr>
          <w:rFonts w:ascii="Arial" w:cs="Arial" w:eastAsia="Arial" w:hAnsi="Arial"/>
          <w:sz w:val="18"/>
          <w:szCs w:val="18"/>
          <w:b w:val="1"/>
          <w:bCs w:val="1"/>
          <w:i w:val="1"/>
          <w:iCs w:val="1"/>
          <w:color w:val="004160"/>
        </w:rPr>
        <w:t>Policy</w:t>
      </w:r>
      <w:r>
        <w:rPr>
          <w:rFonts w:ascii="Arial" w:cs="Arial" w:eastAsia="Arial" w:hAnsi="Arial"/>
          <w:sz w:val="18"/>
          <w:szCs w:val="18"/>
          <w:color w:val="004160"/>
        </w:rPr>
        <w:t>”) to assist Palomar in preventing illegal insider trading and to avoid even the appearance of improper conduct on the part of any Palomar director, officer, employee or contractor. This Policy is designed to protect and further Palomar’s reputation for integrity and ethical conduct. However, the ultimate responsibility for complying with the securities laws, adhering to this Policy and avoiding improper transactions rest with you. It is imperative that you use your best judgment and that you ask questions where you are uncertain how to handle a particular situation.</w:t>
      </w:r>
    </w:p>
    <w:p>
      <w:pPr>
        <w:spacing w:after="0" w:line="177" w:lineRule="exact"/>
        <w:rPr>
          <w:rFonts w:ascii="Arial" w:cs="Arial" w:eastAsia="Arial" w:hAnsi="Arial"/>
          <w:sz w:val="18"/>
          <w:szCs w:val="18"/>
          <w:color w:val="004160"/>
        </w:rPr>
      </w:pPr>
    </w:p>
    <w:p>
      <w:pPr>
        <w:ind w:left="728" w:right="480" w:hanging="728"/>
        <w:spacing w:after="0" w:line="265" w:lineRule="auto"/>
        <w:tabs>
          <w:tab w:leader="none" w:pos="728" w:val="left"/>
        </w:tabs>
        <w:numPr>
          <w:ilvl w:val="0"/>
          <w:numId w:val="86"/>
        </w:numPr>
        <w:rPr>
          <w:rFonts w:ascii="Arial" w:cs="Arial" w:eastAsia="Arial" w:hAnsi="Arial"/>
          <w:sz w:val="17"/>
          <w:szCs w:val="17"/>
          <w:color w:val="004160"/>
        </w:rPr>
      </w:pPr>
      <w:r>
        <w:rPr>
          <w:rFonts w:ascii="Arial" w:cs="Arial" w:eastAsia="Arial" w:hAnsi="Arial"/>
          <w:sz w:val="17"/>
          <w:szCs w:val="17"/>
          <w:u w:val="single" w:color="auto"/>
          <w:color w:val="004160"/>
        </w:rPr>
        <w:t>Policy Statement.</w:t>
      </w:r>
      <w:r>
        <w:rPr>
          <w:rFonts w:ascii="Arial" w:cs="Arial" w:eastAsia="Arial" w:hAnsi="Arial"/>
          <w:sz w:val="17"/>
          <w:szCs w:val="17"/>
          <w:color w:val="004160"/>
        </w:rPr>
        <w:t xml:space="preserve"> This memorandum sets forth the Policy of Palomar regarding the trading in Palomar’s securities as described below and the disclosure or use of information concerning Palomar. Employees, consultants, contractors, officers, members of the Board of Directors and entities (such as trusts, limited partnerships and corporations) over which such individuals have or share voting control (individually referred to as a “</w:t>
      </w:r>
      <w:r>
        <w:rPr>
          <w:rFonts w:ascii="Arial" w:cs="Arial" w:eastAsia="Arial" w:hAnsi="Arial"/>
          <w:sz w:val="17"/>
          <w:szCs w:val="17"/>
          <w:b w:val="1"/>
          <w:bCs w:val="1"/>
          <w:i w:val="1"/>
          <w:iCs w:val="1"/>
          <w:color w:val="004160"/>
        </w:rPr>
        <w:t>person</w:t>
      </w:r>
      <w:r>
        <w:rPr>
          <w:rFonts w:ascii="Arial" w:cs="Arial" w:eastAsia="Arial" w:hAnsi="Arial"/>
          <w:sz w:val="17"/>
          <w:szCs w:val="17"/>
          <w:color w:val="004160"/>
        </w:rPr>
        <w:t>” and collectively referred to as “</w:t>
      </w:r>
      <w:r>
        <w:rPr>
          <w:rFonts w:ascii="Arial" w:cs="Arial" w:eastAsia="Arial" w:hAnsi="Arial"/>
          <w:sz w:val="17"/>
          <w:szCs w:val="17"/>
          <w:b w:val="1"/>
          <w:bCs w:val="1"/>
          <w:i w:val="1"/>
          <w:iCs w:val="1"/>
          <w:color w:val="004160"/>
        </w:rPr>
        <w:t>persons</w:t>
      </w:r>
      <w:r>
        <w:rPr>
          <w:rFonts w:ascii="Arial" w:cs="Arial" w:eastAsia="Arial" w:hAnsi="Arial"/>
          <w:sz w:val="17"/>
          <w:szCs w:val="17"/>
          <w:color w:val="004160"/>
        </w:rPr>
        <w:t>”) are prohibited, while aware of material non-public information, directly, or indirectly through family members or other persons or entities, from engaging in transactions involving Palomar securities, except as otherwise provided for under this Policy.</w:t>
      </w:r>
    </w:p>
    <w:p>
      <w:pPr>
        <w:spacing w:after="0" w:line="162" w:lineRule="exact"/>
        <w:rPr>
          <w:rFonts w:ascii="Arial" w:cs="Arial" w:eastAsia="Arial" w:hAnsi="Arial"/>
          <w:sz w:val="17"/>
          <w:szCs w:val="17"/>
          <w:color w:val="004160"/>
        </w:rPr>
      </w:pPr>
    </w:p>
    <w:p>
      <w:pPr>
        <w:ind w:left="728" w:right="260" w:hanging="728"/>
        <w:spacing w:after="0" w:line="244" w:lineRule="auto"/>
        <w:tabs>
          <w:tab w:leader="none" w:pos="728" w:val="left"/>
        </w:tabs>
        <w:numPr>
          <w:ilvl w:val="0"/>
          <w:numId w:val="86"/>
        </w:numPr>
        <w:rPr>
          <w:rFonts w:ascii="Arial" w:cs="Arial" w:eastAsia="Arial" w:hAnsi="Arial"/>
          <w:sz w:val="18"/>
          <w:szCs w:val="18"/>
          <w:color w:val="004160"/>
        </w:rPr>
      </w:pPr>
      <w:r>
        <w:rPr>
          <w:rFonts w:ascii="Arial" w:cs="Arial" w:eastAsia="Arial" w:hAnsi="Arial"/>
          <w:sz w:val="18"/>
          <w:szCs w:val="18"/>
          <w:u w:val="single" w:color="auto"/>
          <w:color w:val="004160"/>
        </w:rPr>
        <w:t>Penalties for Insider Trading.</w:t>
      </w:r>
      <w:r>
        <w:rPr>
          <w:rFonts w:ascii="Arial" w:cs="Arial" w:eastAsia="Arial" w:hAnsi="Arial"/>
          <w:sz w:val="18"/>
          <w:szCs w:val="18"/>
          <w:color w:val="004160"/>
        </w:rPr>
        <w:t xml:space="preserve"> The penalties for violating the insider trading laws include imprisonment, disgorgement of profits gained or losses avoided, and substantial civil and criminal fines. As of the effective date of this Policy, civil fines can reach up to three times the profit gained or loss avoided, and criminal fines can reach up to $5.0 million for individuals and $25.0 million for entities. Individuals and entities considered to be “control person” who knew or recklessly disregarded the fact that a “controlled person” was likely to engage in insider trading also may be civilly liable. As of the effective date of this Policy, the civil liability of “control persons” can be the greater of (i) $1.0 million or (iii) three times the amount of the profit gained or loss avoided. For this purpose, a “control person” is an entity or person who directly or indirectly controls another person, and could include Palomar, its directors and officers. Under some circumstances, individuals who trade on inside information may also be subjected to private civil lawsuits. Moreover, as the material non-public information of Palomar is the property of Palomar, trading on or tipping Palomar confidential information could result in serious employment sanctions, including dismissal.</w:t>
      </w:r>
    </w:p>
    <w:p>
      <w:pPr>
        <w:spacing w:after="0" w:line="163" w:lineRule="exact"/>
        <w:rPr>
          <w:rFonts w:ascii="Arial" w:cs="Arial" w:eastAsia="Arial" w:hAnsi="Arial"/>
          <w:sz w:val="18"/>
          <w:szCs w:val="18"/>
          <w:color w:val="004160"/>
        </w:rPr>
      </w:pPr>
    </w:p>
    <w:p>
      <w:pPr>
        <w:ind w:left="748"/>
        <w:spacing w:after="0"/>
        <w:rPr>
          <w:rFonts w:ascii="Arial" w:cs="Arial" w:eastAsia="Arial" w:hAnsi="Arial"/>
          <w:sz w:val="18"/>
          <w:szCs w:val="18"/>
          <w:color w:val="004160"/>
        </w:rPr>
      </w:pPr>
      <w:r>
        <w:rPr>
          <w:rFonts w:ascii="Arial" w:cs="Arial" w:eastAsia="Arial" w:hAnsi="Arial"/>
          <w:sz w:val="18"/>
          <w:szCs w:val="18"/>
          <w:color w:val="004160"/>
        </w:rPr>
        <w:t>You should be aware that the surveillance techniques of the stock markets and the Financial</w:t>
      </w:r>
    </w:p>
    <w:p>
      <w:pPr>
        <w:spacing w:after="0" w:line="27" w:lineRule="exact"/>
        <w:rPr>
          <w:rFonts w:ascii="Arial" w:cs="Arial" w:eastAsia="Arial" w:hAnsi="Arial"/>
          <w:sz w:val="18"/>
          <w:szCs w:val="18"/>
          <w:color w:val="004160"/>
        </w:rPr>
      </w:pPr>
    </w:p>
    <w:p>
      <w:pPr>
        <w:ind w:left="748" w:right="280"/>
        <w:spacing w:after="0" w:line="250" w:lineRule="auto"/>
        <w:rPr>
          <w:rFonts w:ascii="Arial" w:cs="Arial" w:eastAsia="Arial" w:hAnsi="Arial"/>
          <w:sz w:val="18"/>
          <w:szCs w:val="18"/>
          <w:color w:val="004160"/>
        </w:rPr>
      </w:pPr>
      <w:r>
        <w:rPr>
          <w:rFonts w:ascii="Arial" w:cs="Arial" w:eastAsia="Arial" w:hAnsi="Arial"/>
          <w:sz w:val="18"/>
          <w:szCs w:val="18"/>
          <w:color w:val="004160"/>
        </w:rPr>
        <w:t>Industry Regulatory Authority, Inc. (“</w:t>
      </w:r>
      <w:r>
        <w:rPr>
          <w:rFonts w:ascii="Arial" w:cs="Arial" w:eastAsia="Arial" w:hAnsi="Arial"/>
          <w:sz w:val="18"/>
          <w:szCs w:val="18"/>
          <w:b w:val="1"/>
          <w:bCs w:val="1"/>
          <w:i w:val="1"/>
          <w:iCs w:val="1"/>
          <w:color w:val="004160"/>
        </w:rPr>
        <w:t>FINRA</w:t>
      </w:r>
      <w:r>
        <w:rPr>
          <w:rFonts w:ascii="Arial" w:cs="Arial" w:eastAsia="Arial" w:hAnsi="Arial"/>
          <w:sz w:val="18"/>
          <w:szCs w:val="18"/>
          <w:color w:val="004160"/>
        </w:rPr>
        <w:t>”) are becoming more sophisticated all the time, and the chance that authorities will detect and prosecute even a small insider trading violation is a significant one.</w:t>
      </w:r>
    </w:p>
    <w:p>
      <w:pPr>
        <w:spacing w:after="0" w:line="171" w:lineRule="exact"/>
        <w:rPr>
          <w:rFonts w:ascii="Arial" w:cs="Arial" w:eastAsia="Arial" w:hAnsi="Arial"/>
          <w:sz w:val="18"/>
          <w:szCs w:val="18"/>
          <w:color w:val="004160"/>
        </w:rPr>
      </w:pPr>
    </w:p>
    <w:p>
      <w:pPr>
        <w:ind w:left="728" w:right="420" w:hanging="728"/>
        <w:spacing w:after="0" w:line="261" w:lineRule="auto"/>
        <w:tabs>
          <w:tab w:leader="none" w:pos="728" w:val="left"/>
        </w:tabs>
        <w:numPr>
          <w:ilvl w:val="0"/>
          <w:numId w:val="86"/>
        </w:numPr>
        <w:rPr>
          <w:rFonts w:ascii="Arial" w:cs="Arial" w:eastAsia="Arial" w:hAnsi="Arial"/>
          <w:sz w:val="18"/>
          <w:szCs w:val="18"/>
          <w:color w:val="004160"/>
        </w:rPr>
      </w:pPr>
      <w:r>
        <w:rPr>
          <w:rFonts w:ascii="Arial" w:cs="Arial" w:eastAsia="Arial" w:hAnsi="Arial"/>
          <w:sz w:val="18"/>
          <w:szCs w:val="18"/>
          <w:u w:val="single" w:color="auto"/>
          <w:color w:val="004160"/>
        </w:rPr>
        <w:t>Questions and Delivery of this Policy.</w:t>
      </w:r>
      <w:r>
        <w:rPr>
          <w:rFonts w:ascii="Arial" w:cs="Arial" w:eastAsia="Arial" w:hAnsi="Arial"/>
          <w:sz w:val="18"/>
          <w:szCs w:val="18"/>
          <w:color w:val="004160"/>
        </w:rPr>
        <w:t xml:space="preserve"> To the extent you have any questions related to this Policy or the topics addressed hereby, please contact Palomar’s Compliance Officer (such person, the “</w:t>
      </w:r>
      <w:r>
        <w:rPr>
          <w:rFonts w:ascii="Arial" w:cs="Arial" w:eastAsia="Arial" w:hAnsi="Arial"/>
          <w:sz w:val="18"/>
          <w:szCs w:val="18"/>
          <w:b w:val="1"/>
          <w:bCs w:val="1"/>
          <w:i w:val="1"/>
          <w:iCs w:val="1"/>
          <w:color w:val="004160"/>
        </w:rPr>
        <w:t>Compliance Officer</w:t>
      </w:r>
      <w:r>
        <w:rPr>
          <w:rFonts w:ascii="Arial" w:cs="Arial" w:eastAsia="Arial" w:hAnsi="Arial"/>
          <w:sz w:val="18"/>
          <w:szCs w:val="18"/>
          <w:color w:val="004160"/>
        </w:rPr>
        <w:t>”).The Compliance Officer shall be the Chief Legal Officer of Palomar.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590550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8"/>
          </w:cols>
          <w:pgMar w:left="492" w:top="779" w:right="339" w:bottom="1440" w:gutter="0" w:footer="0" w:header="0"/>
        </w:sectPr>
      </w:pPr>
    </w:p>
    <w:bookmarkStart w:id="121" w:name="page122"/>
    <w:bookmarkEnd w:id="121"/>
    <w:p>
      <w:pPr>
        <w:spacing w:after="0" w:line="369" w:lineRule="exact"/>
        <w:rPr>
          <w:sz w:val="20"/>
          <w:szCs w:val="20"/>
          <w:color w:val="auto"/>
        </w:rPr>
      </w:pPr>
    </w:p>
    <w:p>
      <w:pPr>
        <w:ind w:left="748"/>
        <w:spacing w:after="0" w:line="245" w:lineRule="auto"/>
        <w:rPr>
          <w:sz w:val="20"/>
          <w:szCs w:val="20"/>
          <w:color w:val="auto"/>
        </w:rPr>
      </w:pPr>
      <w:r>
        <w:rPr>
          <w:rFonts w:ascii="Arial" w:cs="Arial" w:eastAsia="Arial" w:hAnsi="Arial"/>
          <w:sz w:val="18"/>
          <w:szCs w:val="18"/>
          <w:color w:val="004160"/>
        </w:rPr>
        <w:t xml:space="preserve">This Policy will be delivered to all existing persons covered by this Policy upon its adoption by Palomar, and to all new directors, employees, officers and where appropriate, contractors and consultants, at the commencement of their employment or association with Palomar. Thereafter, this Policy shall be distributed annually or posted on Palomar’s internal website where it is accessible to all regular full-time employees. All persons covered under this Policy must certify their understanding of, and intent to comply with, this Policy. A copy of the certification that all persons covered by this Policy must sign is attached hereto as </w:t>
      </w:r>
      <w:r>
        <w:rPr>
          <w:rFonts w:ascii="Arial" w:cs="Arial" w:eastAsia="Arial" w:hAnsi="Arial"/>
          <w:sz w:val="18"/>
          <w:szCs w:val="18"/>
          <w:u w:val="single" w:color="auto"/>
          <w:color w:val="004160"/>
        </w:rPr>
        <w:t>Exhibit A</w:t>
      </w:r>
      <w:r>
        <w:rPr>
          <w:rFonts w:ascii="Arial" w:cs="Arial" w:eastAsia="Arial" w:hAnsi="Arial"/>
          <w:sz w:val="18"/>
          <w:szCs w:val="18"/>
          <w:color w:val="004160"/>
        </w:rPr>
        <w:t>. A copy of the executed certification shall be sent to the Compliance Officer or his or her designee.</w:t>
      </w:r>
    </w:p>
    <w:p>
      <w:pPr>
        <w:spacing w:after="0" w:line="190" w:lineRule="exact"/>
        <w:rPr>
          <w:sz w:val="20"/>
          <w:szCs w:val="20"/>
          <w:color w:val="auto"/>
        </w:rPr>
      </w:pPr>
    </w:p>
    <w:p>
      <w:pPr>
        <w:ind w:left="728" w:right="100" w:hanging="728"/>
        <w:spacing w:after="0" w:line="262" w:lineRule="auto"/>
        <w:tabs>
          <w:tab w:leader="none" w:pos="728" w:val="left"/>
        </w:tabs>
        <w:numPr>
          <w:ilvl w:val="0"/>
          <w:numId w:val="87"/>
        </w:numPr>
        <w:rPr>
          <w:rFonts w:ascii="Arial" w:cs="Arial" w:eastAsia="Arial" w:hAnsi="Arial"/>
          <w:sz w:val="17"/>
          <w:szCs w:val="17"/>
          <w:color w:val="004160"/>
        </w:rPr>
      </w:pPr>
      <w:r>
        <w:rPr>
          <w:rFonts w:ascii="Arial" w:cs="Arial" w:eastAsia="Arial" w:hAnsi="Arial"/>
          <w:sz w:val="17"/>
          <w:szCs w:val="17"/>
          <w:u w:val="single" w:color="auto"/>
          <w:color w:val="004160"/>
        </w:rPr>
        <w:t>Companies Covered.</w:t>
      </w:r>
      <w:r>
        <w:rPr>
          <w:rFonts w:ascii="Arial" w:cs="Arial" w:eastAsia="Arial" w:hAnsi="Arial"/>
          <w:sz w:val="17"/>
          <w:szCs w:val="17"/>
          <w:color w:val="004160"/>
        </w:rPr>
        <w:t xml:space="preserve"> In addition, the restrictions imposed by this Policy extend to transactions involving securities of other public companies, such as customers or suppliers of Palomar and companies with which Palomar may be negotiating major transactions, such as an acquisition, joint venture, collaboration, investment or sale. Information that is not material to Palomar may nevertheless be material to the other company. Therefore, a person who is aware of material non-public information about another public company, whether or not the person obtained the information in the course of working for or providing services to Palomar, is subject to restrictions on trading in securities of that company or communicating that information to others.</w:t>
      </w:r>
    </w:p>
    <w:p>
      <w:pPr>
        <w:spacing w:after="0" w:line="164" w:lineRule="exact"/>
        <w:rPr>
          <w:rFonts w:ascii="Arial" w:cs="Arial" w:eastAsia="Arial" w:hAnsi="Arial"/>
          <w:sz w:val="17"/>
          <w:szCs w:val="17"/>
          <w:color w:val="004160"/>
        </w:rPr>
      </w:pPr>
    </w:p>
    <w:p>
      <w:pPr>
        <w:ind w:left="708" w:right="720" w:hanging="708"/>
        <w:spacing w:after="0" w:line="318" w:lineRule="auto"/>
        <w:tabs>
          <w:tab w:leader="none" w:pos="708" w:val="left"/>
        </w:tabs>
        <w:numPr>
          <w:ilvl w:val="0"/>
          <w:numId w:val="87"/>
        </w:numPr>
        <w:rPr>
          <w:rFonts w:ascii="Arial" w:cs="Arial" w:eastAsia="Arial" w:hAnsi="Arial"/>
          <w:sz w:val="17"/>
          <w:szCs w:val="17"/>
          <w:color w:val="004160"/>
        </w:rPr>
      </w:pPr>
      <w:r>
        <w:rPr>
          <w:rFonts w:ascii="Arial" w:cs="Arial" w:eastAsia="Arial" w:hAnsi="Arial"/>
          <w:sz w:val="17"/>
          <w:szCs w:val="17"/>
          <w:u w:val="single" w:color="auto"/>
          <w:color w:val="004160"/>
        </w:rPr>
        <w:t>Transactions Covered.</w:t>
      </w:r>
      <w:r>
        <w:rPr>
          <w:rFonts w:ascii="Arial" w:cs="Arial" w:eastAsia="Arial" w:hAnsi="Arial"/>
          <w:sz w:val="17"/>
          <w:szCs w:val="17"/>
          <w:color w:val="004160"/>
        </w:rPr>
        <w:t xml:space="preserve"> “</w:t>
      </w:r>
      <w:r>
        <w:rPr>
          <w:rFonts w:ascii="Arial" w:cs="Arial" w:eastAsia="Arial" w:hAnsi="Arial"/>
          <w:sz w:val="17"/>
          <w:szCs w:val="17"/>
          <w:b w:val="1"/>
          <w:bCs w:val="1"/>
          <w:i w:val="1"/>
          <w:iCs w:val="1"/>
          <w:color w:val="004160"/>
        </w:rPr>
        <w:t>Trading</w:t>
      </w:r>
      <w:r>
        <w:rPr>
          <w:rFonts w:ascii="Arial" w:cs="Arial" w:eastAsia="Arial" w:hAnsi="Arial"/>
          <w:sz w:val="17"/>
          <w:szCs w:val="17"/>
          <w:color w:val="004160"/>
        </w:rPr>
        <w:t>” includes purchases, sales, gifting or otherwise disposing of securities such as stock, bonds, debentures, options, puts, calls and any other securities. Examples of the types of covered transactions include:</w:t>
      </w:r>
    </w:p>
    <w:p>
      <w:pPr>
        <w:spacing w:after="0" w:line="116" w:lineRule="exact"/>
        <w:rPr>
          <w:rFonts w:ascii="Arial" w:cs="Arial" w:eastAsia="Arial" w:hAnsi="Arial"/>
          <w:sz w:val="17"/>
          <w:szCs w:val="17"/>
          <w:color w:val="004160"/>
        </w:rPr>
      </w:pPr>
    </w:p>
    <w:p>
      <w:pPr>
        <w:ind w:left="1468" w:right="460" w:hanging="719"/>
        <w:spacing w:after="0" w:line="271" w:lineRule="auto"/>
        <w:tabs>
          <w:tab w:leader="none" w:pos="1468" w:val="left"/>
        </w:tabs>
        <w:numPr>
          <w:ilvl w:val="1"/>
          <w:numId w:val="87"/>
        </w:numPr>
        <w:rPr>
          <w:rFonts w:ascii="Arial" w:cs="Arial" w:eastAsia="Arial" w:hAnsi="Arial"/>
          <w:sz w:val="18"/>
          <w:szCs w:val="18"/>
          <w:color w:val="004160"/>
        </w:rPr>
      </w:pPr>
      <w:r>
        <w:rPr>
          <w:rFonts w:ascii="Arial" w:cs="Arial" w:eastAsia="Arial" w:hAnsi="Arial"/>
          <w:sz w:val="18"/>
          <w:szCs w:val="18"/>
          <w:u w:val="single" w:color="auto"/>
          <w:color w:val="004160"/>
        </w:rPr>
        <w:t>Open Market Transactions.</w:t>
      </w:r>
      <w:r>
        <w:rPr>
          <w:rFonts w:ascii="Arial" w:cs="Arial" w:eastAsia="Arial" w:hAnsi="Arial"/>
          <w:sz w:val="18"/>
          <w:szCs w:val="18"/>
          <w:color w:val="004160"/>
        </w:rPr>
        <w:t xml:space="preserve"> A person is prohibited from trading, while aware of material non-public information, in any securities in the open market.</w:t>
      </w:r>
    </w:p>
    <w:p>
      <w:pPr>
        <w:spacing w:after="0" w:line="167" w:lineRule="exact"/>
        <w:rPr>
          <w:rFonts w:ascii="Arial" w:cs="Arial" w:eastAsia="Arial" w:hAnsi="Arial"/>
          <w:sz w:val="18"/>
          <w:szCs w:val="18"/>
          <w:color w:val="004160"/>
        </w:rPr>
      </w:pPr>
    </w:p>
    <w:p>
      <w:pPr>
        <w:jc w:val="both"/>
        <w:ind w:left="1488" w:right="140" w:hanging="739"/>
        <w:spacing w:after="0" w:line="253" w:lineRule="auto"/>
        <w:tabs>
          <w:tab w:leader="none" w:pos="1488" w:val="left"/>
        </w:tabs>
        <w:numPr>
          <w:ilvl w:val="1"/>
          <w:numId w:val="87"/>
        </w:numPr>
        <w:rPr>
          <w:rFonts w:ascii="Arial" w:cs="Arial" w:eastAsia="Arial" w:hAnsi="Arial"/>
          <w:sz w:val="18"/>
          <w:szCs w:val="18"/>
          <w:color w:val="004160"/>
        </w:rPr>
      </w:pPr>
      <w:r>
        <w:rPr>
          <w:rFonts w:ascii="Arial" w:cs="Arial" w:eastAsia="Arial" w:hAnsi="Arial"/>
          <w:sz w:val="18"/>
          <w:szCs w:val="18"/>
          <w:u w:val="single" w:color="auto"/>
          <w:color w:val="004160"/>
        </w:rPr>
        <w:t>Stock Options.</w:t>
      </w:r>
      <w:r>
        <w:rPr>
          <w:rFonts w:ascii="Arial" w:cs="Arial" w:eastAsia="Arial" w:hAnsi="Arial"/>
          <w:sz w:val="18"/>
          <w:szCs w:val="18"/>
          <w:color w:val="004160"/>
        </w:rPr>
        <w:t xml:space="preserve"> A person is prohibited, while aware of material non-public information, from selling in the open market (e.g., in a broker-assisted cashless exercise or any other market sale for the purpose of generating the cash needed to pay the exercise price or taxes or for any other purpose) any of the underlying shares of the stock option.</w:t>
      </w:r>
    </w:p>
    <w:p>
      <w:pPr>
        <w:spacing w:after="0" w:line="168" w:lineRule="exact"/>
        <w:rPr>
          <w:rFonts w:ascii="Arial" w:cs="Arial" w:eastAsia="Arial" w:hAnsi="Arial"/>
          <w:sz w:val="18"/>
          <w:szCs w:val="18"/>
          <w:color w:val="004160"/>
        </w:rPr>
      </w:pPr>
    </w:p>
    <w:p>
      <w:pPr>
        <w:ind w:left="1508" w:right="180"/>
        <w:spacing w:after="0" w:line="247" w:lineRule="auto"/>
        <w:rPr>
          <w:rFonts w:ascii="Arial" w:cs="Arial" w:eastAsia="Arial" w:hAnsi="Arial"/>
          <w:sz w:val="18"/>
          <w:szCs w:val="18"/>
          <w:color w:val="004160"/>
        </w:rPr>
      </w:pPr>
      <w:r>
        <w:rPr>
          <w:rFonts w:ascii="Arial" w:cs="Arial" w:eastAsia="Arial" w:hAnsi="Arial"/>
          <w:sz w:val="18"/>
          <w:szCs w:val="18"/>
          <w:color w:val="004160"/>
        </w:rPr>
        <w:t>However, while aware of material non-public information about Palomar, a person may receive a stock option grant and grants of stock options may vest. In addition, a person may exercise a stock option while aware of material non-public information, but only if the person pays the exercise price and applicable taxes in cash or via a net exercise with Palomar (i.e., that does not involve a sale of shares in the market place) or if you deliver stock you hold in Palomar as payment for the exercise price, if such options allow for a net exercise.</w:t>
      </w:r>
    </w:p>
    <w:p>
      <w:pPr>
        <w:spacing w:after="0" w:line="176" w:lineRule="exact"/>
        <w:rPr>
          <w:rFonts w:ascii="Arial" w:cs="Arial" w:eastAsia="Arial" w:hAnsi="Arial"/>
          <w:sz w:val="18"/>
          <w:szCs w:val="18"/>
          <w:color w:val="004160"/>
        </w:rPr>
      </w:pPr>
    </w:p>
    <w:p>
      <w:pPr>
        <w:ind w:left="1448" w:right="740" w:hanging="699"/>
        <w:spacing w:after="0" w:line="261" w:lineRule="auto"/>
        <w:tabs>
          <w:tab w:leader="none" w:pos="1448" w:val="left"/>
        </w:tabs>
        <w:numPr>
          <w:ilvl w:val="1"/>
          <w:numId w:val="87"/>
        </w:numPr>
        <w:rPr>
          <w:rFonts w:ascii="Arial" w:cs="Arial" w:eastAsia="Arial" w:hAnsi="Arial"/>
          <w:sz w:val="18"/>
          <w:szCs w:val="18"/>
          <w:color w:val="004160"/>
        </w:rPr>
      </w:pPr>
      <w:r>
        <w:rPr>
          <w:rFonts w:ascii="Arial" w:cs="Arial" w:eastAsia="Arial" w:hAnsi="Arial"/>
          <w:sz w:val="18"/>
          <w:szCs w:val="18"/>
          <w:u w:val="single" w:color="auto"/>
          <w:color w:val="004160"/>
        </w:rPr>
        <w:t>Restricted Stock and Restricted Share Units.</w:t>
      </w:r>
      <w:r>
        <w:rPr>
          <w:rFonts w:ascii="Arial" w:cs="Arial" w:eastAsia="Arial" w:hAnsi="Arial"/>
          <w:sz w:val="18"/>
          <w:szCs w:val="18"/>
          <w:color w:val="004160"/>
        </w:rPr>
        <w:t xml:space="preserve"> A person is prohibited, while aware of material non-public information, from selling in the open market any of the underlying shares of restricted stock or restricted share units awarded to that person.</w:t>
      </w:r>
    </w:p>
    <w:p>
      <w:pPr>
        <w:spacing w:after="0" w:line="162" w:lineRule="exact"/>
        <w:rPr>
          <w:sz w:val="20"/>
          <w:szCs w:val="20"/>
          <w:color w:val="auto"/>
        </w:rPr>
      </w:pPr>
    </w:p>
    <w:p>
      <w:pPr>
        <w:ind w:left="1508" w:right="480"/>
        <w:spacing w:after="0" w:line="245" w:lineRule="auto"/>
        <w:rPr>
          <w:sz w:val="20"/>
          <w:szCs w:val="20"/>
          <w:color w:val="auto"/>
        </w:rPr>
      </w:pPr>
      <w:r>
        <w:rPr>
          <w:rFonts w:ascii="Arial" w:cs="Arial" w:eastAsia="Arial" w:hAnsi="Arial"/>
          <w:sz w:val="18"/>
          <w:szCs w:val="18"/>
          <w:color w:val="004160"/>
        </w:rPr>
        <w:t>However, while aware of material non-public information about Palomar, a person may receive an award of restricted stock or restricted share units. In addition, awards of restricted stock or restricted share units may vest while a person is aware of material non-public information, and Palomar may withhold shares to cover taxes due upon vesting or a person may sell shares solely pursuant to a restricted stock or restricted share unit award’s mandatory sale to cover withholding taxes provision with the remittance to Palomar of any proceeds from such sale.</w:t>
      </w:r>
    </w:p>
    <w:p>
      <w:pPr>
        <w:spacing w:after="0" w:line="190" w:lineRule="exact"/>
        <w:rPr>
          <w:sz w:val="20"/>
          <w:szCs w:val="20"/>
          <w:color w:val="auto"/>
        </w:rPr>
      </w:pPr>
    </w:p>
    <w:p>
      <w:pPr>
        <w:jc w:val="both"/>
        <w:ind w:left="728" w:right="20" w:hanging="728"/>
        <w:spacing w:after="0" w:line="252" w:lineRule="auto"/>
        <w:tabs>
          <w:tab w:leader="none" w:pos="728" w:val="left"/>
        </w:tabs>
        <w:numPr>
          <w:ilvl w:val="0"/>
          <w:numId w:val="88"/>
        </w:numPr>
        <w:rPr>
          <w:rFonts w:ascii="Arial" w:cs="Arial" w:eastAsia="Arial" w:hAnsi="Arial"/>
          <w:sz w:val="18"/>
          <w:szCs w:val="18"/>
          <w:color w:val="004160"/>
        </w:rPr>
      </w:pPr>
      <w:r>
        <w:rPr>
          <w:rFonts w:ascii="Arial" w:cs="Arial" w:eastAsia="Arial" w:hAnsi="Arial"/>
          <w:sz w:val="18"/>
          <w:szCs w:val="18"/>
          <w:u w:val="single" w:color="auto"/>
          <w:color w:val="004160"/>
        </w:rPr>
        <w:t>No Trading by Others on a Person’s Behalf.</w:t>
      </w:r>
      <w:r>
        <w:rPr>
          <w:rFonts w:ascii="Arial" w:cs="Arial" w:eastAsia="Arial" w:hAnsi="Arial"/>
          <w:sz w:val="18"/>
          <w:szCs w:val="18"/>
          <w:color w:val="004160"/>
        </w:rPr>
        <w:t xml:space="preserve"> When a person is prohibited from trading in Palomar securities because he or she is aware of material non-public information, he or she may not have a third party trade in securities on his or her behalf or disclose such information to any third party, other than on a need-to-know basis. Any trades made by a third party on behalf of a person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767715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492" w:top="1440" w:right="499" w:bottom="1440" w:gutter="0" w:footer="0" w:header="0"/>
        </w:sectPr>
      </w:pPr>
    </w:p>
    <w:bookmarkStart w:id="122" w:name="page123"/>
    <w:bookmarkEnd w:id="122"/>
    <w:p>
      <w:pPr>
        <w:spacing w:after="0" w:line="369" w:lineRule="exact"/>
        <w:rPr>
          <w:sz w:val="20"/>
          <w:szCs w:val="20"/>
          <w:color w:val="auto"/>
        </w:rPr>
      </w:pPr>
    </w:p>
    <w:p>
      <w:pPr>
        <w:ind w:left="748"/>
        <w:spacing w:after="0" w:line="252" w:lineRule="auto"/>
        <w:rPr>
          <w:sz w:val="20"/>
          <w:szCs w:val="20"/>
          <w:color w:val="auto"/>
        </w:rPr>
      </w:pPr>
      <w:r>
        <w:rPr>
          <w:rFonts w:ascii="Arial" w:cs="Arial" w:eastAsia="Arial" w:hAnsi="Arial"/>
          <w:sz w:val="18"/>
          <w:szCs w:val="18"/>
          <w:color w:val="004160"/>
        </w:rPr>
        <w:t>be attributed to that person. Thus, trades in Palomar shares held in street name in a person’s account or for his or her benefit at a brokerage firm are also prohibited if the person is otherwise prohibited from trading in Palomar securities. If a person invests in a “managed account” or arrangement (other than a Rule 10b5-1 plan discussed below), he or she should instruct the broker or advisor not to trade in Palomar securities on his or her behalf.</w:t>
      </w:r>
    </w:p>
    <w:p>
      <w:pPr>
        <w:spacing w:after="0" w:line="170" w:lineRule="exact"/>
        <w:rPr>
          <w:sz w:val="20"/>
          <w:szCs w:val="20"/>
          <w:color w:val="auto"/>
        </w:rPr>
      </w:pPr>
    </w:p>
    <w:p>
      <w:pPr>
        <w:ind w:left="728" w:right="160" w:hanging="728"/>
        <w:spacing w:after="0" w:line="243" w:lineRule="auto"/>
        <w:tabs>
          <w:tab w:leader="none" w:pos="728" w:val="left"/>
        </w:tabs>
        <w:numPr>
          <w:ilvl w:val="0"/>
          <w:numId w:val="89"/>
        </w:numPr>
        <w:rPr>
          <w:rFonts w:ascii="Arial" w:cs="Arial" w:eastAsia="Arial" w:hAnsi="Arial"/>
          <w:sz w:val="18"/>
          <w:szCs w:val="18"/>
          <w:color w:val="004160"/>
        </w:rPr>
      </w:pPr>
      <w:r>
        <w:rPr>
          <w:rFonts w:ascii="Arial" w:cs="Arial" w:eastAsia="Arial" w:hAnsi="Arial"/>
          <w:sz w:val="18"/>
          <w:szCs w:val="18"/>
          <w:u w:val="single" w:color="auto"/>
          <w:color w:val="004160"/>
        </w:rPr>
        <w:t>No Tipping.</w:t>
      </w:r>
      <w:r>
        <w:rPr>
          <w:rFonts w:ascii="Arial" w:cs="Arial" w:eastAsia="Arial" w:hAnsi="Arial"/>
          <w:sz w:val="18"/>
          <w:szCs w:val="18"/>
          <w:color w:val="004160"/>
        </w:rPr>
        <w:t xml:space="preserve"> When a person is prohibited from trading in Palomar securities because he or she is aware of material non-public information, he or she may not disclose material non-public information about Palomar to a third party unless the third party (i) owes a duty of confidence to Palomar (e.g., an attorney, auditor or investment banker retained by Palomar) or (ii) is subject to a confidentiality agreement in favor of Palomar in which the person has agreed or is obligated to keep the information confidential. If that third party trades in Palomar securities, the person who communicated the information (as well as the third party) may be held personally liable under</w:t>
      </w:r>
    </w:p>
    <w:p>
      <w:pPr>
        <w:spacing w:after="0" w:line="2" w:lineRule="exact"/>
        <w:rPr>
          <w:rFonts w:ascii="Arial" w:cs="Arial" w:eastAsia="Arial" w:hAnsi="Arial"/>
          <w:sz w:val="18"/>
          <w:szCs w:val="18"/>
          <w:color w:val="004160"/>
        </w:rPr>
      </w:pPr>
    </w:p>
    <w:p>
      <w:pPr>
        <w:ind w:left="748" w:right="60"/>
        <w:spacing w:after="0"/>
        <w:rPr>
          <w:rFonts w:ascii="Arial" w:cs="Arial" w:eastAsia="Arial" w:hAnsi="Arial"/>
          <w:sz w:val="18"/>
          <w:szCs w:val="18"/>
          <w:color w:val="004160"/>
        </w:rPr>
      </w:pPr>
      <w:r>
        <w:rPr>
          <w:rFonts w:ascii="Arial" w:cs="Arial" w:eastAsia="Arial" w:hAnsi="Arial"/>
          <w:sz w:val="18"/>
          <w:szCs w:val="18"/>
          <w:color w:val="004160"/>
        </w:rPr>
        <w:t>federal (or state) law for violation of securities laws. This practice, known as “</w:t>
      </w:r>
      <w:r>
        <w:rPr>
          <w:rFonts w:ascii="Arial" w:cs="Arial" w:eastAsia="Arial" w:hAnsi="Arial"/>
          <w:sz w:val="18"/>
          <w:szCs w:val="18"/>
          <w:b w:val="1"/>
          <w:bCs w:val="1"/>
          <w:i w:val="1"/>
          <w:iCs w:val="1"/>
          <w:color w:val="004160"/>
        </w:rPr>
        <w:t>tipping</w:t>
      </w:r>
      <w:r>
        <w:rPr>
          <w:rFonts w:ascii="Arial" w:cs="Arial" w:eastAsia="Arial" w:hAnsi="Arial"/>
          <w:sz w:val="18"/>
          <w:szCs w:val="18"/>
          <w:color w:val="004160"/>
        </w:rPr>
        <w:t>,” violates the securities laws and also can result in the same civil and criminal penalties that apply to insider trading, whether or not the person personally derives any benefit from the third party’s actions.</w:t>
      </w:r>
    </w:p>
    <w:p>
      <w:pPr>
        <w:ind w:left="748" w:right="360"/>
        <w:spacing w:after="0" w:line="234" w:lineRule="auto"/>
        <w:rPr>
          <w:rFonts w:ascii="Arial" w:cs="Arial" w:eastAsia="Arial" w:hAnsi="Arial"/>
          <w:sz w:val="18"/>
          <w:szCs w:val="18"/>
          <w:color w:val="004160"/>
        </w:rPr>
      </w:pPr>
      <w:r>
        <w:rPr>
          <w:rFonts w:ascii="Arial" w:cs="Arial" w:eastAsia="Arial" w:hAnsi="Arial"/>
          <w:sz w:val="18"/>
          <w:szCs w:val="18"/>
          <w:color w:val="004160"/>
        </w:rPr>
        <w:t>This prohibition includes giving trading advice without actually disclosing material non-public information, such as a general statement that, “I would sell now if I were you, but I can’t tell you</w:t>
      </w:r>
    </w:p>
    <w:p>
      <w:pPr>
        <w:spacing w:after="0" w:line="1" w:lineRule="exact"/>
        <w:rPr>
          <w:rFonts w:ascii="Arial" w:cs="Arial" w:eastAsia="Arial" w:hAnsi="Arial"/>
          <w:sz w:val="18"/>
          <w:szCs w:val="18"/>
          <w:color w:val="004160"/>
        </w:rPr>
      </w:pPr>
    </w:p>
    <w:p>
      <w:pPr>
        <w:ind w:left="748" w:right="40"/>
        <w:spacing w:after="0" w:line="246" w:lineRule="auto"/>
        <w:rPr>
          <w:rFonts w:ascii="Arial" w:cs="Arial" w:eastAsia="Arial" w:hAnsi="Arial"/>
          <w:sz w:val="18"/>
          <w:szCs w:val="18"/>
          <w:color w:val="004160"/>
        </w:rPr>
      </w:pPr>
      <w:r>
        <w:rPr>
          <w:rFonts w:ascii="Arial" w:cs="Arial" w:eastAsia="Arial" w:hAnsi="Arial"/>
          <w:sz w:val="18"/>
          <w:szCs w:val="18"/>
          <w:color w:val="004160"/>
        </w:rPr>
        <w:t>why.” As with each of the prohibitions on trading while aware of material non-public information discussed in this Policy, the prohibition on tipping also applies to material non-public information regarding securities of other public companies. Regardless of whether a person covered by this Policy is aware of material non-public information, they are prohibited from posting messages about Palomar or its securities in internet chat rooms, bulletin boards, blogs or other similar means of electronic distribution, whether under actual or fictitious names.</w:t>
      </w:r>
    </w:p>
    <w:p>
      <w:pPr>
        <w:spacing w:after="0" w:line="176" w:lineRule="exact"/>
        <w:rPr>
          <w:rFonts w:ascii="Arial" w:cs="Arial" w:eastAsia="Arial" w:hAnsi="Arial"/>
          <w:sz w:val="18"/>
          <w:szCs w:val="18"/>
          <w:color w:val="004160"/>
        </w:rPr>
      </w:pPr>
    </w:p>
    <w:p>
      <w:pPr>
        <w:ind w:left="728" w:right="100" w:hanging="728"/>
        <w:spacing w:after="0" w:line="247" w:lineRule="auto"/>
        <w:tabs>
          <w:tab w:leader="none" w:pos="728" w:val="left"/>
        </w:tabs>
        <w:numPr>
          <w:ilvl w:val="0"/>
          <w:numId w:val="89"/>
        </w:numPr>
        <w:rPr>
          <w:rFonts w:ascii="Arial" w:cs="Arial" w:eastAsia="Arial" w:hAnsi="Arial"/>
          <w:sz w:val="18"/>
          <w:szCs w:val="18"/>
          <w:color w:val="004160"/>
        </w:rPr>
      </w:pPr>
      <w:r>
        <w:rPr>
          <w:rFonts w:ascii="Arial" w:cs="Arial" w:eastAsia="Arial" w:hAnsi="Arial"/>
          <w:sz w:val="18"/>
          <w:szCs w:val="18"/>
          <w:u w:val="single" w:color="auto"/>
          <w:color w:val="004160"/>
        </w:rPr>
        <w:t>Persons Covered.</w:t>
      </w:r>
      <w:r>
        <w:rPr>
          <w:rFonts w:ascii="Arial" w:cs="Arial" w:eastAsia="Arial" w:hAnsi="Arial"/>
          <w:sz w:val="18"/>
          <w:szCs w:val="18"/>
          <w:color w:val="004160"/>
        </w:rPr>
        <w:t xml:space="preserve"> The same restrictions on insider trading that apply to a person also apply to a person’s family members who reside with the person, anyone else who lives in his or her household, and any family members who do not live in his or her household but whose transactions in Palomar or other securities are directed by the person or are subject to his or her influence or control (such as parents or children who consult the person before they trade in Palomar or other securities). Every person is responsible to ensure that trading in any securities by any such third party complies with this Policy.</w:t>
      </w:r>
    </w:p>
    <w:p>
      <w:pPr>
        <w:spacing w:after="0" w:line="190" w:lineRule="exact"/>
        <w:rPr>
          <w:rFonts w:ascii="Arial" w:cs="Arial" w:eastAsia="Arial" w:hAnsi="Arial"/>
          <w:sz w:val="18"/>
          <w:szCs w:val="18"/>
          <w:color w:val="004160"/>
        </w:rPr>
      </w:pPr>
    </w:p>
    <w:p>
      <w:pPr>
        <w:ind w:left="748" w:hanging="748"/>
        <w:spacing w:after="0"/>
        <w:tabs>
          <w:tab w:leader="none" w:pos="748" w:val="left"/>
        </w:tabs>
        <w:numPr>
          <w:ilvl w:val="0"/>
          <w:numId w:val="89"/>
        </w:numPr>
        <w:rPr>
          <w:rFonts w:ascii="Arial" w:cs="Arial" w:eastAsia="Arial" w:hAnsi="Arial"/>
          <w:sz w:val="18"/>
          <w:szCs w:val="18"/>
          <w:color w:val="004160"/>
        </w:rPr>
      </w:pPr>
      <w:r>
        <w:rPr>
          <w:rFonts w:ascii="Arial" w:cs="Arial" w:eastAsia="Arial" w:hAnsi="Arial"/>
          <w:sz w:val="18"/>
          <w:szCs w:val="18"/>
          <w:u w:val="single" w:color="auto"/>
          <w:color w:val="004160"/>
        </w:rPr>
        <w:t>Definition of Material Non-public Information.</w:t>
      </w:r>
    </w:p>
    <w:p>
      <w:pPr>
        <w:spacing w:after="0" w:line="211" w:lineRule="exact"/>
        <w:rPr>
          <w:rFonts w:ascii="Arial" w:cs="Arial" w:eastAsia="Arial" w:hAnsi="Arial"/>
          <w:sz w:val="18"/>
          <w:szCs w:val="18"/>
          <w:color w:val="004160"/>
        </w:rPr>
      </w:pPr>
    </w:p>
    <w:p>
      <w:pPr>
        <w:ind w:left="1488" w:right="120" w:hanging="739"/>
        <w:spacing w:after="0" w:line="271" w:lineRule="auto"/>
        <w:tabs>
          <w:tab w:leader="none" w:pos="1488" w:val="left"/>
        </w:tabs>
        <w:numPr>
          <w:ilvl w:val="1"/>
          <w:numId w:val="89"/>
        </w:numPr>
        <w:rPr>
          <w:rFonts w:ascii="Arial" w:cs="Arial" w:eastAsia="Arial" w:hAnsi="Arial"/>
          <w:sz w:val="17"/>
          <w:szCs w:val="17"/>
          <w:color w:val="004160"/>
        </w:rPr>
      </w:pPr>
      <w:r>
        <w:rPr>
          <w:rFonts w:ascii="Arial" w:cs="Arial" w:eastAsia="Arial" w:hAnsi="Arial"/>
          <w:sz w:val="17"/>
          <w:szCs w:val="17"/>
          <w:u w:val="single" w:color="auto"/>
          <w:color w:val="004160"/>
        </w:rPr>
        <w:t>Material Information.</w:t>
      </w:r>
      <w:r>
        <w:rPr>
          <w:rFonts w:ascii="Arial" w:cs="Arial" w:eastAsia="Arial" w:hAnsi="Arial"/>
          <w:sz w:val="17"/>
          <w:szCs w:val="17"/>
          <w:color w:val="004160"/>
        </w:rPr>
        <w:t xml:space="preserve"> Information is material if there is a substantial likelihood that a reasonable investor would consider it important in making an investment decision (i.e., deciding whether to buy, hold or sell a security). Therefore, any information that could reasonably be expected to affect the price of the security is potentially material. Both positive and negative information can be material. Common examples of information that may be material are:</w:t>
      </w:r>
    </w:p>
    <w:p>
      <w:pPr>
        <w:spacing w:after="0" w:line="156" w:lineRule="exact"/>
        <w:rPr>
          <w:rFonts w:ascii="Arial" w:cs="Arial" w:eastAsia="Arial" w:hAnsi="Arial"/>
          <w:sz w:val="17"/>
          <w:szCs w:val="17"/>
          <w:color w:val="004160"/>
        </w:rPr>
      </w:pPr>
    </w:p>
    <w:p>
      <w:pPr>
        <w:ind w:left="2248" w:hanging="750"/>
        <w:spacing w:after="0"/>
        <w:tabs>
          <w:tab w:leader="none" w:pos="2248" w:val="left"/>
        </w:tabs>
        <w:numPr>
          <w:ilvl w:val="2"/>
          <w:numId w:val="89"/>
        </w:numPr>
        <w:rPr>
          <w:rFonts w:ascii="Arial" w:cs="Arial" w:eastAsia="Arial" w:hAnsi="Arial"/>
          <w:sz w:val="18"/>
          <w:szCs w:val="18"/>
          <w:color w:val="004160"/>
        </w:rPr>
      </w:pPr>
      <w:r>
        <w:rPr>
          <w:rFonts w:ascii="Arial" w:cs="Arial" w:eastAsia="Arial" w:hAnsi="Arial"/>
          <w:sz w:val="18"/>
          <w:szCs w:val="18"/>
          <w:color w:val="004160"/>
        </w:rPr>
        <w:t>Projections of future earnings or losses;</w:t>
      </w:r>
    </w:p>
    <w:p>
      <w:pPr>
        <w:spacing w:after="0" w:line="211" w:lineRule="exact"/>
        <w:rPr>
          <w:rFonts w:ascii="Arial" w:cs="Arial" w:eastAsia="Arial" w:hAnsi="Arial"/>
          <w:sz w:val="18"/>
          <w:szCs w:val="18"/>
          <w:color w:val="004160"/>
        </w:rPr>
      </w:pPr>
    </w:p>
    <w:p>
      <w:pPr>
        <w:ind w:left="2188" w:hanging="690"/>
        <w:spacing w:after="0"/>
        <w:tabs>
          <w:tab w:leader="none" w:pos="2188" w:val="left"/>
        </w:tabs>
        <w:numPr>
          <w:ilvl w:val="2"/>
          <w:numId w:val="89"/>
        </w:numPr>
        <w:rPr>
          <w:rFonts w:ascii="Arial" w:cs="Arial" w:eastAsia="Arial" w:hAnsi="Arial"/>
          <w:sz w:val="18"/>
          <w:szCs w:val="18"/>
          <w:color w:val="004160"/>
        </w:rPr>
      </w:pPr>
      <w:r>
        <w:rPr>
          <w:rFonts w:ascii="Arial" w:cs="Arial" w:eastAsia="Arial" w:hAnsi="Arial"/>
          <w:sz w:val="18"/>
          <w:szCs w:val="18"/>
          <w:color w:val="004160"/>
        </w:rPr>
        <w:t>Earnings that are inconsistent with external guidance from Palomar or with market expectations;</w:t>
      </w:r>
    </w:p>
    <w:p>
      <w:pPr>
        <w:spacing w:after="0" w:line="225" w:lineRule="exact"/>
        <w:rPr>
          <w:rFonts w:ascii="Arial" w:cs="Arial" w:eastAsia="Arial" w:hAnsi="Arial"/>
          <w:sz w:val="18"/>
          <w:szCs w:val="18"/>
          <w:color w:val="004160"/>
        </w:rPr>
      </w:pPr>
    </w:p>
    <w:p>
      <w:pPr>
        <w:ind w:left="2248" w:hanging="750"/>
        <w:spacing w:after="0"/>
        <w:tabs>
          <w:tab w:leader="none" w:pos="2248" w:val="left"/>
        </w:tabs>
        <w:numPr>
          <w:ilvl w:val="2"/>
          <w:numId w:val="89"/>
        </w:numPr>
        <w:rPr>
          <w:rFonts w:ascii="Arial" w:cs="Arial" w:eastAsia="Arial" w:hAnsi="Arial"/>
          <w:sz w:val="18"/>
          <w:szCs w:val="18"/>
          <w:color w:val="004160"/>
        </w:rPr>
      </w:pPr>
      <w:r>
        <w:rPr>
          <w:rFonts w:ascii="Arial" w:cs="Arial" w:eastAsia="Arial" w:hAnsi="Arial"/>
          <w:sz w:val="18"/>
          <w:szCs w:val="18"/>
          <w:color w:val="004160"/>
        </w:rPr>
        <w:t>News of a pending or proposed merger, acquisition or tender offer;</w:t>
      </w:r>
    </w:p>
    <w:p>
      <w:pPr>
        <w:spacing w:after="0" w:line="211" w:lineRule="exact"/>
        <w:rPr>
          <w:rFonts w:ascii="Arial" w:cs="Arial" w:eastAsia="Arial" w:hAnsi="Arial"/>
          <w:sz w:val="18"/>
          <w:szCs w:val="18"/>
          <w:color w:val="004160"/>
        </w:rPr>
      </w:pPr>
    </w:p>
    <w:p>
      <w:pPr>
        <w:ind w:left="2228" w:right="40" w:hanging="730"/>
        <w:spacing w:after="0" w:line="271" w:lineRule="auto"/>
        <w:tabs>
          <w:tab w:leader="none" w:pos="2228" w:val="left"/>
        </w:tabs>
        <w:numPr>
          <w:ilvl w:val="2"/>
          <w:numId w:val="89"/>
        </w:numPr>
        <w:rPr>
          <w:rFonts w:ascii="Arial" w:cs="Arial" w:eastAsia="Arial" w:hAnsi="Arial"/>
          <w:sz w:val="18"/>
          <w:szCs w:val="18"/>
          <w:color w:val="004160"/>
        </w:rPr>
      </w:pPr>
      <w:r>
        <w:rPr>
          <w:rFonts w:ascii="Arial" w:cs="Arial" w:eastAsia="Arial" w:hAnsi="Arial"/>
          <w:sz w:val="18"/>
          <w:szCs w:val="18"/>
          <w:color w:val="004160"/>
        </w:rPr>
        <w:t>News of a significant sale of assets or the expansion or curtailment of operations (including a significant new contract or loss of business);</w:t>
      </w:r>
    </w:p>
    <w:p>
      <w:pPr>
        <w:spacing w:after="0" w:line="167" w:lineRule="exact"/>
        <w:rPr>
          <w:rFonts w:ascii="Arial" w:cs="Arial" w:eastAsia="Arial" w:hAnsi="Arial"/>
          <w:sz w:val="18"/>
          <w:szCs w:val="18"/>
          <w:color w:val="004160"/>
        </w:rPr>
      </w:pPr>
    </w:p>
    <w:p>
      <w:pPr>
        <w:ind w:left="2248" w:hanging="750"/>
        <w:spacing w:after="0"/>
        <w:tabs>
          <w:tab w:leader="none" w:pos="2248" w:val="left"/>
        </w:tabs>
        <w:numPr>
          <w:ilvl w:val="2"/>
          <w:numId w:val="89"/>
        </w:numPr>
        <w:rPr>
          <w:rFonts w:ascii="Arial" w:cs="Arial" w:eastAsia="Arial" w:hAnsi="Arial"/>
          <w:sz w:val="18"/>
          <w:szCs w:val="18"/>
          <w:color w:val="004160"/>
        </w:rPr>
      </w:pPr>
      <w:r>
        <w:rPr>
          <w:rFonts w:ascii="Arial" w:cs="Arial" w:eastAsia="Arial" w:hAnsi="Arial"/>
          <w:sz w:val="18"/>
          <w:szCs w:val="18"/>
          <w:color w:val="004160"/>
        </w:rPr>
        <w:t>Significant changes in dividend policies or the declaration of a stock split;</w:t>
      </w:r>
    </w:p>
    <w:p>
      <w:pPr>
        <w:spacing w:after="0" w:line="63" w:lineRule="exact"/>
        <w:rPr>
          <w:rFonts w:ascii="Arial" w:cs="Arial" w:eastAsia="Arial" w:hAnsi="Arial"/>
          <w:sz w:val="18"/>
          <w:szCs w:val="18"/>
          <w:color w:val="004160"/>
        </w:rPr>
      </w:pPr>
    </w:p>
    <w:p>
      <w:pPr>
        <w:ind w:left="2188" w:hanging="690"/>
        <w:spacing w:after="0"/>
        <w:tabs>
          <w:tab w:leader="none" w:pos="2188" w:val="left"/>
        </w:tabs>
        <w:numPr>
          <w:ilvl w:val="2"/>
          <w:numId w:val="89"/>
        </w:numPr>
        <w:rPr>
          <w:rFonts w:ascii="Arial" w:cs="Arial" w:eastAsia="Arial" w:hAnsi="Arial"/>
          <w:sz w:val="18"/>
          <w:szCs w:val="18"/>
          <w:color w:val="004160"/>
        </w:rPr>
      </w:pPr>
      <w:r>
        <w:rPr>
          <w:rFonts w:ascii="Arial" w:cs="Arial" w:eastAsia="Arial" w:hAnsi="Arial"/>
          <w:sz w:val="18"/>
          <w:szCs w:val="18"/>
          <w:color w:val="004160"/>
        </w:rPr>
        <w:t>Significant changes in senior management or membership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802005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492" w:top="1440" w:right="519" w:bottom="1440" w:gutter="0" w:footer="0" w:header="0"/>
        </w:sectPr>
      </w:pPr>
    </w:p>
    <w:bookmarkStart w:id="123" w:name="page124"/>
    <w:bookmarkEnd w:id="123"/>
    <w:p>
      <w:pPr>
        <w:spacing w:after="0" w:line="369" w:lineRule="exact"/>
        <w:rPr>
          <w:sz w:val="20"/>
          <w:szCs w:val="20"/>
          <w:color w:val="auto"/>
        </w:rPr>
      </w:pPr>
    </w:p>
    <w:p>
      <w:pPr>
        <w:ind w:left="1439"/>
        <w:spacing w:after="0"/>
        <w:rPr>
          <w:sz w:val="20"/>
          <w:szCs w:val="20"/>
          <w:color w:val="auto"/>
        </w:rPr>
      </w:pPr>
      <w:r>
        <w:rPr>
          <w:rFonts w:ascii="Arial" w:cs="Arial" w:eastAsia="Arial" w:hAnsi="Arial"/>
          <w:sz w:val="18"/>
          <w:szCs w:val="18"/>
          <w:color w:val="004160"/>
        </w:rPr>
        <w:t>of Directors;</w:t>
      </w:r>
    </w:p>
    <w:p>
      <w:pPr>
        <w:spacing w:after="0" w:line="212" w:lineRule="exact"/>
        <w:rPr>
          <w:sz w:val="20"/>
          <w:szCs w:val="20"/>
          <w:color w:val="auto"/>
        </w:rPr>
      </w:pPr>
    </w:p>
    <w:p>
      <w:pPr>
        <w:ind w:left="1499" w:hanging="750"/>
        <w:spacing w:after="0"/>
        <w:tabs>
          <w:tab w:leader="none" w:pos="1499" w:val="left"/>
        </w:tabs>
        <w:numPr>
          <w:ilvl w:val="0"/>
          <w:numId w:val="90"/>
        </w:numPr>
        <w:rPr>
          <w:rFonts w:ascii="Arial" w:cs="Arial" w:eastAsia="Arial" w:hAnsi="Arial"/>
          <w:sz w:val="18"/>
          <w:szCs w:val="18"/>
          <w:color w:val="004160"/>
        </w:rPr>
      </w:pPr>
      <w:r>
        <w:rPr>
          <w:rFonts w:ascii="Arial" w:cs="Arial" w:eastAsia="Arial" w:hAnsi="Arial"/>
          <w:sz w:val="18"/>
          <w:szCs w:val="18"/>
          <w:color w:val="004160"/>
        </w:rPr>
        <w:t>Significant new products or discoveries;</w:t>
      </w:r>
    </w:p>
    <w:p>
      <w:pPr>
        <w:spacing w:after="0" w:line="211" w:lineRule="exact"/>
        <w:rPr>
          <w:rFonts w:ascii="Arial" w:cs="Arial" w:eastAsia="Arial" w:hAnsi="Arial"/>
          <w:sz w:val="18"/>
          <w:szCs w:val="18"/>
          <w:color w:val="004160"/>
        </w:rPr>
      </w:pPr>
    </w:p>
    <w:p>
      <w:pPr>
        <w:ind w:left="1419" w:right="1060" w:hanging="670"/>
        <w:spacing w:after="0" w:line="287" w:lineRule="auto"/>
        <w:tabs>
          <w:tab w:leader="none" w:pos="1419" w:val="left"/>
        </w:tabs>
        <w:numPr>
          <w:ilvl w:val="0"/>
          <w:numId w:val="90"/>
        </w:numPr>
        <w:rPr>
          <w:rFonts w:ascii="Arial" w:cs="Arial" w:eastAsia="Arial" w:hAnsi="Arial"/>
          <w:sz w:val="18"/>
          <w:szCs w:val="18"/>
          <w:color w:val="004160"/>
        </w:rPr>
      </w:pPr>
      <w:r>
        <w:rPr>
          <w:rFonts w:ascii="Arial" w:cs="Arial" w:eastAsia="Arial" w:hAnsi="Arial"/>
          <w:sz w:val="18"/>
          <w:szCs w:val="18"/>
          <w:color w:val="004160"/>
        </w:rPr>
        <w:t>Significant regulatory actions, including receipt or denial of a significant regulatory application for clearance or approval of products;</w:t>
      </w:r>
    </w:p>
    <w:p>
      <w:pPr>
        <w:spacing w:after="0" w:line="139" w:lineRule="exact"/>
        <w:rPr>
          <w:rFonts w:ascii="Arial" w:cs="Arial" w:eastAsia="Arial" w:hAnsi="Arial"/>
          <w:sz w:val="18"/>
          <w:szCs w:val="18"/>
          <w:color w:val="004160"/>
        </w:rPr>
      </w:pPr>
    </w:p>
    <w:p>
      <w:pPr>
        <w:ind w:left="1479" w:right="780" w:hanging="730"/>
        <w:spacing w:after="0" w:line="271" w:lineRule="auto"/>
        <w:tabs>
          <w:tab w:leader="none" w:pos="1479" w:val="left"/>
        </w:tabs>
        <w:numPr>
          <w:ilvl w:val="0"/>
          <w:numId w:val="90"/>
        </w:numPr>
        <w:rPr>
          <w:rFonts w:ascii="Arial" w:cs="Arial" w:eastAsia="Arial" w:hAnsi="Arial"/>
          <w:sz w:val="18"/>
          <w:szCs w:val="18"/>
          <w:color w:val="004160"/>
        </w:rPr>
      </w:pPr>
      <w:r>
        <w:rPr>
          <w:rFonts w:ascii="Arial" w:cs="Arial" w:eastAsia="Arial" w:hAnsi="Arial"/>
          <w:sz w:val="18"/>
          <w:szCs w:val="18"/>
          <w:color w:val="004160"/>
        </w:rPr>
        <w:t>The gain or loss of, or a significant change to the terms of Palomar’s relationship with, a substantial customer or supplier;</w:t>
      </w:r>
    </w:p>
    <w:p>
      <w:pPr>
        <w:spacing w:after="0" w:line="153" w:lineRule="exact"/>
        <w:rPr>
          <w:rFonts w:ascii="Arial" w:cs="Arial" w:eastAsia="Arial" w:hAnsi="Arial"/>
          <w:sz w:val="18"/>
          <w:szCs w:val="18"/>
          <w:color w:val="004160"/>
        </w:rPr>
      </w:pPr>
    </w:p>
    <w:p>
      <w:pPr>
        <w:ind w:left="1459" w:hanging="710"/>
        <w:spacing w:after="0"/>
        <w:tabs>
          <w:tab w:leader="none" w:pos="1459" w:val="left"/>
        </w:tabs>
        <w:numPr>
          <w:ilvl w:val="0"/>
          <w:numId w:val="90"/>
        </w:numPr>
        <w:rPr>
          <w:rFonts w:ascii="Arial" w:cs="Arial" w:eastAsia="Arial" w:hAnsi="Arial"/>
          <w:sz w:val="18"/>
          <w:szCs w:val="18"/>
          <w:color w:val="004160"/>
        </w:rPr>
      </w:pPr>
      <w:r>
        <w:rPr>
          <w:rFonts w:ascii="Arial" w:cs="Arial" w:eastAsia="Arial" w:hAnsi="Arial"/>
          <w:sz w:val="18"/>
          <w:szCs w:val="18"/>
          <w:color w:val="004160"/>
        </w:rPr>
        <w:t>The commencement of, or significant development regarding, any significant litigation;</w:t>
      </w:r>
    </w:p>
    <w:p>
      <w:pPr>
        <w:spacing w:after="0" w:line="225" w:lineRule="exact"/>
        <w:rPr>
          <w:rFonts w:ascii="Arial" w:cs="Arial" w:eastAsia="Arial" w:hAnsi="Arial"/>
          <w:sz w:val="18"/>
          <w:szCs w:val="18"/>
          <w:color w:val="004160"/>
        </w:rPr>
      </w:pPr>
    </w:p>
    <w:p>
      <w:pPr>
        <w:ind w:left="1499" w:hanging="750"/>
        <w:spacing w:after="0"/>
        <w:tabs>
          <w:tab w:leader="none" w:pos="1499" w:val="left"/>
        </w:tabs>
        <w:numPr>
          <w:ilvl w:val="0"/>
          <w:numId w:val="90"/>
        </w:numPr>
        <w:rPr>
          <w:rFonts w:ascii="Arial" w:cs="Arial" w:eastAsia="Arial" w:hAnsi="Arial"/>
          <w:sz w:val="18"/>
          <w:szCs w:val="18"/>
          <w:color w:val="004160"/>
        </w:rPr>
      </w:pPr>
      <w:r>
        <w:rPr>
          <w:rFonts w:ascii="Arial" w:cs="Arial" w:eastAsia="Arial" w:hAnsi="Arial"/>
          <w:sz w:val="18"/>
          <w:szCs w:val="18"/>
          <w:color w:val="004160"/>
        </w:rPr>
        <w:t>A decision by Palomar to borrow a significant amount of money;</w:t>
      </w:r>
    </w:p>
    <w:p>
      <w:pPr>
        <w:spacing w:after="0" w:line="211" w:lineRule="exact"/>
        <w:rPr>
          <w:rFonts w:ascii="Arial" w:cs="Arial" w:eastAsia="Arial" w:hAnsi="Arial"/>
          <w:sz w:val="18"/>
          <w:szCs w:val="18"/>
          <w:color w:val="004160"/>
        </w:rPr>
      </w:pPr>
    </w:p>
    <w:p>
      <w:pPr>
        <w:ind w:left="1459" w:right="800" w:hanging="710"/>
        <w:spacing w:after="0" w:line="271" w:lineRule="auto"/>
        <w:tabs>
          <w:tab w:leader="none" w:pos="1459" w:val="left"/>
        </w:tabs>
        <w:numPr>
          <w:ilvl w:val="0"/>
          <w:numId w:val="90"/>
        </w:numPr>
        <w:rPr>
          <w:rFonts w:ascii="Arial" w:cs="Arial" w:eastAsia="Arial" w:hAnsi="Arial"/>
          <w:sz w:val="18"/>
          <w:szCs w:val="18"/>
          <w:color w:val="004160"/>
        </w:rPr>
      </w:pPr>
      <w:r>
        <w:rPr>
          <w:rFonts w:ascii="Arial" w:cs="Arial" w:eastAsia="Arial" w:hAnsi="Arial"/>
          <w:sz w:val="18"/>
          <w:szCs w:val="18"/>
          <w:color w:val="004160"/>
        </w:rPr>
        <w:t>A decision by Palomar to offer securities in a public or private offering or repurchase or redeem any Palomar securities currently owned by the public;</w:t>
      </w:r>
    </w:p>
    <w:p>
      <w:pPr>
        <w:spacing w:after="0" w:line="167" w:lineRule="exact"/>
        <w:rPr>
          <w:rFonts w:ascii="Arial" w:cs="Arial" w:eastAsia="Arial" w:hAnsi="Arial"/>
          <w:sz w:val="18"/>
          <w:szCs w:val="18"/>
          <w:color w:val="004160"/>
        </w:rPr>
      </w:pPr>
    </w:p>
    <w:p>
      <w:pPr>
        <w:ind w:left="1499" w:hanging="750"/>
        <w:spacing w:after="0"/>
        <w:tabs>
          <w:tab w:leader="none" w:pos="1499" w:val="left"/>
        </w:tabs>
        <w:numPr>
          <w:ilvl w:val="0"/>
          <w:numId w:val="90"/>
        </w:numPr>
        <w:rPr>
          <w:rFonts w:ascii="Arial" w:cs="Arial" w:eastAsia="Arial" w:hAnsi="Arial"/>
          <w:sz w:val="18"/>
          <w:szCs w:val="18"/>
          <w:color w:val="004160"/>
        </w:rPr>
      </w:pPr>
      <w:r>
        <w:rPr>
          <w:rFonts w:ascii="Arial" w:cs="Arial" w:eastAsia="Arial" w:hAnsi="Arial"/>
          <w:sz w:val="18"/>
          <w:szCs w:val="18"/>
          <w:color w:val="004160"/>
        </w:rPr>
        <w:t>A significant change in Palomar’s capital expenditure program; and</w:t>
      </w:r>
    </w:p>
    <w:p>
      <w:pPr>
        <w:spacing w:after="0" w:line="211" w:lineRule="exact"/>
        <w:rPr>
          <w:rFonts w:ascii="Arial" w:cs="Arial" w:eastAsia="Arial" w:hAnsi="Arial"/>
          <w:sz w:val="18"/>
          <w:szCs w:val="18"/>
          <w:color w:val="004160"/>
        </w:rPr>
      </w:pPr>
    </w:p>
    <w:p>
      <w:pPr>
        <w:ind w:left="1499" w:hanging="750"/>
        <w:spacing w:after="0"/>
        <w:tabs>
          <w:tab w:leader="none" w:pos="1499" w:val="left"/>
        </w:tabs>
        <w:numPr>
          <w:ilvl w:val="0"/>
          <w:numId w:val="90"/>
        </w:numPr>
        <w:rPr>
          <w:rFonts w:ascii="Arial" w:cs="Arial" w:eastAsia="Arial" w:hAnsi="Arial"/>
          <w:sz w:val="18"/>
          <w:szCs w:val="18"/>
          <w:color w:val="004160"/>
        </w:rPr>
      </w:pPr>
      <w:r>
        <w:rPr>
          <w:rFonts w:ascii="Arial" w:cs="Arial" w:eastAsia="Arial" w:hAnsi="Arial"/>
          <w:sz w:val="18"/>
          <w:szCs w:val="18"/>
          <w:color w:val="004160"/>
        </w:rPr>
        <w:t>Significant shifts in operating or financial circumstances.</w:t>
      </w:r>
    </w:p>
    <w:p>
      <w:pPr>
        <w:spacing w:after="0" w:line="212" w:lineRule="exact"/>
        <w:rPr>
          <w:sz w:val="20"/>
          <w:szCs w:val="20"/>
          <w:color w:val="auto"/>
        </w:rPr>
      </w:pPr>
    </w:p>
    <w:p>
      <w:pPr>
        <w:ind w:left="759" w:right="1060"/>
        <w:spacing w:after="0" w:line="271" w:lineRule="auto"/>
        <w:rPr>
          <w:sz w:val="20"/>
          <w:szCs w:val="20"/>
          <w:color w:val="auto"/>
        </w:rPr>
      </w:pPr>
      <w:r>
        <w:rPr>
          <w:rFonts w:ascii="Arial" w:cs="Arial" w:eastAsia="Arial" w:hAnsi="Arial"/>
          <w:sz w:val="18"/>
          <w:szCs w:val="18"/>
          <w:color w:val="004160"/>
        </w:rPr>
        <w:t>The foregoing are merely examples and should not be treated as an all-inclusive list. There may be other developments not listed above that may be material as well.</w:t>
      </w:r>
    </w:p>
    <w:p>
      <w:pPr>
        <w:spacing w:after="0" w:line="167" w:lineRule="exact"/>
        <w:rPr>
          <w:sz w:val="20"/>
          <w:szCs w:val="20"/>
          <w:color w:val="auto"/>
        </w:rPr>
      </w:pPr>
    </w:p>
    <w:p>
      <w:pPr>
        <w:ind w:left="759" w:right="220"/>
        <w:spacing w:after="0" w:line="252" w:lineRule="auto"/>
        <w:rPr>
          <w:sz w:val="20"/>
          <w:szCs w:val="20"/>
          <w:color w:val="auto"/>
        </w:rPr>
      </w:pPr>
      <w:r>
        <w:rPr>
          <w:rFonts w:ascii="Arial" w:cs="Arial" w:eastAsia="Arial" w:hAnsi="Arial"/>
          <w:sz w:val="18"/>
          <w:szCs w:val="18"/>
          <w:color w:val="004160"/>
        </w:rPr>
        <w:t>The materiality of information is determined on a case-by-case basis in light of all the facts and circumstances. All securities transactions will be viewed after-the–fact with the benefit of hindsight. As a result, before engaging in any transaction, a person should carefully consider how regulators and others might view his or her transaction in hindsight.</w:t>
      </w:r>
    </w:p>
    <w:p>
      <w:pPr>
        <w:spacing w:after="0" w:line="170" w:lineRule="exact"/>
        <w:rPr>
          <w:sz w:val="20"/>
          <w:szCs w:val="20"/>
          <w:color w:val="auto"/>
        </w:rPr>
      </w:pPr>
    </w:p>
    <w:p>
      <w:pPr>
        <w:ind w:left="739" w:hanging="739"/>
        <w:spacing w:after="0" w:line="241" w:lineRule="auto"/>
        <w:tabs>
          <w:tab w:leader="none" w:pos="739" w:val="left"/>
        </w:tabs>
        <w:numPr>
          <w:ilvl w:val="0"/>
          <w:numId w:val="91"/>
        </w:numPr>
        <w:rPr>
          <w:rFonts w:ascii="Arial" w:cs="Arial" w:eastAsia="Arial" w:hAnsi="Arial"/>
          <w:sz w:val="18"/>
          <w:szCs w:val="18"/>
          <w:color w:val="004160"/>
        </w:rPr>
      </w:pPr>
      <w:r>
        <w:rPr>
          <w:rFonts w:ascii="Arial" w:cs="Arial" w:eastAsia="Arial" w:hAnsi="Arial"/>
          <w:sz w:val="18"/>
          <w:szCs w:val="18"/>
          <w:u w:val="single" w:color="auto"/>
          <w:color w:val="004160"/>
        </w:rPr>
        <w:t>Non-public Information.</w:t>
      </w:r>
      <w:r>
        <w:rPr>
          <w:rFonts w:ascii="Arial" w:cs="Arial" w:eastAsia="Arial" w:hAnsi="Arial"/>
          <w:sz w:val="18"/>
          <w:szCs w:val="18"/>
          <w:color w:val="004160"/>
        </w:rPr>
        <w:t xml:space="preserve"> “</w:t>
      </w:r>
      <w:r>
        <w:rPr>
          <w:rFonts w:ascii="Arial" w:cs="Arial" w:eastAsia="Arial" w:hAnsi="Arial"/>
          <w:sz w:val="18"/>
          <w:szCs w:val="18"/>
          <w:b w:val="1"/>
          <w:bCs w:val="1"/>
          <w:i w:val="1"/>
          <w:iCs w:val="1"/>
          <w:color w:val="004160"/>
        </w:rPr>
        <w:t>Non-public</w:t>
      </w:r>
      <w:r>
        <w:rPr>
          <w:rFonts w:ascii="Arial" w:cs="Arial" w:eastAsia="Arial" w:hAnsi="Arial"/>
          <w:sz w:val="18"/>
          <w:szCs w:val="18"/>
          <w:color w:val="004160"/>
        </w:rPr>
        <w:t>” information is information that Palomar, or another company if applicable has not released publicly, either by a press release or a filing with the U.S. Securities and Exchange Commission (the “SEC”) or is not otherwise available publicly. As a general rule, information is not considered to be “</w:t>
      </w:r>
      <w:r>
        <w:rPr>
          <w:rFonts w:ascii="Arial" w:cs="Arial" w:eastAsia="Arial" w:hAnsi="Arial"/>
          <w:sz w:val="18"/>
          <w:szCs w:val="18"/>
          <w:b w:val="1"/>
          <w:bCs w:val="1"/>
          <w:i w:val="1"/>
          <w:iCs w:val="1"/>
          <w:color w:val="004160"/>
        </w:rPr>
        <w:t>public</w:t>
      </w:r>
      <w:r>
        <w:rPr>
          <w:rFonts w:ascii="Arial" w:cs="Arial" w:eastAsia="Arial" w:hAnsi="Arial"/>
          <w:sz w:val="18"/>
          <w:szCs w:val="18"/>
          <w:color w:val="004160"/>
        </w:rPr>
        <w:t>” until the end of the second-trading day after an announcement by Palomar is broadly disseminated. Therefore, a person who was aware of the material information prior to its public release should not engage in any open market transactions in Palomar’s securities until at least the opening of trading on the NASDAQ Stock Exchange or other applicable national stock exchange (collectively, “</w:t>
      </w:r>
      <w:r>
        <w:rPr>
          <w:rFonts w:ascii="Arial" w:cs="Arial" w:eastAsia="Arial" w:hAnsi="Arial"/>
          <w:sz w:val="18"/>
          <w:szCs w:val="18"/>
          <w:b w:val="1"/>
          <w:bCs w:val="1"/>
          <w:i w:val="1"/>
          <w:iCs w:val="1"/>
          <w:color w:val="004160"/>
        </w:rPr>
        <w:t>Applicable Exchange</w:t>
      </w:r>
      <w:r>
        <w:rPr>
          <w:rFonts w:ascii="Arial" w:cs="Arial" w:eastAsia="Arial" w:hAnsi="Arial"/>
          <w:sz w:val="18"/>
          <w:szCs w:val="18"/>
          <w:color w:val="004160"/>
        </w:rPr>
        <w:t>”), as applicable, on the third-trading day after such information is publicly released (i.e., the next trading day after two full trading days has elapsed since the release of such information), whether through a report filed with the SEC or through major news wire services, or recognized news services.</w:t>
      </w:r>
    </w:p>
    <w:p>
      <w:pPr>
        <w:spacing w:after="0" w:line="5" w:lineRule="exact"/>
        <w:rPr>
          <w:rFonts w:ascii="Arial" w:cs="Arial" w:eastAsia="Arial" w:hAnsi="Arial"/>
          <w:sz w:val="18"/>
          <w:szCs w:val="18"/>
          <w:color w:val="004160"/>
        </w:rPr>
      </w:pPr>
    </w:p>
    <w:p>
      <w:pPr>
        <w:ind w:left="759"/>
        <w:spacing w:after="0" w:line="244" w:lineRule="auto"/>
        <w:rPr>
          <w:rFonts w:ascii="Arial" w:cs="Arial" w:eastAsia="Arial" w:hAnsi="Arial"/>
          <w:sz w:val="18"/>
          <w:szCs w:val="18"/>
          <w:color w:val="004160"/>
        </w:rPr>
      </w:pPr>
      <w:r>
        <w:rPr>
          <w:rFonts w:ascii="Arial" w:cs="Arial" w:eastAsia="Arial" w:hAnsi="Arial"/>
          <w:sz w:val="18"/>
          <w:szCs w:val="18"/>
          <w:color w:val="004160"/>
        </w:rPr>
        <w:t>For example, if an announcement is made on a Monday before trading on the Applicable Exchange opens (i.e., before 9:00 a.m. (EST)), a person who was aware of the information in the announcement prior to its public release would not be able to trade until the opening of trading on the Applicable Exchange on Wednesday. If an announcement is made after trading on the Applicable Exchange closes on a Monday, but before trading on the Applicable Exchange opens on Tuesday (i.e., before 9:30 a.m. (EST)), such person would not be able to trade until the opening of trading on the Applicable Exchange on Thursday.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772160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1241" w:top="1440" w:right="519" w:bottom="1440" w:gutter="0" w:footer="0" w:header="0"/>
        </w:sectPr>
      </w:pPr>
    </w:p>
    <w:bookmarkStart w:id="124" w:name="page125"/>
    <w:bookmarkEnd w:id="124"/>
    <w:p>
      <w:pPr>
        <w:spacing w:after="0" w:line="369" w:lineRule="exact"/>
        <w:rPr>
          <w:sz w:val="20"/>
          <w:szCs w:val="20"/>
          <w:color w:val="auto"/>
        </w:rPr>
      </w:pPr>
    </w:p>
    <w:p>
      <w:pPr>
        <w:ind w:left="728" w:right="60" w:hanging="728"/>
        <w:spacing w:after="0" w:line="243" w:lineRule="auto"/>
        <w:tabs>
          <w:tab w:leader="none" w:pos="728" w:val="left"/>
        </w:tabs>
        <w:numPr>
          <w:ilvl w:val="0"/>
          <w:numId w:val="92"/>
        </w:numPr>
        <w:rPr>
          <w:rFonts w:ascii="Arial" w:cs="Arial" w:eastAsia="Arial" w:hAnsi="Arial"/>
          <w:sz w:val="18"/>
          <w:szCs w:val="18"/>
          <w:color w:val="004160"/>
        </w:rPr>
      </w:pPr>
      <w:r>
        <w:rPr>
          <w:rFonts w:ascii="Arial" w:cs="Arial" w:eastAsia="Arial" w:hAnsi="Arial"/>
          <w:sz w:val="18"/>
          <w:szCs w:val="18"/>
          <w:u w:val="single" w:color="auto"/>
          <w:color w:val="004160"/>
        </w:rPr>
        <w:t>Short-Term or Speculative Transactions.</w:t>
      </w:r>
      <w:r>
        <w:rPr>
          <w:rFonts w:ascii="Arial" w:cs="Arial" w:eastAsia="Arial" w:hAnsi="Arial"/>
          <w:sz w:val="18"/>
          <w:szCs w:val="18"/>
          <w:color w:val="004160"/>
        </w:rPr>
        <w:t xml:space="preserve"> All persons covered by this Policy, including, Directors, Section 16 officers, employees, consultants, contractors and related entities are strictly prohibited from engaging in short-term or speculative transactions involving Palomar securities, such as publicly traded options, short sales, puts and calls, hedging, pledging and other monetization transactions, unless the Compliance Officer or one of his or her designees provides prior written approval. This prohibition also applies to holding Palomar securities in a margin account and “short sales against the box,” which are sales of Palomar securities where a person does not deliver the shares he or she owns to settle the transaction but instead delivers other shares that his or her broker has borrowed from others. All persons subject to this Policy must obtain the specific prior written authorization of the Compliance Officer before engaging in short-term or speculative transactions involving Palomar securities.</w:t>
      </w:r>
    </w:p>
    <w:p>
      <w:pPr>
        <w:spacing w:after="0" w:line="179" w:lineRule="exact"/>
        <w:rPr>
          <w:rFonts w:ascii="Arial" w:cs="Arial" w:eastAsia="Arial" w:hAnsi="Arial"/>
          <w:sz w:val="18"/>
          <w:szCs w:val="18"/>
          <w:color w:val="004160"/>
        </w:rPr>
      </w:pPr>
    </w:p>
    <w:p>
      <w:pPr>
        <w:ind w:left="728" w:right="40" w:hanging="728"/>
        <w:spacing w:after="0" w:line="246" w:lineRule="auto"/>
        <w:tabs>
          <w:tab w:leader="none" w:pos="728" w:val="left"/>
        </w:tabs>
        <w:numPr>
          <w:ilvl w:val="0"/>
          <w:numId w:val="92"/>
        </w:numPr>
        <w:rPr>
          <w:rFonts w:ascii="Arial" w:cs="Arial" w:eastAsia="Arial" w:hAnsi="Arial"/>
          <w:sz w:val="18"/>
          <w:szCs w:val="18"/>
          <w:color w:val="004160"/>
        </w:rPr>
      </w:pPr>
      <w:r>
        <w:rPr>
          <w:rFonts w:ascii="Arial" w:cs="Arial" w:eastAsia="Arial" w:hAnsi="Arial"/>
          <w:sz w:val="18"/>
          <w:szCs w:val="18"/>
          <w:u w:val="single" w:color="auto"/>
          <w:color w:val="004160"/>
        </w:rPr>
        <w:t>Post-Employment Transactions.</w:t>
      </w:r>
      <w:r>
        <w:rPr>
          <w:rFonts w:ascii="Arial" w:cs="Arial" w:eastAsia="Arial" w:hAnsi="Arial"/>
          <w:sz w:val="18"/>
          <w:szCs w:val="18"/>
          <w:color w:val="004160"/>
        </w:rPr>
        <w:t xml:space="preserve"> If a person is aware of material non-public information about Palomar when his or her employment terminates, this Policy’s restrictions on trading and communicating material non-public information will continue to apply. Such a person may not trade in Palomar securities until that information has become public or is no longer material. In addition, since stock options generally expire 90 days after termination, the person should refer to the stock option section above for guidance regarding exercising stock options that may expire while he or she is aware of material non-public information. A person also may contact the Compliance Officer or his or her designee to further discuss their alternatives in this circumstance.</w:t>
      </w:r>
    </w:p>
    <w:p>
      <w:pPr>
        <w:spacing w:after="0" w:line="188" w:lineRule="exact"/>
        <w:rPr>
          <w:rFonts w:ascii="Arial" w:cs="Arial" w:eastAsia="Arial" w:hAnsi="Arial"/>
          <w:sz w:val="18"/>
          <w:szCs w:val="18"/>
          <w:color w:val="004160"/>
        </w:rPr>
      </w:pPr>
    </w:p>
    <w:p>
      <w:pPr>
        <w:ind w:left="728" w:hanging="728"/>
        <w:spacing w:after="0" w:line="243" w:lineRule="auto"/>
        <w:tabs>
          <w:tab w:leader="none" w:pos="728" w:val="left"/>
        </w:tabs>
        <w:numPr>
          <w:ilvl w:val="0"/>
          <w:numId w:val="92"/>
        </w:numPr>
        <w:rPr>
          <w:rFonts w:ascii="Arial" w:cs="Arial" w:eastAsia="Arial" w:hAnsi="Arial"/>
          <w:sz w:val="18"/>
          <w:szCs w:val="18"/>
          <w:color w:val="004160"/>
        </w:rPr>
      </w:pPr>
      <w:r>
        <w:rPr>
          <w:rFonts w:ascii="Arial" w:cs="Arial" w:eastAsia="Arial" w:hAnsi="Arial"/>
          <w:sz w:val="18"/>
          <w:szCs w:val="18"/>
          <w:u w:val="single" w:color="auto"/>
          <w:color w:val="004160"/>
        </w:rPr>
        <w:t>Blackout Period.</w:t>
      </w:r>
      <w:r>
        <w:rPr>
          <w:rFonts w:ascii="Arial" w:cs="Arial" w:eastAsia="Arial" w:hAnsi="Arial"/>
          <w:sz w:val="18"/>
          <w:szCs w:val="18"/>
          <w:color w:val="004160"/>
        </w:rPr>
        <w:t xml:space="preserve"> Directors, Section 16 officers and certain other persons designated by the Compliance Officer (“</w:t>
      </w:r>
      <w:r>
        <w:rPr>
          <w:rFonts w:ascii="Arial" w:cs="Arial" w:eastAsia="Arial" w:hAnsi="Arial"/>
          <w:sz w:val="18"/>
          <w:szCs w:val="18"/>
          <w:b w:val="1"/>
          <w:bCs w:val="1"/>
          <w:i w:val="1"/>
          <w:iCs w:val="1"/>
          <w:color w:val="004160"/>
        </w:rPr>
        <w:t>Blackout</w:t>
      </w:r>
      <w:r>
        <w:rPr>
          <w:rFonts w:ascii="Arial" w:cs="Arial" w:eastAsia="Arial" w:hAnsi="Arial"/>
          <w:sz w:val="18"/>
          <w:szCs w:val="18"/>
          <w:color w:val="004160"/>
        </w:rPr>
        <w:t xml:space="preserve"> </w:t>
      </w:r>
      <w:r>
        <w:rPr>
          <w:rFonts w:ascii="Arial" w:cs="Arial" w:eastAsia="Arial" w:hAnsi="Arial"/>
          <w:sz w:val="18"/>
          <w:szCs w:val="18"/>
          <w:b w:val="1"/>
          <w:bCs w:val="1"/>
          <w:i w:val="1"/>
          <w:iCs w:val="1"/>
          <w:color w:val="004160"/>
        </w:rPr>
        <w:t>Covered Individuals</w:t>
      </w:r>
      <w:r>
        <w:rPr>
          <w:rFonts w:ascii="Arial" w:cs="Arial" w:eastAsia="Arial" w:hAnsi="Arial"/>
          <w:sz w:val="18"/>
          <w:szCs w:val="18"/>
          <w:color w:val="004160"/>
        </w:rPr>
        <w:t>”) may not trade in securities in the open market during a no-trade period (“</w:t>
      </w:r>
      <w:r>
        <w:rPr>
          <w:rFonts w:ascii="Arial" w:cs="Arial" w:eastAsia="Arial" w:hAnsi="Arial"/>
          <w:sz w:val="18"/>
          <w:szCs w:val="18"/>
          <w:b w:val="1"/>
          <w:bCs w:val="1"/>
          <w:i w:val="1"/>
          <w:iCs w:val="1"/>
          <w:color w:val="004160"/>
        </w:rPr>
        <w:t>Blackout Period</w:t>
      </w:r>
      <w:r>
        <w:rPr>
          <w:rFonts w:ascii="Arial" w:cs="Arial" w:eastAsia="Arial" w:hAnsi="Arial"/>
          <w:sz w:val="18"/>
          <w:szCs w:val="18"/>
          <w:color w:val="004160"/>
        </w:rPr>
        <w:t>”). Each</w:t>
      </w:r>
      <w:r>
        <w:rPr>
          <w:rFonts w:ascii="Arial" w:cs="Arial" w:eastAsia="Arial" w:hAnsi="Arial"/>
          <w:sz w:val="18"/>
          <w:szCs w:val="18"/>
          <w:b w:val="1"/>
          <w:bCs w:val="1"/>
          <w:i w:val="1"/>
          <w:iCs w:val="1"/>
          <w:color w:val="004160"/>
        </w:rPr>
        <w:t xml:space="preserve"> </w:t>
      </w:r>
      <w:r>
        <w:rPr>
          <w:rFonts w:ascii="Arial" w:cs="Arial" w:eastAsia="Arial" w:hAnsi="Arial"/>
          <w:sz w:val="18"/>
          <w:szCs w:val="18"/>
          <w:color w:val="004160"/>
        </w:rPr>
        <w:t>person designated by the Compliance Officer as a Blackout Covered Individual shall be notified of such designation, and Palomar shall maintain a list of all Blackout Covered Individuals. An exception to this prohibition may apply for transactions effected pursuant to a pre-approved Rule 10b5-1 plan as discussed below. The quarterly Blackout Period begins fifteen days prior to the end of every fiscal quarter and continues until the second-trading day after Palomar’s earnings for that quarter are publicly released. The Compliance Officer may impose additional Blackout Periods for all or some Blackout Covered Individuals and other employees when Palomar may be aware of material non- public information as the Compliance Officer deems necessary or appropriate. All Blackout Covered Individuals also are subject to all other restrictions in this Policy.</w:t>
      </w:r>
    </w:p>
    <w:p>
      <w:pPr>
        <w:spacing w:after="0" w:line="179" w:lineRule="exact"/>
        <w:rPr>
          <w:rFonts w:ascii="Arial" w:cs="Arial" w:eastAsia="Arial" w:hAnsi="Arial"/>
          <w:sz w:val="18"/>
          <w:szCs w:val="18"/>
          <w:color w:val="004160"/>
        </w:rPr>
      </w:pPr>
    </w:p>
    <w:p>
      <w:pPr>
        <w:ind w:left="748" w:right="200"/>
        <w:spacing w:after="0" w:line="245" w:lineRule="auto"/>
        <w:rPr>
          <w:rFonts w:ascii="Arial" w:cs="Arial" w:eastAsia="Arial" w:hAnsi="Arial"/>
          <w:sz w:val="18"/>
          <w:szCs w:val="18"/>
          <w:color w:val="004160"/>
        </w:rPr>
      </w:pPr>
      <w:r>
        <w:rPr>
          <w:rFonts w:ascii="Arial" w:cs="Arial" w:eastAsia="Arial" w:hAnsi="Arial"/>
          <w:sz w:val="18"/>
          <w:szCs w:val="18"/>
          <w:color w:val="004160"/>
        </w:rPr>
        <w:t>In addition, the Sarbanes-Oxley Act of 2002 prohibits all trades of Palomar securities by Directors and Section 16 officers of Palomar during a “</w:t>
      </w:r>
      <w:r>
        <w:rPr>
          <w:rFonts w:ascii="Arial" w:cs="Arial" w:eastAsia="Arial" w:hAnsi="Arial"/>
          <w:sz w:val="18"/>
          <w:szCs w:val="18"/>
          <w:b w:val="1"/>
          <w:bCs w:val="1"/>
          <w:i w:val="1"/>
          <w:iCs w:val="1"/>
          <w:color w:val="004160"/>
        </w:rPr>
        <w:t>pension fund blackout period</w:t>
      </w:r>
      <w:r>
        <w:rPr>
          <w:rFonts w:ascii="Arial" w:cs="Arial" w:eastAsia="Arial" w:hAnsi="Arial"/>
          <w:sz w:val="18"/>
          <w:szCs w:val="18"/>
          <w:color w:val="004160"/>
        </w:rPr>
        <w:t>.” A pension fund blackout period exists whenever 50% or more of the participants in a Palomar benefit plan are unable to conduct transactions in their Palomar common stock accounts for more than three (3) consecutive business days. These blackout periods typically occur when there is a change in the benefit plan’s trustee, record keeper or investment manager. Individuals that are subject to these blackout periods will be contacted when these periods are instituted from time to time.</w:t>
      </w:r>
    </w:p>
    <w:p>
      <w:pPr>
        <w:spacing w:after="0" w:line="190" w:lineRule="exact"/>
        <w:rPr>
          <w:rFonts w:ascii="Arial" w:cs="Arial" w:eastAsia="Arial" w:hAnsi="Arial"/>
          <w:sz w:val="18"/>
          <w:szCs w:val="18"/>
          <w:color w:val="004160"/>
        </w:rPr>
      </w:pPr>
    </w:p>
    <w:p>
      <w:pPr>
        <w:ind w:left="748" w:hanging="748"/>
        <w:spacing w:after="0"/>
        <w:tabs>
          <w:tab w:leader="none" w:pos="748" w:val="left"/>
        </w:tabs>
        <w:numPr>
          <w:ilvl w:val="0"/>
          <w:numId w:val="92"/>
        </w:numPr>
        <w:rPr>
          <w:rFonts w:ascii="Arial" w:cs="Arial" w:eastAsia="Arial" w:hAnsi="Arial"/>
          <w:sz w:val="18"/>
          <w:szCs w:val="18"/>
          <w:color w:val="004160"/>
        </w:rPr>
      </w:pPr>
      <w:r>
        <w:rPr>
          <w:rFonts w:ascii="Arial" w:cs="Arial" w:eastAsia="Arial" w:hAnsi="Arial"/>
          <w:sz w:val="18"/>
          <w:szCs w:val="18"/>
          <w:u w:val="single" w:color="auto"/>
          <w:color w:val="004160"/>
        </w:rPr>
        <w:t>Pre-Clearance for Directors, Section 16 Officers and Section 16 Filings.</w:t>
      </w:r>
    </w:p>
    <w:p>
      <w:pPr>
        <w:spacing w:after="0" w:line="211" w:lineRule="exact"/>
        <w:rPr>
          <w:rFonts w:ascii="Arial" w:cs="Arial" w:eastAsia="Arial" w:hAnsi="Arial"/>
          <w:sz w:val="18"/>
          <w:szCs w:val="18"/>
          <w:color w:val="004160"/>
        </w:rPr>
      </w:pPr>
    </w:p>
    <w:p>
      <w:pPr>
        <w:ind w:left="1488" w:right="300" w:hanging="739"/>
        <w:spacing w:after="0" w:line="248" w:lineRule="auto"/>
        <w:tabs>
          <w:tab w:leader="none" w:pos="1488" w:val="left"/>
        </w:tabs>
        <w:numPr>
          <w:ilvl w:val="1"/>
          <w:numId w:val="92"/>
        </w:numPr>
        <w:rPr>
          <w:rFonts w:ascii="Arial" w:cs="Arial" w:eastAsia="Arial" w:hAnsi="Arial"/>
          <w:sz w:val="18"/>
          <w:szCs w:val="18"/>
          <w:color w:val="004160"/>
        </w:rPr>
      </w:pPr>
      <w:r>
        <w:rPr>
          <w:rFonts w:ascii="Arial" w:cs="Arial" w:eastAsia="Arial" w:hAnsi="Arial"/>
          <w:sz w:val="18"/>
          <w:szCs w:val="18"/>
          <w:color w:val="004160"/>
        </w:rPr>
        <w:t>Each Director and Section 16 officer must obtain pre-clearance from the Compliance Officer or one of his or her designees before engaging in the following transactions (including any transactions by their immediate family members) in Palomar securities: purchases; sales; gifts; transactions in his or her 401(k) plan or deferred compensation plan; transactions in an IRA or Roth IRA; and for Section 16 officers, any other transactions that are required to be reported under Section 16 of the Securities Exchange Act of 1934, as amended. Such Director and Section 16 Officer must obtain pre-clearance in the manner set forth in Paragraph 15 below.</w:t>
      </w:r>
    </w:p>
    <w:p>
      <w:pPr>
        <w:spacing w:after="0" w:line="26" w:lineRule="exact"/>
        <w:rPr>
          <w:rFonts w:ascii="Arial" w:cs="Arial" w:eastAsia="Arial" w:hAnsi="Arial"/>
          <w:sz w:val="18"/>
          <w:szCs w:val="18"/>
          <w:color w:val="004160"/>
        </w:rPr>
      </w:pPr>
    </w:p>
    <w:p>
      <w:pPr>
        <w:ind w:left="1488" w:hanging="739"/>
        <w:spacing w:after="0"/>
        <w:tabs>
          <w:tab w:leader="none" w:pos="1488" w:val="left"/>
        </w:tabs>
        <w:numPr>
          <w:ilvl w:val="1"/>
          <w:numId w:val="92"/>
        </w:numPr>
        <w:rPr>
          <w:rFonts w:ascii="Arial" w:cs="Arial" w:eastAsia="Arial" w:hAnsi="Arial"/>
          <w:sz w:val="18"/>
          <w:szCs w:val="18"/>
          <w:color w:val="004160"/>
        </w:rPr>
      </w:pPr>
      <w:r>
        <w:rPr>
          <w:rFonts w:ascii="Arial" w:cs="Arial" w:eastAsia="Arial" w:hAnsi="Arial"/>
          <w:sz w:val="18"/>
          <w:szCs w:val="18"/>
          <w:color w:val="004160"/>
        </w:rPr>
        <w:t>Each Director and Section 16 officer must file with the SEC a Form 3 within ten (10)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802005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492" w:top="1440" w:right="539" w:bottom="1440" w:gutter="0" w:footer="0" w:header="0"/>
        </w:sectPr>
      </w:pPr>
    </w:p>
    <w:bookmarkStart w:id="125" w:name="page126"/>
    <w:bookmarkEnd w:id="125"/>
    <w:p>
      <w:pPr>
        <w:spacing w:after="0" w:line="369" w:lineRule="exact"/>
        <w:rPr>
          <w:sz w:val="20"/>
          <w:szCs w:val="20"/>
          <w:color w:val="auto"/>
        </w:rPr>
      </w:pPr>
    </w:p>
    <w:p>
      <w:pPr>
        <w:ind w:left="1488" w:right="20"/>
        <w:spacing w:after="0" w:line="253" w:lineRule="auto"/>
        <w:rPr>
          <w:sz w:val="20"/>
          <w:szCs w:val="20"/>
          <w:color w:val="auto"/>
        </w:rPr>
      </w:pPr>
      <w:r>
        <w:rPr>
          <w:rFonts w:ascii="Arial" w:cs="Arial" w:eastAsia="Arial" w:hAnsi="Arial"/>
          <w:sz w:val="18"/>
          <w:szCs w:val="18"/>
          <w:color w:val="004160"/>
        </w:rPr>
        <w:t>of becoming an insider to report his or her beneficial ownership of Palomar’s securities, including unvested options and restricted stock units. The Compliance Officer will prepare and manage the filing of the Form 3 for new Directors, if requested, and Section 16 officers.</w:t>
      </w:r>
    </w:p>
    <w:p>
      <w:pPr>
        <w:spacing w:after="0" w:line="182" w:lineRule="exact"/>
        <w:rPr>
          <w:sz w:val="20"/>
          <w:szCs w:val="20"/>
          <w:color w:val="auto"/>
        </w:rPr>
      </w:pPr>
    </w:p>
    <w:p>
      <w:pPr>
        <w:ind w:left="1488" w:right="40" w:hanging="739"/>
        <w:spacing w:after="0" w:line="243" w:lineRule="auto"/>
        <w:tabs>
          <w:tab w:leader="none" w:pos="1488" w:val="left"/>
        </w:tabs>
        <w:numPr>
          <w:ilvl w:val="1"/>
          <w:numId w:val="93"/>
        </w:numPr>
        <w:rPr>
          <w:rFonts w:ascii="Arial" w:cs="Arial" w:eastAsia="Arial" w:hAnsi="Arial"/>
          <w:sz w:val="18"/>
          <w:szCs w:val="18"/>
          <w:color w:val="004160"/>
        </w:rPr>
      </w:pPr>
      <w:r>
        <w:rPr>
          <w:rFonts w:ascii="Arial" w:cs="Arial" w:eastAsia="Arial" w:hAnsi="Arial"/>
          <w:sz w:val="18"/>
          <w:szCs w:val="18"/>
          <w:color w:val="004160"/>
        </w:rPr>
        <w:t xml:space="preserve">SEC Form 4 </w:t>
      </w:r>
      <w:r>
        <w:rPr>
          <w:rFonts w:ascii="Arial" w:cs="Arial" w:eastAsia="Arial" w:hAnsi="Arial"/>
          <w:sz w:val="18"/>
          <w:szCs w:val="18"/>
          <w:u w:val="single" w:color="auto"/>
          <w:color w:val="004160"/>
        </w:rPr>
        <w:t>must</w:t>
      </w:r>
      <w:r>
        <w:rPr>
          <w:rFonts w:ascii="Arial" w:cs="Arial" w:eastAsia="Arial" w:hAnsi="Arial"/>
          <w:sz w:val="18"/>
          <w:szCs w:val="18"/>
          <w:color w:val="004160"/>
        </w:rPr>
        <w:t xml:space="preserve"> be filed within </w:t>
      </w:r>
      <w:r>
        <w:rPr>
          <w:rFonts w:ascii="Arial" w:cs="Arial" w:eastAsia="Arial" w:hAnsi="Arial"/>
          <w:sz w:val="18"/>
          <w:szCs w:val="18"/>
          <w:u w:val="single" w:color="auto"/>
          <w:color w:val="004160"/>
        </w:rPr>
        <w:t>two (2) business days</w:t>
      </w:r>
      <w:r>
        <w:rPr>
          <w:rFonts w:ascii="Arial" w:cs="Arial" w:eastAsia="Arial" w:hAnsi="Arial"/>
          <w:sz w:val="18"/>
          <w:szCs w:val="18"/>
          <w:color w:val="004160"/>
        </w:rPr>
        <w:t xml:space="preserve"> of a reportable transaction by all Directors and Section 16 officers. Directors and Section 16 officers may obtain the Form 4 from the Compliance Officer, and should have a signed power of attorney on file with the Compliance Officer prior to entering into any Section 16 transactions. The Compliance Officer will file the completed and signed Form 4 with the SEC electronically, unless instructed otherwise by the Director or Section 16 officer. Directors and Section 16 officers should notify the Compliance Officer if they wish to file the Form 4 themselves, to avoid duplicate filings. Palomar must disclose in its periodic reports filed with the SEC any transactions by Directors and Section 16 officers which were not timely reported.</w:t>
      </w:r>
    </w:p>
    <w:p>
      <w:pPr>
        <w:spacing w:after="0" w:line="193" w:lineRule="exact"/>
        <w:rPr>
          <w:rFonts w:ascii="Arial" w:cs="Arial" w:eastAsia="Arial" w:hAnsi="Arial"/>
          <w:sz w:val="18"/>
          <w:szCs w:val="18"/>
          <w:color w:val="004160"/>
        </w:rPr>
      </w:pPr>
    </w:p>
    <w:p>
      <w:pPr>
        <w:ind w:left="748" w:hanging="748"/>
        <w:spacing w:after="0"/>
        <w:tabs>
          <w:tab w:leader="none" w:pos="748" w:val="left"/>
        </w:tabs>
        <w:numPr>
          <w:ilvl w:val="0"/>
          <w:numId w:val="94"/>
        </w:numPr>
        <w:rPr>
          <w:rFonts w:ascii="Arial" w:cs="Arial" w:eastAsia="Arial" w:hAnsi="Arial"/>
          <w:sz w:val="18"/>
          <w:szCs w:val="18"/>
          <w:color w:val="004160"/>
        </w:rPr>
      </w:pPr>
      <w:r>
        <w:rPr>
          <w:rFonts w:ascii="Arial" w:cs="Arial" w:eastAsia="Arial" w:hAnsi="Arial"/>
          <w:sz w:val="18"/>
          <w:szCs w:val="18"/>
          <w:u w:val="single" w:color="auto"/>
          <w:color w:val="004160"/>
        </w:rPr>
        <w:t>Pre-Clearance for Directors, Section 16 Officers and Other Insiders.</w:t>
      </w:r>
    </w:p>
    <w:p>
      <w:pPr>
        <w:spacing w:after="0" w:line="211" w:lineRule="exact"/>
        <w:rPr>
          <w:rFonts w:ascii="Arial" w:cs="Arial" w:eastAsia="Arial" w:hAnsi="Arial"/>
          <w:sz w:val="18"/>
          <w:szCs w:val="18"/>
          <w:color w:val="004160"/>
        </w:rPr>
      </w:pPr>
    </w:p>
    <w:p>
      <w:pPr>
        <w:ind w:left="1488" w:hanging="739"/>
        <w:spacing w:after="0"/>
        <w:tabs>
          <w:tab w:leader="none" w:pos="1488" w:val="left"/>
        </w:tabs>
        <w:numPr>
          <w:ilvl w:val="1"/>
          <w:numId w:val="94"/>
        </w:numPr>
        <w:rPr>
          <w:rFonts w:ascii="Arial" w:cs="Arial" w:eastAsia="Arial" w:hAnsi="Arial"/>
          <w:sz w:val="18"/>
          <w:szCs w:val="18"/>
          <w:color w:val="004160"/>
        </w:rPr>
      </w:pPr>
      <w:r>
        <w:rPr>
          <w:rFonts w:ascii="Arial" w:cs="Arial" w:eastAsia="Arial" w:hAnsi="Arial"/>
          <w:sz w:val="18"/>
          <w:szCs w:val="18"/>
          <w:color w:val="004160"/>
        </w:rPr>
        <w:t>Insiders who are Directors, Section 16 Officers and other individuals designated by the Compliance Officer as</w:t>
      </w:r>
    </w:p>
    <w:p>
      <w:pPr>
        <w:spacing w:after="0" w:line="13" w:lineRule="exact"/>
        <w:rPr>
          <w:rFonts w:ascii="Arial" w:cs="Arial" w:eastAsia="Arial" w:hAnsi="Arial"/>
          <w:sz w:val="18"/>
          <w:szCs w:val="18"/>
          <w:color w:val="004160"/>
        </w:rPr>
      </w:pPr>
    </w:p>
    <w:p>
      <w:pPr>
        <w:ind w:left="1488" w:right="40"/>
        <w:spacing w:after="0" w:line="266" w:lineRule="auto"/>
        <w:rPr>
          <w:rFonts w:ascii="Arial" w:cs="Arial" w:eastAsia="Arial" w:hAnsi="Arial"/>
          <w:sz w:val="18"/>
          <w:szCs w:val="18"/>
          <w:color w:val="004160"/>
        </w:rPr>
      </w:pPr>
      <w:r>
        <w:rPr>
          <w:rFonts w:ascii="Arial" w:cs="Arial" w:eastAsia="Arial" w:hAnsi="Arial"/>
          <w:sz w:val="18"/>
          <w:szCs w:val="18"/>
          <w:color w:val="004160"/>
        </w:rPr>
        <w:t>“</w:t>
      </w:r>
      <w:r>
        <w:rPr>
          <w:rFonts w:ascii="Arial" w:cs="Arial" w:eastAsia="Arial" w:hAnsi="Arial"/>
          <w:sz w:val="18"/>
          <w:szCs w:val="18"/>
          <w:b w:val="1"/>
          <w:bCs w:val="1"/>
          <w:i w:val="1"/>
          <w:iCs w:val="1"/>
          <w:color w:val="004160"/>
        </w:rPr>
        <w:t>Covered Individual Requiring Pre-Clearance for Trades</w:t>
      </w:r>
      <w:r>
        <w:rPr>
          <w:rFonts w:ascii="Arial" w:cs="Arial" w:eastAsia="Arial" w:hAnsi="Arial"/>
          <w:sz w:val="18"/>
          <w:szCs w:val="18"/>
          <w:color w:val="004160"/>
        </w:rPr>
        <w:t>,” must obtain pre-clearance from the Compliance Officer or one of his or her designees before trading in Palomar securities.</w:t>
      </w:r>
    </w:p>
    <w:p>
      <w:pPr>
        <w:spacing w:after="0" w:line="157" w:lineRule="exact"/>
        <w:rPr>
          <w:rFonts w:ascii="Arial" w:cs="Arial" w:eastAsia="Arial" w:hAnsi="Arial"/>
          <w:sz w:val="18"/>
          <w:szCs w:val="18"/>
          <w:color w:val="004160"/>
        </w:rPr>
      </w:pPr>
    </w:p>
    <w:p>
      <w:pPr>
        <w:jc w:val="both"/>
        <w:ind w:left="1468" w:right="260" w:hanging="719"/>
        <w:spacing w:after="0" w:line="261" w:lineRule="auto"/>
        <w:tabs>
          <w:tab w:leader="none" w:pos="1468" w:val="left"/>
        </w:tabs>
        <w:numPr>
          <w:ilvl w:val="1"/>
          <w:numId w:val="94"/>
        </w:numPr>
        <w:rPr>
          <w:rFonts w:ascii="Arial" w:cs="Arial" w:eastAsia="Arial" w:hAnsi="Arial"/>
          <w:sz w:val="18"/>
          <w:szCs w:val="18"/>
          <w:color w:val="004160"/>
        </w:rPr>
      </w:pPr>
      <w:r>
        <w:rPr>
          <w:rFonts w:ascii="Arial" w:cs="Arial" w:eastAsia="Arial" w:hAnsi="Arial"/>
          <w:sz w:val="18"/>
          <w:szCs w:val="18"/>
          <w:color w:val="004160"/>
        </w:rPr>
        <w:t xml:space="preserve">The Covered Individual Requiring Pre-Clearance for Trades must notify the Compliance Officer of the amount and nature of the proposed trade(s) using the Pre-Clearance Request form attached in substantially the form hereto as </w:t>
      </w:r>
      <w:r>
        <w:rPr>
          <w:rFonts w:ascii="Arial" w:cs="Arial" w:eastAsia="Arial" w:hAnsi="Arial"/>
          <w:sz w:val="18"/>
          <w:szCs w:val="18"/>
          <w:u w:val="single" w:color="auto"/>
          <w:color w:val="004160"/>
        </w:rPr>
        <w:t>Exhibit B.</w:t>
      </w:r>
    </w:p>
    <w:p>
      <w:pPr>
        <w:spacing w:after="0" w:line="161" w:lineRule="exact"/>
        <w:rPr>
          <w:rFonts w:ascii="Arial" w:cs="Arial" w:eastAsia="Arial" w:hAnsi="Arial"/>
          <w:sz w:val="18"/>
          <w:szCs w:val="18"/>
          <w:color w:val="004160"/>
        </w:rPr>
      </w:pPr>
    </w:p>
    <w:p>
      <w:pPr>
        <w:ind w:left="1468" w:right="120" w:hanging="719"/>
        <w:spacing w:after="0" w:line="271" w:lineRule="auto"/>
        <w:tabs>
          <w:tab w:leader="none" w:pos="1468" w:val="left"/>
        </w:tabs>
        <w:numPr>
          <w:ilvl w:val="1"/>
          <w:numId w:val="94"/>
        </w:numPr>
        <w:rPr>
          <w:rFonts w:ascii="Arial" w:cs="Arial" w:eastAsia="Arial" w:hAnsi="Arial"/>
          <w:sz w:val="18"/>
          <w:szCs w:val="18"/>
          <w:color w:val="004160"/>
        </w:rPr>
      </w:pPr>
      <w:r>
        <w:rPr>
          <w:rFonts w:ascii="Arial" w:cs="Arial" w:eastAsia="Arial" w:hAnsi="Arial"/>
          <w:sz w:val="18"/>
          <w:szCs w:val="18"/>
          <w:color w:val="004160"/>
        </w:rPr>
        <w:t>If practicable, the Pre-Clearance Form should be submitted to the Compliance Officer at least two (2) business days prior to the date of the intended trade date.</w:t>
      </w:r>
    </w:p>
    <w:p>
      <w:pPr>
        <w:spacing w:after="0" w:line="167" w:lineRule="exact"/>
        <w:rPr>
          <w:rFonts w:ascii="Arial" w:cs="Arial" w:eastAsia="Arial" w:hAnsi="Arial"/>
          <w:sz w:val="18"/>
          <w:szCs w:val="18"/>
          <w:color w:val="004160"/>
        </w:rPr>
      </w:pPr>
    </w:p>
    <w:p>
      <w:pPr>
        <w:ind w:left="1488" w:hanging="739"/>
        <w:spacing w:after="0" w:line="245" w:lineRule="auto"/>
        <w:tabs>
          <w:tab w:leader="none" w:pos="1488" w:val="left"/>
        </w:tabs>
        <w:numPr>
          <w:ilvl w:val="1"/>
          <w:numId w:val="94"/>
        </w:numPr>
        <w:rPr>
          <w:rFonts w:ascii="Arial" w:cs="Arial" w:eastAsia="Arial" w:hAnsi="Arial"/>
          <w:sz w:val="18"/>
          <w:szCs w:val="18"/>
          <w:color w:val="004160"/>
        </w:rPr>
      </w:pPr>
      <w:r>
        <w:rPr>
          <w:rFonts w:ascii="Arial" w:cs="Arial" w:eastAsia="Arial" w:hAnsi="Arial"/>
          <w:sz w:val="18"/>
          <w:szCs w:val="18"/>
          <w:color w:val="004160"/>
        </w:rPr>
        <w:t>The existence of this approval process does not obligate the Compliance Officer to approve any particular trade requested by a Covered Individual Requiring Pre-Clearance for Trades. From time to time, an event may occur that is material to Palomar and is known by only a few Directors or Executives. So long as the event remains material and non-public, the Compliance Officer may determine not to approve any transactions in Palomar’s securities. If a Covered Individual Requiring Pre-Clearance for Trades requests clearance to trade in Palomar’s securities during the pendency of such an event, the Compliance Officer may reject the trading request without disclosing the reason.</w:t>
      </w:r>
    </w:p>
    <w:p>
      <w:pPr>
        <w:spacing w:after="0" w:line="190" w:lineRule="exact"/>
        <w:rPr>
          <w:rFonts w:ascii="Arial" w:cs="Arial" w:eastAsia="Arial" w:hAnsi="Arial"/>
          <w:sz w:val="18"/>
          <w:szCs w:val="18"/>
          <w:color w:val="004160"/>
        </w:rPr>
      </w:pPr>
    </w:p>
    <w:p>
      <w:pPr>
        <w:ind w:left="1468" w:right="440" w:hanging="719"/>
        <w:spacing w:after="0" w:line="253" w:lineRule="auto"/>
        <w:tabs>
          <w:tab w:leader="none" w:pos="1468" w:val="left"/>
        </w:tabs>
        <w:numPr>
          <w:ilvl w:val="1"/>
          <w:numId w:val="94"/>
        </w:numPr>
        <w:rPr>
          <w:rFonts w:ascii="Arial" w:cs="Arial" w:eastAsia="Arial" w:hAnsi="Arial"/>
          <w:sz w:val="18"/>
          <w:szCs w:val="18"/>
          <w:color w:val="004160"/>
        </w:rPr>
      </w:pPr>
      <w:r>
        <w:rPr>
          <w:rFonts w:ascii="Arial" w:cs="Arial" w:eastAsia="Arial" w:hAnsi="Arial"/>
          <w:sz w:val="18"/>
          <w:szCs w:val="18"/>
          <w:color w:val="004160"/>
        </w:rPr>
        <w:t>After receiving written clearance to engage in a trade by the Compliance Officer, a Covered Individual Requiring Pre-Clearance for Trades must complete the proposed trade within five (5) business days of the intended date disclosed on the Pre-Clearance Form or make a new trading request.</w:t>
      </w:r>
    </w:p>
    <w:p>
      <w:pPr>
        <w:spacing w:after="0" w:line="168" w:lineRule="exact"/>
        <w:rPr>
          <w:rFonts w:ascii="Arial" w:cs="Arial" w:eastAsia="Arial" w:hAnsi="Arial"/>
          <w:sz w:val="18"/>
          <w:szCs w:val="18"/>
          <w:color w:val="004160"/>
        </w:rPr>
      </w:pPr>
    </w:p>
    <w:p>
      <w:pPr>
        <w:ind w:left="1468" w:right="460" w:hanging="719"/>
        <w:spacing w:after="0" w:line="261" w:lineRule="auto"/>
        <w:tabs>
          <w:tab w:leader="none" w:pos="1468" w:val="left"/>
        </w:tabs>
        <w:numPr>
          <w:ilvl w:val="1"/>
          <w:numId w:val="94"/>
        </w:numPr>
        <w:rPr>
          <w:rFonts w:ascii="Arial" w:cs="Arial" w:eastAsia="Arial" w:hAnsi="Arial"/>
          <w:sz w:val="18"/>
          <w:szCs w:val="18"/>
          <w:color w:val="004160"/>
        </w:rPr>
      </w:pPr>
      <w:r>
        <w:rPr>
          <w:rFonts w:ascii="Arial" w:cs="Arial" w:eastAsia="Arial" w:hAnsi="Arial"/>
          <w:sz w:val="18"/>
          <w:szCs w:val="18"/>
          <w:color w:val="004160"/>
        </w:rPr>
        <w:t>Each person designated by the Compliance Officer as a Covered Individual Requiring Pre-Clearance for Trades shall be notified of such designation, and Palomar shall maintain a list of all Covered Individual Requiring Pre-Clearance for Trades</w:t>
      </w:r>
    </w:p>
    <w:p>
      <w:pPr>
        <w:spacing w:after="0" w:line="161" w:lineRule="exact"/>
        <w:rPr>
          <w:rFonts w:ascii="Arial" w:cs="Arial" w:eastAsia="Arial" w:hAnsi="Arial"/>
          <w:sz w:val="18"/>
          <w:szCs w:val="18"/>
          <w:color w:val="004160"/>
        </w:rPr>
      </w:pPr>
    </w:p>
    <w:p>
      <w:pPr>
        <w:ind w:left="748" w:right="860" w:hanging="748"/>
        <w:spacing w:after="0" w:line="287" w:lineRule="auto"/>
        <w:tabs>
          <w:tab w:leader="none" w:pos="748" w:val="left"/>
        </w:tabs>
        <w:numPr>
          <w:ilvl w:val="0"/>
          <w:numId w:val="94"/>
        </w:numPr>
        <w:rPr>
          <w:rFonts w:ascii="Arial" w:cs="Arial" w:eastAsia="Arial" w:hAnsi="Arial"/>
          <w:sz w:val="18"/>
          <w:szCs w:val="18"/>
          <w:color w:val="004160"/>
        </w:rPr>
      </w:pPr>
      <w:r>
        <w:rPr>
          <w:rFonts w:ascii="Arial" w:cs="Arial" w:eastAsia="Arial" w:hAnsi="Arial"/>
          <w:sz w:val="18"/>
          <w:szCs w:val="18"/>
          <w:u w:val="single" w:color="auto"/>
          <w:color w:val="004160"/>
        </w:rPr>
        <w:t>Rule 10b5-1 Plans.</w:t>
      </w:r>
      <w:r>
        <w:rPr>
          <w:rFonts w:ascii="Arial" w:cs="Arial" w:eastAsia="Arial" w:hAnsi="Arial"/>
          <w:sz w:val="18"/>
          <w:szCs w:val="18"/>
          <w:color w:val="004160"/>
        </w:rPr>
        <w:t xml:space="preserve"> Under SEC Rule 10b5-1, a person may have an affirmative defense to insider trading liability for transactions in Palomar securities that are effected pursuant to a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748030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8"/>
          </w:cols>
          <w:pgMar w:left="492" w:top="1440" w:right="599" w:bottom="1440" w:gutter="0" w:footer="0" w:header="0"/>
        </w:sectPr>
      </w:pPr>
    </w:p>
    <w:bookmarkStart w:id="126" w:name="page127"/>
    <w:bookmarkEnd w:id="126"/>
    <w:p>
      <w:pPr>
        <w:spacing w:after="0" w:line="369" w:lineRule="exact"/>
        <w:rPr>
          <w:sz w:val="20"/>
          <w:szCs w:val="20"/>
          <w:color w:val="auto"/>
        </w:rPr>
      </w:pPr>
    </w:p>
    <w:p>
      <w:pPr>
        <w:jc w:val="both"/>
        <w:ind w:left="748" w:right="120"/>
        <w:spacing w:after="0" w:line="253" w:lineRule="auto"/>
        <w:rPr>
          <w:sz w:val="20"/>
          <w:szCs w:val="20"/>
          <w:color w:val="auto"/>
        </w:rPr>
      </w:pPr>
      <w:r>
        <w:rPr>
          <w:rFonts w:ascii="Arial" w:cs="Arial" w:eastAsia="Arial" w:hAnsi="Arial"/>
          <w:sz w:val="18"/>
          <w:szCs w:val="18"/>
          <w:color w:val="004160"/>
        </w:rPr>
        <w:t>contract or plan meeting certain requirements. In short, the rule presents an opportunity for a person to pre-arrange a sale or purchase of Palomar securities (including an option exercise), provided that, at the time the person establishes such a plan, he or she is not aware of material non-public information.</w:t>
      </w:r>
    </w:p>
    <w:p>
      <w:pPr>
        <w:spacing w:after="0" w:line="169" w:lineRule="exact"/>
        <w:rPr>
          <w:sz w:val="20"/>
          <w:szCs w:val="20"/>
          <w:color w:val="auto"/>
        </w:rPr>
      </w:pPr>
    </w:p>
    <w:p>
      <w:pPr>
        <w:ind w:left="748"/>
        <w:spacing w:after="0"/>
        <w:rPr>
          <w:sz w:val="20"/>
          <w:szCs w:val="20"/>
          <w:color w:val="auto"/>
        </w:rPr>
      </w:pPr>
      <w:r>
        <w:rPr>
          <w:rFonts w:ascii="Arial" w:cs="Arial" w:eastAsia="Arial" w:hAnsi="Arial"/>
          <w:sz w:val="18"/>
          <w:szCs w:val="18"/>
          <w:color w:val="004160"/>
        </w:rPr>
        <w:t>In order to satisfy Rule 10b5-1, a plan must:</w:t>
      </w:r>
    </w:p>
    <w:p>
      <w:pPr>
        <w:spacing w:after="0" w:line="212" w:lineRule="exact"/>
        <w:rPr>
          <w:sz w:val="20"/>
          <w:szCs w:val="20"/>
          <w:color w:val="auto"/>
        </w:rPr>
      </w:pPr>
    </w:p>
    <w:p>
      <w:pPr>
        <w:ind w:left="1468" w:right="840" w:hanging="719"/>
        <w:spacing w:after="0" w:line="271" w:lineRule="auto"/>
        <w:tabs>
          <w:tab w:leader="none" w:pos="1468" w:val="left"/>
        </w:tabs>
        <w:numPr>
          <w:ilvl w:val="0"/>
          <w:numId w:val="95"/>
        </w:numPr>
        <w:rPr>
          <w:rFonts w:ascii="Arial" w:cs="Arial" w:eastAsia="Arial" w:hAnsi="Arial"/>
          <w:sz w:val="18"/>
          <w:szCs w:val="18"/>
          <w:color w:val="004160"/>
        </w:rPr>
      </w:pPr>
      <w:r>
        <w:rPr>
          <w:rFonts w:ascii="Arial" w:cs="Arial" w:eastAsia="Arial" w:hAnsi="Arial"/>
          <w:sz w:val="18"/>
          <w:szCs w:val="18"/>
          <w:color w:val="004160"/>
        </w:rPr>
        <w:t>Be documented in writing to instruct another person who is not aware of material non- public information to execute the transactions;</w:t>
      </w:r>
    </w:p>
    <w:p>
      <w:pPr>
        <w:spacing w:after="0" w:line="167" w:lineRule="exact"/>
        <w:rPr>
          <w:rFonts w:ascii="Arial" w:cs="Arial" w:eastAsia="Arial" w:hAnsi="Arial"/>
          <w:sz w:val="18"/>
          <w:szCs w:val="18"/>
          <w:color w:val="004160"/>
        </w:rPr>
      </w:pPr>
    </w:p>
    <w:p>
      <w:pPr>
        <w:ind w:left="1468" w:hanging="719"/>
        <w:spacing w:after="0"/>
        <w:tabs>
          <w:tab w:leader="none" w:pos="1468" w:val="left"/>
        </w:tabs>
        <w:numPr>
          <w:ilvl w:val="0"/>
          <w:numId w:val="95"/>
        </w:numPr>
        <w:rPr>
          <w:rFonts w:ascii="Arial" w:cs="Arial" w:eastAsia="Arial" w:hAnsi="Arial"/>
          <w:sz w:val="18"/>
          <w:szCs w:val="18"/>
          <w:color w:val="004160"/>
        </w:rPr>
      </w:pPr>
      <w:r>
        <w:rPr>
          <w:rFonts w:ascii="Arial" w:cs="Arial" w:eastAsia="Arial" w:hAnsi="Arial"/>
          <w:sz w:val="18"/>
          <w:szCs w:val="18"/>
          <w:color w:val="004160"/>
        </w:rPr>
        <w:t>Be established in good faith and at a time when the person is not aware of material non- public information; and</w:t>
      </w:r>
    </w:p>
    <w:p>
      <w:pPr>
        <w:spacing w:after="0" w:line="211" w:lineRule="exact"/>
        <w:rPr>
          <w:rFonts w:ascii="Arial" w:cs="Arial" w:eastAsia="Arial" w:hAnsi="Arial"/>
          <w:sz w:val="18"/>
          <w:szCs w:val="18"/>
          <w:color w:val="004160"/>
        </w:rPr>
      </w:pPr>
    </w:p>
    <w:p>
      <w:pPr>
        <w:ind w:left="1488" w:right="60" w:hanging="739"/>
        <w:spacing w:after="0" w:line="271" w:lineRule="auto"/>
        <w:tabs>
          <w:tab w:leader="none" w:pos="1488" w:val="left"/>
        </w:tabs>
        <w:numPr>
          <w:ilvl w:val="0"/>
          <w:numId w:val="95"/>
        </w:numPr>
        <w:rPr>
          <w:rFonts w:ascii="Arial" w:cs="Arial" w:eastAsia="Arial" w:hAnsi="Arial"/>
          <w:sz w:val="18"/>
          <w:szCs w:val="18"/>
          <w:color w:val="004160"/>
        </w:rPr>
      </w:pPr>
      <w:r>
        <w:rPr>
          <w:rFonts w:ascii="Arial" w:cs="Arial" w:eastAsia="Arial" w:hAnsi="Arial"/>
          <w:sz w:val="18"/>
          <w:szCs w:val="18"/>
          <w:color w:val="004160"/>
        </w:rPr>
        <w:t>Specify objective criteria (date, price threshold, etc.) used to determine the timing and terms of the purchase or sale, and otherwise not be subject to any influence or discretion from the person establishing the plan.</w:t>
      </w:r>
    </w:p>
    <w:p>
      <w:pPr>
        <w:spacing w:after="0" w:line="181" w:lineRule="exact"/>
        <w:rPr>
          <w:sz w:val="20"/>
          <w:szCs w:val="20"/>
          <w:color w:val="auto"/>
        </w:rPr>
      </w:pPr>
    </w:p>
    <w:p>
      <w:pPr>
        <w:ind w:left="628"/>
        <w:spacing w:after="0"/>
        <w:rPr>
          <w:sz w:val="20"/>
          <w:szCs w:val="20"/>
          <w:color w:val="auto"/>
        </w:rPr>
      </w:pPr>
      <w:r>
        <w:rPr>
          <w:rFonts w:ascii="Arial" w:cs="Arial" w:eastAsia="Arial" w:hAnsi="Arial"/>
          <w:sz w:val="18"/>
          <w:szCs w:val="18"/>
          <w:color w:val="004160"/>
        </w:rPr>
        <w:t>In addition, for Directors and Section 16 officers, the first trade under the plan may not occur until the later of:</w:t>
      </w:r>
    </w:p>
    <w:p>
      <w:pPr>
        <w:spacing w:after="0" w:line="198" w:lineRule="exact"/>
        <w:rPr>
          <w:sz w:val="20"/>
          <w:szCs w:val="20"/>
          <w:color w:val="auto"/>
        </w:rPr>
      </w:pPr>
    </w:p>
    <w:p>
      <w:pPr>
        <w:ind w:left="1328"/>
        <w:spacing w:after="0"/>
        <w:rPr>
          <w:sz w:val="20"/>
          <w:szCs w:val="20"/>
          <w:color w:val="auto"/>
        </w:rPr>
      </w:pPr>
      <w:r>
        <w:rPr>
          <w:rFonts w:ascii="Arial" w:cs="Arial" w:eastAsia="Arial" w:hAnsi="Arial"/>
          <w:sz w:val="18"/>
          <w:szCs w:val="18"/>
          <w:color w:val="004160"/>
        </w:rPr>
        <w:t>90 days after the plan’s adoption; or</w:t>
      </w:r>
    </w:p>
    <w:p>
      <w:pPr>
        <w:spacing w:after="0" w:line="225" w:lineRule="exact"/>
        <w:rPr>
          <w:sz w:val="20"/>
          <w:szCs w:val="20"/>
          <w:color w:val="auto"/>
        </w:rPr>
      </w:pPr>
    </w:p>
    <w:p>
      <w:pPr>
        <w:ind w:left="1328" w:right="300"/>
        <w:spacing w:after="0" w:line="287" w:lineRule="auto"/>
        <w:rPr>
          <w:sz w:val="20"/>
          <w:szCs w:val="20"/>
          <w:color w:val="auto"/>
        </w:rPr>
      </w:pPr>
      <w:r>
        <w:rPr>
          <w:rFonts w:ascii="Arial" w:cs="Arial" w:eastAsia="Arial" w:hAnsi="Arial"/>
          <w:sz w:val="18"/>
          <w:szCs w:val="18"/>
          <w:color w:val="004160"/>
        </w:rPr>
        <w:t>Two business days after the filing of Palomar’s Form 10-Q or Form 10-K for the fiscal quarter in which the plan was adopted or modified.</w:t>
      </w:r>
    </w:p>
    <w:p>
      <w:pPr>
        <w:spacing w:after="0" w:line="126" w:lineRule="exact"/>
        <w:rPr>
          <w:sz w:val="20"/>
          <w:szCs w:val="20"/>
          <w:color w:val="auto"/>
        </w:rPr>
      </w:pPr>
    </w:p>
    <w:p>
      <w:pPr>
        <w:ind w:left="588"/>
        <w:spacing w:after="0"/>
        <w:rPr>
          <w:sz w:val="20"/>
          <w:szCs w:val="20"/>
          <w:color w:val="auto"/>
        </w:rPr>
      </w:pPr>
      <w:r>
        <w:rPr>
          <w:rFonts w:ascii="Arial" w:cs="Arial" w:eastAsia="Arial" w:hAnsi="Arial"/>
          <w:sz w:val="18"/>
          <w:szCs w:val="18"/>
          <w:color w:val="004160"/>
        </w:rPr>
        <w:t>For Other Covered Individuals, the first trade under the plan may not occur until 30 days after the plan’s adoption.</w:t>
      </w:r>
    </w:p>
    <w:p>
      <w:pPr>
        <w:spacing w:after="0" w:line="200" w:lineRule="exact"/>
        <w:rPr>
          <w:sz w:val="20"/>
          <w:szCs w:val="20"/>
          <w:color w:val="auto"/>
        </w:rPr>
      </w:pPr>
    </w:p>
    <w:p>
      <w:pPr>
        <w:spacing w:after="0" w:line="211" w:lineRule="exact"/>
        <w:rPr>
          <w:sz w:val="20"/>
          <w:szCs w:val="20"/>
          <w:color w:val="auto"/>
        </w:rPr>
      </w:pPr>
    </w:p>
    <w:p>
      <w:pPr>
        <w:ind w:left="1488" w:hanging="739"/>
        <w:spacing w:after="0" w:line="250" w:lineRule="auto"/>
        <w:tabs>
          <w:tab w:leader="none" w:pos="1488" w:val="left"/>
        </w:tabs>
        <w:numPr>
          <w:ilvl w:val="1"/>
          <w:numId w:val="96"/>
        </w:numPr>
        <w:rPr>
          <w:rFonts w:ascii="Arial" w:cs="Arial" w:eastAsia="Arial" w:hAnsi="Arial"/>
          <w:sz w:val="18"/>
          <w:szCs w:val="18"/>
          <w:color w:val="004160"/>
        </w:rPr>
      </w:pPr>
      <w:r>
        <w:rPr>
          <w:rFonts w:ascii="Arial" w:cs="Arial" w:eastAsia="Arial" w:hAnsi="Arial"/>
          <w:sz w:val="20"/>
          <w:szCs w:val="20"/>
          <w:color w:val="004160"/>
        </w:rPr>
        <w:t>Palomar requires pre-approval by the Compliance Officer or one of his or her designees of all Rule 10b5-1 plans relating to Palomar securities established by Directors, Section 16 officers and other Covered Individuals. Such Rule 10b5-1 plan must comply with the terms of the Palomar Holdings, Inc. Rule 10b5-1 Trading Plan Policy.</w:t>
      </w:r>
    </w:p>
    <w:p>
      <w:pPr>
        <w:spacing w:after="0" w:line="178" w:lineRule="exact"/>
        <w:rPr>
          <w:rFonts w:ascii="Arial" w:cs="Arial" w:eastAsia="Arial" w:hAnsi="Arial"/>
          <w:sz w:val="18"/>
          <w:szCs w:val="18"/>
          <w:color w:val="004160"/>
        </w:rPr>
      </w:pPr>
    </w:p>
    <w:p>
      <w:pPr>
        <w:ind w:left="748" w:hanging="748"/>
        <w:spacing w:after="0"/>
        <w:tabs>
          <w:tab w:leader="none" w:pos="748" w:val="left"/>
        </w:tabs>
        <w:numPr>
          <w:ilvl w:val="0"/>
          <w:numId w:val="97"/>
        </w:numPr>
        <w:rPr>
          <w:rFonts w:ascii="Arial" w:cs="Arial" w:eastAsia="Arial" w:hAnsi="Arial"/>
          <w:sz w:val="18"/>
          <w:szCs w:val="18"/>
          <w:color w:val="004160"/>
        </w:rPr>
      </w:pPr>
      <w:r>
        <w:rPr>
          <w:rFonts w:ascii="Arial" w:cs="Arial" w:eastAsia="Arial" w:hAnsi="Arial"/>
          <w:sz w:val="18"/>
          <w:szCs w:val="18"/>
          <w:u w:val="single" w:color="auto"/>
          <w:color w:val="004160"/>
        </w:rPr>
        <w:t>Responsible party.</w:t>
      </w:r>
      <w:r>
        <w:rPr>
          <w:rFonts w:ascii="Arial" w:cs="Arial" w:eastAsia="Arial" w:hAnsi="Arial"/>
          <w:sz w:val="18"/>
          <w:szCs w:val="18"/>
          <w:color w:val="004160"/>
        </w:rPr>
        <w:t xml:space="preserve"> Palomar’s Compliance Officer is responsible for administering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
        <w:spacing w:after="0"/>
        <w:rPr>
          <w:sz w:val="20"/>
          <w:szCs w:val="20"/>
          <w:color w:val="auto"/>
        </w:rPr>
      </w:pPr>
      <w:r>
        <w:rPr>
          <w:rFonts w:ascii="Arial" w:cs="Arial" w:eastAsia="Arial" w:hAnsi="Arial"/>
          <w:sz w:val="18"/>
          <w:szCs w:val="18"/>
          <w:color w:val="004160"/>
        </w:rPr>
        <w:t>Updated: January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802005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8"/>
          </w:cols>
          <w:pgMar w:left="492" w:top="1440" w:right="639" w:bottom="1440" w:gutter="0" w:footer="0" w:header="0"/>
        </w:sectPr>
      </w:pPr>
    </w:p>
    <w:bookmarkStart w:id="127" w:name="page128"/>
    <w:bookmarkEnd w:id="127"/>
    <w:p>
      <w:pPr>
        <w:spacing w:after="0" w:line="335" w:lineRule="exact"/>
        <w:rPr>
          <w:sz w:val="20"/>
          <w:szCs w:val="20"/>
          <w:color w:val="auto"/>
        </w:rPr>
      </w:pPr>
    </w:p>
    <w:p>
      <w:pPr>
        <w:ind w:left="8"/>
        <w:spacing w:after="0"/>
        <w:rPr>
          <w:sz w:val="20"/>
          <w:szCs w:val="20"/>
          <w:color w:val="auto"/>
        </w:rPr>
      </w:pPr>
      <w:r>
        <w:rPr>
          <w:rFonts w:ascii="Arial" w:cs="Arial" w:eastAsia="Arial" w:hAnsi="Arial"/>
          <w:sz w:val="47"/>
          <w:szCs w:val="47"/>
          <w:b w:val="1"/>
          <w:bCs w:val="1"/>
          <w:color w:val="004160"/>
        </w:rPr>
        <w:t>EXHIBIT A</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36"/>
          <w:szCs w:val="36"/>
          <w:color w:val="004160"/>
        </w:rPr>
        <w:t>CERTIFICATION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
        <w:spacing w:after="0"/>
        <w:rPr>
          <w:sz w:val="20"/>
          <w:szCs w:val="20"/>
          <w:color w:val="auto"/>
        </w:rPr>
      </w:pPr>
      <w:r>
        <w:rPr>
          <w:rFonts w:ascii="Arial" w:cs="Arial" w:eastAsia="Arial" w:hAnsi="Arial"/>
          <w:sz w:val="18"/>
          <w:szCs w:val="18"/>
          <w:color w:val="004160"/>
        </w:rPr>
        <w:t>I hereby certify that:</w:t>
      </w:r>
    </w:p>
    <w:p>
      <w:pPr>
        <w:spacing w:after="0" w:line="225" w:lineRule="exact"/>
        <w:rPr>
          <w:sz w:val="20"/>
          <w:szCs w:val="20"/>
          <w:color w:val="auto"/>
        </w:rPr>
      </w:pPr>
    </w:p>
    <w:p>
      <w:pPr>
        <w:ind w:left="748" w:hanging="748"/>
        <w:spacing w:after="0"/>
        <w:tabs>
          <w:tab w:leader="none" w:pos="748" w:val="left"/>
        </w:tabs>
        <w:numPr>
          <w:ilvl w:val="0"/>
          <w:numId w:val="98"/>
        </w:numPr>
        <w:rPr>
          <w:rFonts w:ascii="Times New Roman" w:cs="Times New Roman" w:eastAsia="Times New Roman" w:hAnsi="Times New Roman"/>
          <w:sz w:val="18"/>
          <w:szCs w:val="18"/>
          <w:color w:val="004160"/>
        </w:rPr>
      </w:pPr>
      <w:r>
        <w:rPr>
          <w:rFonts w:ascii="Arial" w:cs="Arial" w:eastAsia="Arial" w:hAnsi="Arial"/>
          <w:sz w:val="18"/>
          <w:szCs w:val="18"/>
          <w:color w:val="004160"/>
        </w:rPr>
        <w:t>I have read and understand the Insider Trading Policy of Palomar Holdings, Inc. (the “Company”).</w:t>
      </w:r>
    </w:p>
    <w:p>
      <w:pPr>
        <w:spacing w:after="0" w:line="210" w:lineRule="exact"/>
        <w:rPr>
          <w:rFonts w:ascii="Times New Roman" w:cs="Times New Roman" w:eastAsia="Times New Roman" w:hAnsi="Times New Roman"/>
          <w:sz w:val="18"/>
          <w:szCs w:val="18"/>
          <w:color w:val="004160"/>
        </w:rPr>
      </w:pPr>
    </w:p>
    <w:p>
      <w:pPr>
        <w:ind w:left="728" w:hanging="728"/>
        <w:spacing w:after="0" w:line="270" w:lineRule="auto"/>
        <w:tabs>
          <w:tab w:leader="none" w:pos="728" w:val="left"/>
        </w:tabs>
        <w:numPr>
          <w:ilvl w:val="0"/>
          <w:numId w:val="98"/>
        </w:numPr>
        <w:rPr>
          <w:rFonts w:ascii="Times New Roman" w:cs="Times New Roman" w:eastAsia="Times New Roman" w:hAnsi="Times New Roman"/>
          <w:sz w:val="18"/>
          <w:szCs w:val="18"/>
          <w:color w:val="004160"/>
        </w:rPr>
      </w:pPr>
      <w:r>
        <w:rPr>
          <w:rFonts w:ascii="Arial" w:cs="Arial" w:eastAsia="Arial" w:hAnsi="Arial"/>
          <w:sz w:val="18"/>
          <w:szCs w:val="18"/>
          <w:color w:val="004160"/>
        </w:rPr>
        <w:t>I understand that the Company’s Compliance Officer is available to answer any questions that I have regarding this Insider Trading Policy, or in his/her absence I should contact the Company’s Chief Executive Officer.</w:t>
      </w:r>
    </w:p>
    <w:p>
      <w:pPr>
        <w:spacing w:after="0" w:line="154" w:lineRule="exact"/>
        <w:rPr>
          <w:rFonts w:ascii="Times New Roman" w:cs="Times New Roman" w:eastAsia="Times New Roman" w:hAnsi="Times New Roman"/>
          <w:sz w:val="18"/>
          <w:szCs w:val="18"/>
          <w:color w:val="004160"/>
        </w:rPr>
      </w:pPr>
    </w:p>
    <w:p>
      <w:pPr>
        <w:ind w:left="708" w:right="480" w:hanging="708"/>
        <w:spacing w:after="0" w:line="286" w:lineRule="auto"/>
        <w:tabs>
          <w:tab w:leader="none" w:pos="708" w:val="left"/>
        </w:tabs>
        <w:numPr>
          <w:ilvl w:val="0"/>
          <w:numId w:val="98"/>
        </w:numPr>
        <w:rPr>
          <w:rFonts w:ascii="Times New Roman" w:cs="Times New Roman" w:eastAsia="Times New Roman" w:hAnsi="Times New Roman"/>
          <w:sz w:val="18"/>
          <w:szCs w:val="18"/>
          <w:color w:val="004160"/>
        </w:rPr>
      </w:pPr>
      <w:r>
        <w:rPr>
          <w:rFonts w:ascii="Arial" w:cs="Arial" w:eastAsia="Arial" w:hAnsi="Arial"/>
          <w:sz w:val="18"/>
          <w:szCs w:val="18"/>
          <w:color w:val="004160"/>
        </w:rPr>
        <w:t>I will continue to comply with the Insider Trading Policy for as long as I am a director, officer, employee, consultant or contractor of the Company.</w:t>
      </w:r>
    </w:p>
    <w:p>
      <w:pPr>
        <w:spacing w:after="0" w:line="140" w:lineRule="exact"/>
        <w:rPr>
          <w:rFonts w:ascii="Times New Roman" w:cs="Times New Roman" w:eastAsia="Times New Roman" w:hAnsi="Times New Roman"/>
          <w:sz w:val="18"/>
          <w:szCs w:val="18"/>
          <w:color w:val="004160"/>
        </w:rPr>
      </w:pPr>
    </w:p>
    <w:p>
      <w:pPr>
        <w:ind w:left="708" w:right="160" w:hanging="708"/>
        <w:spacing w:after="0" w:line="270" w:lineRule="auto"/>
        <w:tabs>
          <w:tab w:leader="none" w:pos="708" w:val="left"/>
        </w:tabs>
        <w:numPr>
          <w:ilvl w:val="0"/>
          <w:numId w:val="98"/>
        </w:numPr>
        <w:rPr>
          <w:rFonts w:ascii="Times New Roman" w:cs="Times New Roman" w:eastAsia="Times New Roman" w:hAnsi="Times New Roman"/>
          <w:sz w:val="18"/>
          <w:szCs w:val="18"/>
          <w:color w:val="004160"/>
        </w:rPr>
      </w:pPr>
      <w:r>
        <w:rPr>
          <w:rFonts w:ascii="Arial" w:cs="Arial" w:eastAsia="Arial" w:hAnsi="Arial"/>
          <w:sz w:val="18"/>
          <w:szCs w:val="18"/>
          <w:color w:val="004160"/>
        </w:rPr>
        <w:t>I understand that insider trading is a crime, may subject me to serious financial penalties and termination of employment, and is strictly prohibited by the Insider Trading Policy.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
        <w:spacing w:after="0"/>
        <w:rPr>
          <w:sz w:val="20"/>
          <w:szCs w:val="20"/>
          <w:color w:val="auto"/>
        </w:rPr>
      </w:pPr>
      <w:r>
        <w:rPr>
          <w:rFonts w:ascii="Arial" w:cs="Arial" w:eastAsia="Arial" w:hAnsi="Arial"/>
          <w:sz w:val="18"/>
          <w:szCs w:val="18"/>
          <w:color w:val="004160"/>
        </w:rPr>
        <w:t>Signature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
        <w:spacing w:after="0"/>
        <w:rPr>
          <w:sz w:val="20"/>
          <w:szCs w:val="20"/>
          <w:color w:val="auto"/>
        </w:rPr>
      </w:pPr>
      <w:r>
        <w:rPr>
          <w:rFonts w:ascii="Arial" w:cs="Arial" w:eastAsia="Arial" w:hAnsi="Arial"/>
          <w:sz w:val="18"/>
          <w:szCs w:val="18"/>
          <w:color w:val="004160"/>
        </w:rPr>
        <w:t>Printed Name (Please print legibly)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
        <w:spacing w:after="0"/>
        <w:rPr>
          <w:sz w:val="20"/>
          <w:szCs w:val="20"/>
          <w:color w:val="auto"/>
        </w:rPr>
      </w:pPr>
      <w:r>
        <w:rPr>
          <w:rFonts w:ascii="Arial" w:cs="Arial" w:eastAsia="Arial" w:hAnsi="Arial"/>
          <w:sz w:val="18"/>
          <w:szCs w:val="18"/>
          <w:color w:val="004160"/>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802005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8"/>
          </w:cols>
          <w:pgMar w:left="492" w:top="1440" w:right="939" w:bottom="1440" w:gutter="0" w:footer="0" w:header="0"/>
        </w:sectPr>
      </w:pPr>
    </w:p>
    <w:bookmarkStart w:id="128" w:name="page129"/>
    <w:bookmarkEnd w:id="128"/>
    <w:p>
      <w:pPr>
        <w:spacing w:after="0" w:line="335" w:lineRule="exact"/>
        <w:rPr>
          <w:sz w:val="20"/>
          <w:szCs w:val="20"/>
          <w:color w:val="auto"/>
        </w:rPr>
      </w:pPr>
    </w:p>
    <w:p>
      <w:pPr>
        <w:spacing w:after="0"/>
        <w:rPr>
          <w:sz w:val="20"/>
          <w:szCs w:val="20"/>
          <w:color w:val="auto"/>
        </w:rPr>
      </w:pPr>
      <w:r>
        <w:rPr>
          <w:rFonts w:ascii="Arial" w:cs="Arial" w:eastAsia="Arial" w:hAnsi="Arial"/>
          <w:sz w:val="47"/>
          <w:szCs w:val="47"/>
          <w:b w:val="1"/>
          <w:bCs w:val="1"/>
          <w:color w:val="004160"/>
        </w:rPr>
        <w:t>EXHIBIT B</w:t>
      </w:r>
    </w:p>
    <w:p>
      <w:pPr>
        <w:spacing w:after="0" w:line="190" w:lineRule="exact"/>
        <w:rPr>
          <w:sz w:val="20"/>
          <w:szCs w:val="20"/>
          <w:color w:val="auto"/>
        </w:rPr>
      </w:pPr>
    </w:p>
    <w:p>
      <w:pPr>
        <w:spacing w:after="0"/>
        <w:rPr>
          <w:sz w:val="20"/>
          <w:szCs w:val="20"/>
          <w:color w:val="auto"/>
        </w:rPr>
      </w:pPr>
      <w:r>
        <w:rPr>
          <w:rFonts w:ascii="Arial" w:cs="Arial" w:eastAsia="Arial" w:hAnsi="Arial"/>
          <w:sz w:val="36"/>
          <w:szCs w:val="36"/>
          <w:color w:val="004160"/>
        </w:rPr>
        <w:t>PRE-CLEARANCE FORM</w:t>
      </w:r>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color w:val="004160"/>
        </w:rPr>
        <w:t>M E M O R A N D U M</w:t>
      </w:r>
    </w:p>
    <w:p>
      <w:pPr>
        <w:spacing w:after="0" w:line="200" w:lineRule="exact"/>
        <w:rPr>
          <w:sz w:val="20"/>
          <w:szCs w:val="20"/>
          <w:color w:val="auto"/>
        </w:rPr>
      </w:pPr>
    </w:p>
    <w:p>
      <w:pPr>
        <w:spacing w:after="0" w:line="3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004160"/>
        </w:rPr>
        <w:t>To:  [</w:t>
      </w:r>
      <w:r>
        <w:rPr>
          <w:sz w:val="20"/>
          <w:szCs w:val="20"/>
          <w:color w:val="auto"/>
        </w:rPr>
        <w:tab/>
      </w:r>
      <w:r>
        <w:rPr>
          <w:rFonts w:ascii="Arial" w:cs="Arial" w:eastAsia="Arial" w:hAnsi="Arial"/>
          <w:sz w:val="17"/>
          <w:szCs w:val="17"/>
          <w:color w:val="004160"/>
        </w:rPr>
        <w:t>], Compliance Officer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-7620</wp:posOffset>
            </wp:positionV>
            <wp:extent cx="22225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1">
                      <a:extLst>
                        <a:ext uri="{28A0092B-C50C-407E-A947-70E740481C1C}"/>
                      </a:extLst>
                    </a:blip>
                    <a:srcRect/>
                    <a:stretch>
                      <a:fillRect/>
                    </a:stretch>
                  </pic:blipFill>
                  <pic:spPr bwMode="auto">
                    <a:xfrm>
                      <a:off x="0" y="0"/>
                      <a:ext cx="222250" cy="8255"/>
                    </a:xfrm>
                    <a:prstGeom prst="rect">
                      <a:avLst/>
                    </a:prstGeom>
                    <a:noFill/>
                  </pic:spPr>
                </pic:pic>
              </a:graphicData>
            </a:graphic>
          </wp:anchor>
        </w:drawing>
      </w:r>
    </w:p>
    <w:p>
      <w:pPr>
        <w:spacing w:after="0" w:line="8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004160"/>
        </w:rPr>
        <w:t>Date:</w:t>
      </w:r>
      <w:r>
        <w:rPr>
          <w:sz w:val="20"/>
          <w:szCs w:val="20"/>
          <w:color w:val="auto"/>
        </w:rPr>
        <w:tab/>
      </w:r>
      <w:r>
        <w:rPr>
          <w:rFonts w:ascii="Arial" w:cs="Arial" w:eastAsia="Arial" w:hAnsi="Arial"/>
          <w:sz w:val="18"/>
          <w:szCs w:val="18"/>
          <w:color w:val="004160"/>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-7620</wp:posOffset>
            </wp:positionV>
            <wp:extent cx="25400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2">
                      <a:extLst>
                        <a:ext uri="{28A0092B-C50C-407E-A947-70E740481C1C}"/>
                      </a:extLst>
                    </a:blip>
                    <a:srcRect/>
                    <a:stretch>
                      <a:fillRect/>
                    </a:stretch>
                  </pic:blipFill>
                  <pic:spPr bwMode="auto">
                    <a:xfrm>
                      <a:off x="0" y="0"/>
                      <a:ext cx="25400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-7620</wp:posOffset>
            </wp:positionV>
            <wp:extent cx="635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3">
                      <a:extLst>
                        <a:ext uri="{28A0092B-C50C-407E-A947-70E740481C1C}"/>
                      </a:extLst>
                    </a:blip>
                    <a:srcRect/>
                    <a:stretch>
                      <a:fillRect/>
                    </a:stretch>
                  </pic:blipFill>
                  <pic:spPr bwMode="auto">
                    <a:xfrm>
                      <a:off x="0" y="0"/>
                      <a:ext cx="63500" cy="8255"/>
                    </a:xfrm>
                    <a:prstGeom prst="rect">
                      <a:avLst/>
                    </a:prstGeom>
                    <a:noFill/>
                  </pic:spPr>
                </pic:pic>
              </a:graphicData>
            </a:graphic>
          </wp:anchor>
        </w:drawing>
      </w:r>
    </w:p>
    <w:p>
      <w:pPr>
        <w:spacing w:after="0" w:line="205"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004160"/>
        </w:rPr>
        <w:t>Subject: Proposed Transaction in Company Securities by Directors, Section 16 Officers, and other “Insider” Employees, Consultants and Contractors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740"/>
        <w:spacing w:after="0" w:line="245" w:lineRule="auto"/>
        <w:rPr>
          <w:sz w:val="20"/>
          <w:szCs w:val="20"/>
          <w:color w:val="auto"/>
        </w:rPr>
      </w:pPr>
      <w:r>
        <w:rPr>
          <w:rFonts w:ascii="Arial" w:cs="Arial" w:eastAsia="Arial" w:hAnsi="Arial"/>
          <w:sz w:val="18"/>
          <w:szCs w:val="18"/>
          <w:color w:val="004160"/>
        </w:rPr>
        <w:t>This memorandum is to advise you that the undersigned intends to execute a transaction in the Company’s securities on , and does hereby request that the Company pre-clear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6106160</wp:posOffset>
            </wp:positionH>
            <wp:positionV relativeFrom="paragraph">
              <wp:posOffset>-144145</wp:posOffset>
            </wp:positionV>
            <wp:extent cx="603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jc w:val="both"/>
        <w:ind w:right="20"/>
        <w:spacing w:after="0" w:line="266" w:lineRule="auto"/>
        <w:rPr>
          <w:sz w:val="20"/>
          <w:szCs w:val="20"/>
          <w:color w:val="auto"/>
        </w:rPr>
      </w:pPr>
      <w:r>
        <w:rPr>
          <w:rFonts w:ascii="Arial" w:cs="Arial" w:eastAsia="Arial" w:hAnsi="Arial"/>
          <w:sz w:val="18"/>
          <w:szCs w:val="18"/>
          <w:color w:val="004160"/>
        </w:rPr>
        <w:t>transaction as required by the Company’s Insider Trading Policy for directors, executive officers, senior management, and other “Insider” employees (the “Policy”).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004160"/>
        </w:rPr>
        <w:t>The general nature of the transaction is as follows:</w:t>
      </w:r>
    </w:p>
    <w:p>
      <w:pPr>
        <w:spacing w:after="0" w:line="199"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40" w:type="dxa"/>
            <w:vAlign w:val="bottom"/>
          </w:tcPr>
          <w:p>
            <w:pPr>
              <w:jc w:val="right"/>
              <w:ind w:right="101"/>
              <w:spacing w:after="0"/>
              <w:rPr>
                <w:sz w:val="20"/>
                <w:szCs w:val="20"/>
                <w:color w:val="auto"/>
              </w:rPr>
            </w:pPr>
            <w:r>
              <w:rPr>
                <w:rFonts w:ascii="Arial" w:cs="Arial" w:eastAsia="Arial" w:hAnsi="Arial"/>
                <w:sz w:val="16"/>
                <w:szCs w:val="16"/>
                <w:color w:val="004160"/>
                <w:w w:val="74"/>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004160"/>
              </w:rPr>
              <w:t>)</w:t>
            </w:r>
          </w:p>
        </w:tc>
        <w:tc>
          <w:tcPr>
            <w:tcW w:w="1500" w:type="dxa"/>
            <w:vAlign w:val="bottom"/>
            <w:gridSpan w:val="3"/>
          </w:tcPr>
          <w:p>
            <w:pPr>
              <w:ind w:left="240"/>
              <w:spacing w:after="0"/>
              <w:rPr>
                <w:sz w:val="20"/>
                <w:szCs w:val="20"/>
                <w:color w:val="auto"/>
              </w:rPr>
            </w:pPr>
            <w:r>
              <w:rPr>
                <w:rFonts w:ascii="Arial" w:cs="Arial" w:eastAsia="Arial" w:hAnsi="Arial"/>
                <w:sz w:val="18"/>
                <w:szCs w:val="18"/>
                <w:color w:val="004160"/>
              </w:rPr>
              <w:t>Purchase up to</w:t>
            </w:r>
          </w:p>
        </w:tc>
        <w:tc>
          <w:tcPr>
            <w:tcW w:w="340" w:type="dxa"/>
            <w:vAlign w:val="bottom"/>
            <w:tcBorders>
              <w:bottom w:val="single" w:sz="8" w:color="00405F"/>
            </w:tcBorders>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004160"/>
              </w:rPr>
              <w:t>shares of Palomar common stock (excludes the exercise of stock options to hold shares)</w:t>
            </w:r>
          </w:p>
        </w:tc>
      </w:tr>
      <w:tr>
        <w:trPr>
          <w:trHeight w:val="412"/>
        </w:trPr>
        <w:tc>
          <w:tcPr>
            <w:tcW w:w="240" w:type="dxa"/>
            <w:vAlign w:val="bottom"/>
          </w:tcPr>
          <w:p>
            <w:pPr>
              <w:jc w:val="right"/>
              <w:ind w:right="101"/>
              <w:spacing w:after="0"/>
              <w:rPr>
                <w:sz w:val="20"/>
                <w:szCs w:val="20"/>
                <w:color w:val="auto"/>
              </w:rPr>
            </w:pPr>
            <w:r>
              <w:rPr>
                <w:rFonts w:ascii="Arial" w:cs="Arial" w:eastAsia="Arial" w:hAnsi="Arial"/>
                <w:sz w:val="16"/>
                <w:szCs w:val="16"/>
                <w:color w:val="004160"/>
                <w:w w:val="74"/>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004160"/>
              </w:rPr>
              <w:t>)</w:t>
            </w:r>
          </w:p>
        </w:tc>
        <w:tc>
          <w:tcPr>
            <w:tcW w:w="9300" w:type="dxa"/>
            <w:vAlign w:val="bottom"/>
            <w:gridSpan w:val="6"/>
          </w:tcPr>
          <w:p>
            <w:pPr>
              <w:ind w:left="240"/>
              <w:spacing w:after="0"/>
              <w:rPr>
                <w:sz w:val="20"/>
                <w:szCs w:val="20"/>
                <w:color w:val="auto"/>
              </w:rPr>
            </w:pPr>
            <w:r>
              <w:rPr>
                <w:rFonts w:ascii="Arial" w:cs="Arial" w:eastAsia="Arial" w:hAnsi="Arial"/>
                <w:sz w:val="18"/>
                <w:szCs w:val="18"/>
                <w:color w:val="004160"/>
              </w:rPr>
              <w:t>Sell up to   shares Palomar common stock acquired through the Company’s Employee Stock Purchase Plan (the</w:t>
            </w:r>
          </w:p>
        </w:tc>
      </w:tr>
      <w:tr>
        <w:trPr>
          <w:trHeight w:val="227"/>
        </w:trPr>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004160"/>
              </w:rPr>
              <w:t>“ESPP”)</w:t>
            </w:r>
          </w:p>
        </w:tc>
        <w:tc>
          <w:tcPr>
            <w:tcW w:w="200" w:type="dxa"/>
            <w:vAlign w:val="bottom"/>
            <w:tcBorders>
              <w:top w:val="single" w:sz="8" w:color="00405F"/>
            </w:tcBorders>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18"/>
        </w:trPr>
        <w:tc>
          <w:tcPr>
            <w:tcW w:w="240" w:type="dxa"/>
            <w:vAlign w:val="bottom"/>
          </w:tcPr>
          <w:p>
            <w:pPr>
              <w:jc w:val="right"/>
              <w:ind w:right="101"/>
              <w:spacing w:after="0"/>
              <w:rPr>
                <w:sz w:val="20"/>
                <w:szCs w:val="20"/>
                <w:color w:val="auto"/>
              </w:rPr>
            </w:pPr>
            <w:r>
              <w:rPr>
                <w:rFonts w:ascii="Arial" w:cs="Arial" w:eastAsia="Arial" w:hAnsi="Arial"/>
                <w:sz w:val="16"/>
                <w:szCs w:val="16"/>
                <w:color w:val="004160"/>
                <w:w w:val="74"/>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004160"/>
              </w:rPr>
              <w:t>)</w:t>
            </w:r>
          </w:p>
        </w:tc>
        <w:tc>
          <w:tcPr>
            <w:tcW w:w="9300" w:type="dxa"/>
            <w:vAlign w:val="bottom"/>
            <w:gridSpan w:val="6"/>
          </w:tcPr>
          <w:p>
            <w:pPr>
              <w:ind w:left="240"/>
              <w:spacing w:after="0"/>
              <w:rPr>
                <w:sz w:val="20"/>
                <w:szCs w:val="20"/>
                <w:color w:val="auto"/>
              </w:rPr>
            </w:pPr>
            <w:r>
              <w:rPr>
                <w:rFonts w:ascii="Arial" w:cs="Arial" w:eastAsia="Arial" w:hAnsi="Arial"/>
                <w:sz w:val="18"/>
                <w:szCs w:val="18"/>
                <w:color w:val="004160"/>
              </w:rPr>
              <w:t>Sell up to shares of Palomar common stock acquired other than through the</w:t>
            </w:r>
          </w:p>
        </w:tc>
      </w:tr>
      <w:tr>
        <w:trPr>
          <w:trHeight w:val="310"/>
        </w:trPr>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40" w:type="dxa"/>
            <w:vAlign w:val="bottom"/>
            <w:gridSpan w:val="5"/>
          </w:tcPr>
          <w:p>
            <w:pPr>
              <w:ind w:left="100"/>
              <w:spacing w:after="0"/>
              <w:rPr>
                <w:sz w:val="20"/>
                <w:szCs w:val="20"/>
                <w:color w:val="auto"/>
              </w:rPr>
            </w:pPr>
            <w:r>
              <w:rPr>
                <w:rFonts w:ascii="Arial" w:cs="Arial" w:eastAsia="Arial" w:hAnsi="Arial"/>
                <w:sz w:val="18"/>
                <w:szCs w:val="18"/>
                <w:color w:val="004160"/>
              </w:rPr>
              <w:t>ESPP (includes the exercise of stock options with same day sales) (  )</w:t>
            </w:r>
          </w:p>
        </w:tc>
        <w:tc>
          <w:tcPr>
            <w:tcW w:w="3360" w:type="dxa"/>
            <w:vAlign w:val="bottom"/>
          </w:tcPr>
          <w:p>
            <w:pPr>
              <w:ind w:left="160"/>
              <w:spacing w:after="0"/>
              <w:rPr>
                <w:sz w:val="20"/>
                <w:szCs w:val="20"/>
                <w:color w:val="auto"/>
              </w:rPr>
            </w:pPr>
            <w:r>
              <w:rPr>
                <w:rFonts w:ascii="Arial" w:cs="Arial" w:eastAsia="Arial" w:hAnsi="Arial"/>
                <w:sz w:val="18"/>
                <w:szCs w:val="18"/>
                <w:color w:val="004160"/>
              </w:rPr>
              <w:t>Other (please</w:t>
            </w:r>
          </w:p>
        </w:tc>
      </w:tr>
    </w:tbl>
    <w:p>
      <w:pPr>
        <w:spacing w:after="0" w:line="193" w:lineRule="exact"/>
        <w:rPr>
          <w:sz w:val="20"/>
          <w:szCs w:val="20"/>
          <w:color w:val="auto"/>
        </w:rPr>
      </w:pPr>
    </w:p>
    <w:p>
      <w:pPr>
        <w:ind w:left="80"/>
        <w:spacing w:after="0"/>
        <w:rPr>
          <w:sz w:val="20"/>
          <w:szCs w:val="20"/>
          <w:color w:val="auto"/>
        </w:rPr>
      </w:pPr>
      <w:r>
        <w:rPr>
          <w:rFonts w:ascii="Arial" w:cs="Arial" w:eastAsia="Arial" w:hAnsi="Arial"/>
          <w:sz w:val="18"/>
          <w:szCs w:val="18"/>
          <w:color w:val="004160"/>
        </w:rPr>
        <w:t>describe):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004160"/>
        </w:rPr>
        <w:t>I have reviewed and considered the Policy and I represent that am NOT in possession of any material non-public information (as defined in the Policy) about the Company and will not enter into the transaction if I come into possession of material non-public information about the Company between the date hereof and the proposed transaction execution date. Accordingly, I intend to trade securities only during an open window as described in the Policy.</w:t>
      </w:r>
    </w:p>
    <w:p>
      <w:pPr>
        <w:spacing w:after="0" w:line="17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004160"/>
        </w:rPr>
        <w:t>I have read and understand the Policy and certify that the above transaction will not violate the Policy. I understand that certain types of transactions are prohibited and agree not to participate in these types of trades.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748030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00" w:top="1440" w:right="539" w:bottom="1440" w:gutter="0" w:footer="0" w:header="0"/>
        </w:sectPr>
      </w:pPr>
    </w:p>
    <w:bookmarkStart w:id="129" w:name="page130"/>
    <w:bookmarkEnd w:id="129"/>
    <w:p>
      <w:pPr>
        <w:spacing w:after="0" w:line="369" w:lineRule="exact"/>
        <w:rPr>
          <w:sz w:val="20"/>
          <w:szCs w:val="20"/>
          <w:color w:val="auto"/>
        </w:rPr>
      </w:pPr>
    </w:p>
    <w:p>
      <w:pPr>
        <w:spacing w:after="0" w:line="253" w:lineRule="auto"/>
        <w:rPr>
          <w:sz w:val="20"/>
          <w:szCs w:val="20"/>
          <w:color w:val="auto"/>
        </w:rPr>
      </w:pPr>
      <w:r>
        <w:rPr>
          <w:rFonts w:ascii="Arial" w:cs="Arial" w:eastAsia="Arial" w:hAnsi="Arial"/>
          <w:sz w:val="18"/>
          <w:szCs w:val="18"/>
          <w:color w:val="004160"/>
        </w:rPr>
        <w:t>I agree to advise the Company promptly if, as a result of future developments, any of the foregoing information becomes inaccurate or incomplete in any respect. If I do not effect the above transaction within five (5) business days of the intended date disclosed on the Pre-Clearance Form, I agree to resubmit a new pre-clearance request. I also agree to report any stock trades to the Compliance Officer.</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004160"/>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004160"/>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004160"/>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004160"/>
        </w:rPr>
        <w:t>Approved by the Compliance Officer of Palomar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004160"/>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004160"/>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004160"/>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802005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500" w:top="1440" w:right="57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ertification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ursuant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302 </w:t>
      </w:r>
      <w:r>
        <w:rPr>
          <w:rFonts w:ascii="Times New Roman" w:cs="Times New Roman" w:eastAsia="Times New Roman" w:hAnsi="Times New Roman"/>
          <w:sz w:val="12"/>
          <w:szCs w:val="12"/>
          <w:b w:val="1"/>
          <w:bCs w:val="1"/>
          <w:color w:val="auto"/>
        </w:rPr>
        <w:t>of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arbanes</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xley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 of</w:t>
      </w:r>
      <w:r>
        <w:rPr>
          <w:rFonts w:ascii="Times New Roman" w:cs="Times New Roman" w:eastAsia="Times New Roman" w:hAnsi="Times New Roman"/>
          <w:sz w:val="18"/>
          <w:szCs w:val="18"/>
          <w:b w:val="1"/>
          <w:bCs w:val="1"/>
          <w:color w:val="auto"/>
        </w:rPr>
        <w:t xml:space="preserve"> 2002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Mac Armstrong, certify that:</w:t>
      </w:r>
    </w:p>
    <w:p>
      <w:pPr>
        <w:spacing w:after="0" w:line="171" w:lineRule="exact"/>
        <w:rPr>
          <w:sz w:val="20"/>
          <w:szCs w:val="20"/>
          <w:color w:val="auto"/>
        </w:rPr>
      </w:pPr>
    </w:p>
    <w:p>
      <w:pPr>
        <w:ind w:left="520" w:hanging="512"/>
        <w:spacing w:after="0"/>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Palomar Holdings, Inc.;</w:t>
      </w:r>
    </w:p>
    <w:p>
      <w:pPr>
        <w:spacing w:after="0" w:line="184"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020" w:right="180" w:hanging="503"/>
        <w:spacing w:after="0" w:line="250" w:lineRule="auto"/>
        <w:tabs>
          <w:tab w:leader="none" w:pos="10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18"/>
          <w:szCs w:val="18"/>
          <w:color w:val="auto"/>
        </w:rPr>
      </w:pPr>
    </w:p>
    <w:p>
      <w:pPr>
        <w:ind w:left="520" w:right="160" w:hanging="512"/>
        <w:spacing w:after="0" w:line="266"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Mac Armstrong</w:t>
            </w:r>
          </w:p>
        </w:tc>
      </w:tr>
      <w:tr>
        <w:trPr>
          <w:trHeight w:val="151"/>
        </w:trPr>
        <w:tc>
          <w:tcPr>
            <w:tcW w:w="5780" w:type="dxa"/>
            <w:vAlign w:val="bottom"/>
          </w:tcPr>
          <w:p>
            <w:pPr>
              <w:spacing w:after="0"/>
              <w:rPr>
                <w:sz w:val="13"/>
                <w:szCs w:val="13"/>
                <w:color w:val="auto"/>
              </w:rPr>
            </w:pPr>
          </w:p>
        </w:tc>
        <w:tc>
          <w:tcPr>
            <w:tcW w:w="5460" w:type="dxa"/>
            <w:vAlign w:val="bottom"/>
          </w:tcPr>
          <w:p>
            <w:pPr>
              <w:spacing w:after="0" w:line="150" w:lineRule="exact"/>
              <w:rPr>
                <w:sz w:val="20"/>
                <w:szCs w:val="20"/>
                <w:color w:val="auto"/>
              </w:rPr>
            </w:pPr>
            <w:r>
              <w:rPr>
                <w:rFonts w:ascii="Times New Roman" w:cs="Times New Roman" w:eastAsia="Times New Roman" w:hAnsi="Times New Roman"/>
                <w:sz w:val="17"/>
                <w:szCs w:val="17"/>
                <w:color w:val="auto"/>
              </w:rPr>
              <w:t>Mac Armstrong</w:t>
            </w:r>
          </w:p>
        </w:tc>
      </w:tr>
      <w:tr>
        <w:trPr>
          <w:trHeight w:val="234"/>
        </w:trPr>
        <w:tc>
          <w:tcPr>
            <w:tcW w:w="578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1600"/>
        </w:trPr>
        <w:tc>
          <w:tcPr>
            <w:tcW w:w="578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ertification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ursuant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302 </w:t>
      </w:r>
      <w:r>
        <w:rPr>
          <w:rFonts w:ascii="Times New Roman" w:cs="Times New Roman" w:eastAsia="Times New Roman" w:hAnsi="Times New Roman"/>
          <w:sz w:val="12"/>
          <w:szCs w:val="12"/>
          <w:b w:val="1"/>
          <w:bCs w:val="1"/>
          <w:color w:val="auto"/>
        </w:rPr>
        <w:t>of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arbanes</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xley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 of</w:t>
      </w:r>
      <w:r>
        <w:rPr>
          <w:rFonts w:ascii="Times New Roman" w:cs="Times New Roman" w:eastAsia="Times New Roman" w:hAnsi="Times New Roman"/>
          <w:sz w:val="18"/>
          <w:szCs w:val="18"/>
          <w:b w:val="1"/>
          <w:bCs w:val="1"/>
          <w:color w:val="auto"/>
        </w:rPr>
        <w:t xml:space="preserve"> 2002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 Christopher Uchida, certify that:</w:t>
      </w:r>
    </w:p>
    <w:p>
      <w:pPr>
        <w:spacing w:after="0" w:line="171" w:lineRule="exact"/>
        <w:rPr>
          <w:sz w:val="20"/>
          <w:szCs w:val="20"/>
          <w:color w:val="auto"/>
        </w:rPr>
      </w:pPr>
    </w:p>
    <w:p>
      <w:pPr>
        <w:ind w:left="520" w:hanging="512"/>
        <w:spacing w:after="0"/>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Palomar Holdings, Inc.;</w:t>
      </w:r>
    </w:p>
    <w:p>
      <w:pPr>
        <w:spacing w:after="0" w:line="184"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020" w:right="180" w:hanging="503"/>
        <w:spacing w:after="0" w:line="250" w:lineRule="auto"/>
        <w:tabs>
          <w:tab w:leader="none" w:pos="10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18"/>
          <w:szCs w:val="18"/>
          <w:color w:val="auto"/>
        </w:rPr>
      </w:pPr>
    </w:p>
    <w:p>
      <w:pPr>
        <w:ind w:left="520" w:right="160" w:hanging="512"/>
        <w:spacing w:after="0" w:line="266" w:lineRule="auto"/>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 Christopher Uchida</w:t>
            </w:r>
          </w:p>
        </w:tc>
      </w:tr>
      <w:tr>
        <w:trPr>
          <w:trHeight w:val="151"/>
        </w:trPr>
        <w:tc>
          <w:tcPr>
            <w:tcW w:w="5780" w:type="dxa"/>
            <w:vAlign w:val="bottom"/>
          </w:tcPr>
          <w:p>
            <w:pPr>
              <w:spacing w:after="0"/>
              <w:rPr>
                <w:sz w:val="13"/>
                <w:szCs w:val="13"/>
                <w:color w:val="auto"/>
              </w:rPr>
            </w:pPr>
          </w:p>
        </w:tc>
        <w:tc>
          <w:tcPr>
            <w:tcW w:w="5460" w:type="dxa"/>
            <w:vAlign w:val="bottom"/>
          </w:tcPr>
          <w:p>
            <w:pPr>
              <w:spacing w:after="0" w:line="150" w:lineRule="exact"/>
              <w:rPr>
                <w:sz w:val="20"/>
                <w:szCs w:val="20"/>
                <w:color w:val="auto"/>
              </w:rPr>
            </w:pPr>
            <w:r>
              <w:rPr>
                <w:rFonts w:ascii="Times New Roman" w:cs="Times New Roman" w:eastAsia="Times New Roman" w:hAnsi="Times New Roman"/>
                <w:sz w:val="17"/>
                <w:szCs w:val="17"/>
                <w:color w:val="auto"/>
              </w:rPr>
              <w:t>T. Christopher Uchida</w:t>
            </w:r>
          </w:p>
        </w:tc>
      </w:tr>
      <w:tr>
        <w:trPr>
          <w:trHeight w:val="234"/>
        </w:trPr>
        <w:tc>
          <w:tcPr>
            <w:tcW w:w="578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00"/>
        </w:trPr>
        <w:tc>
          <w:tcPr>
            <w:tcW w:w="578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Palomar Holdings, Inc. (the “Company”) for the quarter ended March 31, 2026, as filed with the Securities and Exchange Commission on the date hereof (the “Report”), we, Mac Armstrong, as Chief Executive Officer of the Company, and T. Christopher Uchida, Chief Financial Officer, hereby certify pursuant to Title 18, Chapter 63, Section 1350 of the United States Code, as adopted by Section 906 of the Sarbanes-Oxley Act of 2002, that to the best of our knowledge:</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as applicable, of the Securities Exchange Act of 1934, as amended;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7, 2026</w:t>
            </w:r>
          </w:p>
        </w:tc>
        <w:tc>
          <w:tcPr>
            <w:tcW w:w="26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Mac Armstrong</w:t>
            </w:r>
          </w:p>
        </w:tc>
      </w:tr>
      <w:tr>
        <w:trPr>
          <w:trHeight w:val="157"/>
        </w:trPr>
        <w:tc>
          <w:tcPr>
            <w:tcW w:w="3220" w:type="dxa"/>
            <w:vAlign w:val="bottom"/>
          </w:tcPr>
          <w:p>
            <w:pPr>
              <w:spacing w:after="0"/>
              <w:rPr>
                <w:sz w:val="13"/>
                <w:szCs w:val="13"/>
                <w:color w:val="auto"/>
              </w:rPr>
            </w:pPr>
          </w:p>
        </w:tc>
        <w:tc>
          <w:tcPr>
            <w:tcW w:w="2640" w:type="dxa"/>
            <w:vAlign w:val="bottom"/>
          </w:tcPr>
          <w:p>
            <w:pPr>
              <w:ind w:left="1860"/>
              <w:spacing w:after="0" w:line="157" w:lineRule="exact"/>
              <w:rPr>
                <w:sz w:val="20"/>
                <w:szCs w:val="20"/>
                <w:color w:val="auto"/>
              </w:rPr>
            </w:pPr>
            <w:r>
              <w:rPr>
                <w:rFonts w:ascii="Times New Roman" w:cs="Times New Roman" w:eastAsia="Times New Roman" w:hAnsi="Times New Roman"/>
                <w:sz w:val="18"/>
                <w:szCs w:val="18"/>
                <w:color w:val="auto"/>
              </w:rPr>
              <w:t>Name:</w:t>
            </w:r>
          </w:p>
        </w:tc>
        <w:tc>
          <w:tcPr>
            <w:tcW w:w="5360" w:type="dxa"/>
            <w:vAlign w:val="bottom"/>
            <w:tcBorders>
              <w:top w:val="single" w:sz="8" w:color="auto"/>
            </w:tcBorders>
          </w:tcPr>
          <w:p>
            <w:pPr>
              <w:spacing w:after="0" w:line="157" w:lineRule="exact"/>
              <w:rPr>
                <w:sz w:val="20"/>
                <w:szCs w:val="20"/>
                <w:color w:val="auto"/>
              </w:rPr>
            </w:pPr>
            <w:r>
              <w:rPr>
                <w:rFonts w:ascii="Times New Roman" w:cs="Times New Roman" w:eastAsia="Times New Roman" w:hAnsi="Times New Roman"/>
                <w:sz w:val="18"/>
                <w:szCs w:val="18"/>
                <w:color w:val="auto"/>
              </w:rPr>
              <w:t>Mac Armstrong</w:t>
            </w:r>
          </w:p>
        </w:tc>
        <w:tc>
          <w:tcPr>
            <w:tcW w:w="20" w:type="dxa"/>
            <w:vAlign w:val="bottom"/>
          </w:tcPr>
          <w:p>
            <w:pPr>
              <w:spacing w:after="0"/>
              <w:rPr>
                <w:sz w:val="13"/>
                <w:szCs w:val="13"/>
                <w:color w:val="auto"/>
              </w:rPr>
            </w:pPr>
          </w:p>
        </w:tc>
      </w:tr>
      <w:tr>
        <w:trPr>
          <w:trHeight w:val="189"/>
        </w:trPr>
        <w:tc>
          <w:tcPr>
            <w:tcW w:w="3220" w:type="dxa"/>
            <w:vAlign w:val="bottom"/>
          </w:tcPr>
          <w:p>
            <w:pPr>
              <w:spacing w:after="0"/>
              <w:rPr>
                <w:sz w:val="16"/>
                <w:szCs w:val="16"/>
                <w:color w:val="auto"/>
              </w:rPr>
            </w:pPr>
          </w:p>
        </w:tc>
        <w:tc>
          <w:tcPr>
            <w:tcW w:w="2640" w:type="dxa"/>
            <w:vAlign w:val="bottom"/>
          </w:tcPr>
          <w:p>
            <w:pPr>
              <w:ind w:left="1860"/>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53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34"/>
        </w:trPr>
        <w:tc>
          <w:tcPr>
            <w:tcW w:w="3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48"/>
        </w:trPr>
        <w:tc>
          <w:tcPr>
            <w:tcW w:w="32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380" w:type="dxa"/>
            <w:vAlign w:val="bottom"/>
            <w:gridSpan w:val="2"/>
          </w:tcPr>
          <w:p>
            <w:pPr>
              <w:spacing w:after="0"/>
              <w:rPr>
                <w:sz w:val="12"/>
                <w:szCs w:val="12"/>
                <w:color w:val="auto"/>
              </w:rPr>
            </w:pP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7, 2026</w:t>
            </w:r>
          </w:p>
        </w:tc>
        <w:tc>
          <w:tcPr>
            <w:tcW w:w="26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 Christopher Uchida</w:t>
            </w:r>
          </w:p>
        </w:tc>
      </w:tr>
      <w:tr>
        <w:trPr>
          <w:trHeight w:val="151"/>
        </w:trPr>
        <w:tc>
          <w:tcPr>
            <w:tcW w:w="3220" w:type="dxa"/>
            <w:vAlign w:val="bottom"/>
          </w:tcPr>
          <w:p>
            <w:pPr>
              <w:spacing w:after="0"/>
              <w:rPr>
                <w:sz w:val="13"/>
                <w:szCs w:val="13"/>
                <w:color w:val="auto"/>
              </w:rPr>
            </w:pPr>
          </w:p>
        </w:tc>
        <w:tc>
          <w:tcPr>
            <w:tcW w:w="2640" w:type="dxa"/>
            <w:vAlign w:val="bottom"/>
          </w:tcPr>
          <w:p>
            <w:pPr>
              <w:ind w:left="1860"/>
              <w:spacing w:after="0" w:line="150" w:lineRule="exact"/>
              <w:rPr>
                <w:sz w:val="20"/>
                <w:szCs w:val="20"/>
                <w:color w:val="auto"/>
              </w:rPr>
            </w:pPr>
            <w:r>
              <w:rPr>
                <w:rFonts w:ascii="Times New Roman" w:cs="Times New Roman" w:eastAsia="Times New Roman" w:hAnsi="Times New Roman"/>
                <w:sz w:val="17"/>
                <w:szCs w:val="17"/>
                <w:color w:val="auto"/>
              </w:rPr>
              <w:t>Name:</w:t>
            </w:r>
          </w:p>
        </w:tc>
        <w:tc>
          <w:tcPr>
            <w:tcW w:w="536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T. Christopher Uchida</w:t>
            </w:r>
          </w:p>
        </w:tc>
        <w:tc>
          <w:tcPr>
            <w:tcW w:w="20" w:type="dxa"/>
            <w:vAlign w:val="bottom"/>
          </w:tcPr>
          <w:p>
            <w:pPr>
              <w:spacing w:after="0"/>
              <w:rPr>
                <w:sz w:val="13"/>
                <w:szCs w:val="13"/>
                <w:color w:val="auto"/>
              </w:rPr>
            </w:pPr>
          </w:p>
        </w:tc>
      </w:tr>
      <w:tr>
        <w:trPr>
          <w:trHeight w:val="189"/>
        </w:trPr>
        <w:tc>
          <w:tcPr>
            <w:tcW w:w="3220" w:type="dxa"/>
            <w:vAlign w:val="bottom"/>
          </w:tcPr>
          <w:p>
            <w:pPr>
              <w:spacing w:after="0"/>
              <w:rPr>
                <w:sz w:val="16"/>
                <w:szCs w:val="16"/>
                <w:color w:val="auto"/>
              </w:rPr>
            </w:pPr>
          </w:p>
        </w:tc>
        <w:tc>
          <w:tcPr>
            <w:tcW w:w="2640" w:type="dxa"/>
            <w:vAlign w:val="bottom"/>
          </w:tcPr>
          <w:p>
            <w:pPr>
              <w:ind w:left="1860"/>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53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775"/>
        </w:trPr>
        <w:tc>
          <w:tcPr>
            <w:tcW w:w="32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3" w:name="page134"/>
    <w:bookmarkEnd w:id="1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1."/>
      <w:numFmt w:val="decimal"/>
      <w:start w:val="1"/>
    </w:lvl>
  </w:abstractNum>
  <w:abstractNum w:abstractNumId="3">
    <w:nsid w:val="75C6C33A"/>
    <w:multiLevelType w:val="hybridMultilevel"/>
    <w:lvl w:ilvl="0">
      <w:lvlJc w:val="left"/>
      <w:lvlText w:val="(%1)"/>
      <w:numFmt w:val="decimal"/>
      <w:start w:val="1"/>
    </w:lvl>
  </w:abstractNum>
  <w:abstractNum w:abstractNumId="4">
    <w:nsid w:val="12E685FB"/>
    <w:multiLevelType w:val="hybridMultilevel"/>
    <w:lvl w:ilvl="0">
      <w:lvlJc w:val="left"/>
      <w:lvlText w:val="(%1)"/>
      <w:numFmt w:val="decimal"/>
      <w:start w:val="1"/>
    </w:lvl>
  </w:abstractNum>
  <w:abstractNum w:abstractNumId="5">
    <w:nsid w:val="70C6A529"/>
    <w:multiLevelType w:val="hybridMultilevel"/>
    <w:lvl w:ilvl="0">
      <w:lvlJc w:val="left"/>
      <w:lvlText w:val="(%1)"/>
      <w:numFmt w:val="decimal"/>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1)"/>
      <w:numFmt w:val="decimal"/>
      <w:start w:val="1"/>
    </w:lvl>
  </w:abstractNum>
  <w:abstractNum w:abstractNumId="9">
    <w:nsid w:val="23F9C13C"/>
    <w:multiLevelType w:val="hybridMultilevel"/>
    <w:lvl w:ilvl="0">
      <w:lvlJc w:val="left"/>
      <w:lvlText w:val="(%1)"/>
      <w:numFmt w:val="decimal"/>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1)"/>
      <w:numFmt w:val="decimal"/>
      <w:start w:val="1"/>
    </w:lvl>
  </w:abstractNum>
  <w:abstractNum w:abstractNumId="28">
    <w:nsid w:val="5FF87E05"/>
    <w:multiLevelType w:val="hybridMultilevel"/>
    <w:lvl w:ilvl="0">
      <w:lvlJc w:val="left"/>
      <w:lvlText w:val="%1"/>
      <w:numFmt w:val="decimal"/>
      <w:start w:val="19"/>
    </w:lvl>
  </w:abstractNum>
  <w:abstractNum w:abstractNumId="29">
    <w:nsid w:val="2F305DEF"/>
    <w:multiLevelType w:val="hybridMultilevel"/>
    <w:lvl w:ilvl="0">
      <w:lvlJc w:val="left"/>
      <w:lvlText w:val="%1."/>
      <w:numFmt w:val="decimal"/>
      <w:start w:val="1"/>
    </w:lvl>
  </w:abstractNum>
  <w:abstractNum w:abstractNumId="30">
    <w:nsid w:val="25A70BF7"/>
    <w:multiLevelType w:val="hybridMultilevel"/>
    <w:lvl w:ilvl="0">
      <w:lvlJc w:val="left"/>
      <w:lvlText w:val="%1."/>
      <w:numFmt w:val="decimal"/>
      <w:start w:val="2"/>
    </w:lvl>
  </w:abstractNum>
  <w:abstractNum w:abstractNumId="31">
    <w:nsid w:val="1DBABF00"/>
    <w:multiLevelType w:val="hybridMultilevel"/>
    <w:lvl w:ilvl="0">
      <w:lvlJc w:val="left"/>
      <w:lvlText w:val="%1."/>
      <w:numFmt w:val="decimal"/>
      <w:start w:val="3"/>
    </w:lvl>
  </w:abstractNum>
  <w:abstractNum w:abstractNumId="32">
    <w:nsid w:val="4AD084E9"/>
    <w:multiLevelType w:val="hybridMultilevel"/>
    <w:lvl w:ilvl="0">
      <w:lvlJc w:val="left"/>
      <w:lvlText w:val="%1."/>
      <w:numFmt w:val="decimal"/>
      <w:start w:val="4"/>
    </w:lvl>
  </w:abstractNum>
  <w:abstractNum w:abstractNumId="33">
    <w:nsid w:val="1F48EAA1"/>
    <w:multiLevelType w:val="hybridMultilevel"/>
    <w:lvl w:ilvl="0">
      <w:lvlJc w:val="left"/>
      <w:lvlText w:val="(%1)"/>
      <w:numFmt w:val="lowerRoman"/>
      <w:start w:val="1"/>
    </w:lvl>
  </w:abstractNum>
  <w:abstractNum w:abstractNumId="34">
    <w:nsid w:val="1381823A"/>
    <w:multiLevelType w:val="hybridMultilevel"/>
    <w:lvl w:ilvl="0">
      <w:lvlJc w:val="left"/>
      <w:lvlText w:val="%1"/>
      <w:numFmt w:val="lowerLetter"/>
      <w:start w:val="1"/>
    </w:lvl>
    <w:lvl w:ilvl="1">
      <w:lvlJc w:val="left"/>
      <w:lvlText w:val="(%2)"/>
      <w:numFmt w:val="lowerLetter"/>
      <w:start w:val="1"/>
    </w:lvl>
  </w:abstractNum>
  <w:abstractNum w:abstractNumId="35">
    <w:nsid w:val="5DB70AE5"/>
    <w:multiLevelType w:val="hybridMultilevel"/>
    <w:lvl w:ilvl="0">
      <w:lvlJc w:val="left"/>
      <w:lvlText w:val="(%1)"/>
      <w:numFmt w:val="lowerLetter"/>
      <w:start w:val="2"/>
    </w:lvl>
    <w:lvl w:ilvl="1">
      <w:lvlJc w:val="left"/>
      <w:lvlText w:val="%2"/>
      <w:numFmt w:val="lowerLetter"/>
      <w:start w:val="1"/>
    </w:lvl>
  </w:abstractNum>
  <w:abstractNum w:abstractNumId="36">
    <w:nsid w:val="100F8FCA"/>
    <w:multiLevelType w:val="hybridMultilevel"/>
    <w:lvl w:ilvl="0">
      <w:lvlJc w:val="left"/>
      <w:lvlText w:val="%1."/>
      <w:numFmt w:val="decimal"/>
      <w:start w:val="5"/>
    </w:lvl>
  </w:abstractNum>
  <w:abstractNum w:abstractNumId="37">
    <w:nsid w:val="6590700B"/>
    <w:multiLevelType w:val="hybridMultilevel"/>
    <w:lvl w:ilvl="0">
      <w:lvlJc w:val="left"/>
      <w:lvlText w:val="%1."/>
      <w:numFmt w:val="decimal"/>
      <w:start w:val="6"/>
    </w:lvl>
  </w:abstractNum>
  <w:abstractNum w:abstractNumId="38">
    <w:nsid w:val="15014ACB"/>
    <w:multiLevelType w:val="hybridMultilevel"/>
    <w:lvl w:ilvl="0">
      <w:lvlJc w:val="left"/>
      <w:lvlText w:val="%1."/>
      <w:numFmt w:val="decimal"/>
      <w:start w:val="7"/>
    </w:lvl>
  </w:abstractNum>
  <w:abstractNum w:abstractNumId="39">
    <w:nsid w:val="5F5E7FD0"/>
    <w:multiLevelType w:val="hybridMultilevel"/>
    <w:lvl w:ilvl="0">
      <w:lvlJc w:val="left"/>
      <w:lvlText w:val="(%1)"/>
      <w:numFmt w:val="lowerLetter"/>
      <w:start w:val="1"/>
    </w:lvl>
    <w:lvl w:ilvl="1">
      <w:lvlJc w:val="left"/>
      <w:lvlText w:val="(%2)"/>
      <w:numFmt w:val="lowerRoman"/>
      <w:start w:val="1"/>
    </w:lvl>
  </w:abstractNum>
  <w:abstractNum w:abstractNumId="40">
    <w:nsid w:val="98A3148"/>
    <w:multiLevelType w:val="hybridMultilevel"/>
    <w:lvl w:ilvl="0">
      <w:lvlJc w:val="left"/>
      <w:lvlText w:val="%1."/>
      <w:numFmt w:val="decimal"/>
      <w:start w:val="8"/>
    </w:lvl>
  </w:abstractNum>
  <w:abstractNum w:abstractNumId="41">
    <w:nsid w:val="799D0247"/>
    <w:multiLevelType w:val="hybridMultilevel"/>
    <w:lvl w:ilvl="0">
      <w:lvlJc w:val="left"/>
      <w:lvlText w:val="%1."/>
      <w:numFmt w:val="decimal"/>
      <w:start w:val="9"/>
    </w:lvl>
  </w:abstractNum>
  <w:abstractNum w:abstractNumId="42">
    <w:nsid w:val="6B94764"/>
    <w:multiLevelType w:val="hybridMultilevel"/>
    <w:lvl w:ilvl="0">
      <w:lvlJc w:val="left"/>
      <w:lvlText w:val="(%1)"/>
      <w:numFmt w:val="lowerLetter"/>
      <w:start w:val="1"/>
    </w:lvl>
  </w:abstractNum>
  <w:abstractNum w:abstractNumId="43">
    <w:nsid w:val="42C296BD"/>
    <w:multiLevelType w:val="hybridMultilevel"/>
    <w:lvl w:ilvl="0">
      <w:lvlJc w:val="left"/>
      <w:lvlText w:val="(%1)"/>
      <w:numFmt w:val="lowerRoman"/>
      <w:start w:val="1"/>
    </w:lvl>
  </w:abstractNum>
  <w:abstractNum w:abstractNumId="44">
    <w:nsid w:val="168E121F"/>
    <w:multiLevelType w:val="hybridMultilevel"/>
    <w:lvl w:ilvl="0">
      <w:lvlJc w:val="left"/>
      <w:lvlText w:val="%1"/>
      <w:numFmt w:val="lowerLetter"/>
      <w:start w:val="1"/>
    </w:lvl>
    <w:lvl w:ilvl="1">
      <w:lvlJc w:val="left"/>
      <w:lvlText w:val="(%2)"/>
      <w:numFmt w:val="lowerLetter"/>
      <w:start w:val="1"/>
    </w:lvl>
  </w:abstractNum>
  <w:abstractNum w:abstractNumId="45">
    <w:nsid w:val="1EBA5D23"/>
    <w:multiLevelType w:val="hybridMultilevel"/>
    <w:lvl w:ilvl="0">
      <w:lvlJc w:val="left"/>
      <w:lvlText w:val="(%1)"/>
      <w:numFmt w:val="lowerLetter"/>
      <w:start w:val="2"/>
    </w:lvl>
    <w:lvl w:ilvl="1">
      <w:lvlJc w:val="left"/>
      <w:lvlText w:val="%2"/>
      <w:numFmt w:val="lowerLetter"/>
      <w:start w:val="1"/>
    </w:lvl>
  </w:abstractNum>
  <w:abstractNum w:abstractNumId="46">
    <w:nsid w:val="661E3F1E"/>
    <w:multiLevelType w:val="hybridMultilevel"/>
    <w:lvl w:ilvl="0">
      <w:lvlJc w:val="left"/>
      <w:lvlText w:val="(%1)"/>
      <w:numFmt w:val="lowerLetter"/>
      <w:start w:val="1"/>
    </w:lvl>
  </w:abstractNum>
  <w:abstractNum w:abstractNumId="47">
    <w:nsid w:val="5DC79EA8"/>
    <w:multiLevelType w:val="hybridMultilevel"/>
    <w:lvl w:ilvl="0">
      <w:lvlJc w:val="left"/>
      <w:lvlText w:val="(%1)"/>
      <w:numFmt w:val="lowerRoman"/>
      <w:start w:val="1"/>
    </w:lvl>
  </w:abstractNum>
  <w:abstractNum w:abstractNumId="48">
    <w:nsid w:val="540A471C"/>
    <w:multiLevelType w:val="hybridMultilevel"/>
    <w:lvl w:ilvl="0">
      <w:lvlJc w:val="left"/>
      <w:lvlText w:val="(%1)"/>
      <w:numFmt w:val="lowerLetter"/>
      <w:start w:val="2"/>
    </w:lvl>
  </w:abstractNum>
  <w:abstractNum w:abstractNumId="49">
    <w:nsid w:val="7BD3EE7B"/>
    <w:multiLevelType w:val="hybridMultilevel"/>
    <w:lvl w:ilvl="0">
      <w:lvlJc w:val="left"/>
      <w:lvlText w:val="%1."/>
      <w:numFmt w:val="decimal"/>
      <w:start w:val="1"/>
    </w:lvl>
  </w:abstractNum>
  <w:abstractNum w:abstractNumId="50">
    <w:nsid w:val="51D9C564"/>
    <w:multiLevelType w:val="hybridMultilevel"/>
    <w:lvl w:ilvl="0">
      <w:lvlJc w:val="left"/>
      <w:lvlText w:val="%1."/>
      <w:numFmt w:val="decimal"/>
      <w:start w:val="2"/>
    </w:lvl>
  </w:abstractNum>
  <w:abstractNum w:abstractNumId="51">
    <w:nsid w:val="613EFDC5"/>
    <w:multiLevelType w:val="hybridMultilevel"/>
    <w:lvl w:ilvl="0">
      <w:lvlJc w:val="left"/>
      <w:lvlText w:val="%1."/>
      <w:numFmt w:val="decimal"/>
      <w:start w:val="3"/>
    </w:lvl>
  </w:abstractNum>
  <w:abstractNum w:abstractNumId="52">
    <w:nsid w:val="BF72B14"/>
    <w:multiLevelType w:val="hybridMultilevel"/>
    <w:lvl w:ilvl="0">
      <w:lvlJc w:val="left"/>
      <w:lvlText w:val="%1."/>
      <w:numFmt w:val="decimal"/>
      <w:start w:val="4"/>
    </w:lvl>
  </w:abstractNum>
  <w:abstractNum w:abstractNumId="53">
    <w:nsid w:val="11447B73"/>
    <w:multiLevelType w:val="hybridMultilevel"/>
    <w:lvl w:ilvl="0">
      <w:lvlJc w:val="left"/>
      <w:lvlText w:val="(%1)"/>
      <w:numFmt w:val="lowerRoman"/>
      <w:start w:val="1"/>
    </w:lvl>
  </w:abstractNum>
  <w:abstractNum w:abstractNumId="54">
    <w:nsid w:val="42963E5A"/>
    <w:multiLevelType w:val="hybridMultilevel"/>
    <w:lvl w:ilvl="0">
      <w:lvlJc w:val="left"/>
      <w:lvlText w:val="%1"/>
      <w:numFmt w:val="lowerLetter"/>
      <w:start w:val="1"/>
    </w:lvl>
    <w:lvl w:ilvl="1">
      <w:lvlJc w:val="left"/>
      <w:lvlText w:val="(%2)"/>
      <w:numFmt w:val="lowerLetter"/>
      <w:start w:val="1"/>
    </w:lvl>
  </w:abstractNum>
  <w:abstractNum w:abstractNumId="55">
    <w:nsid w:val="A0382C5"/>
    <w:multiLevelType w:val="hybridMultilevel"/>
    <w:lvl w:ilvl="0">
      <w:lvlJc w:val="left"/>
      <w:lvlText w:val="(%1)"/>
      <w:numFmt w:val="lowerLetter"/>
      <w:start w:val="2"/>
    </w:lvl>
    <w:lvl w:ilvl="1">
      <w:lvlJc w:val="left"/>
      <w:lvlText w:val="%2"/>
      <w:numFmt w:val="lowerLetter"/>
      <w:start w:val="1"/>
    </w:lvl>
  </w:abstractNum>
  <w:abstractNum w:abstractNumId="56">
    <w:nsid w:val="8F2B15E"/>
    <w:multiLevelType w:val="hybridMultilevel"/>
    <w:lvl w:ilvl="0">
      <w:lvlJc w:val="left"/>
      <w:lvlText w:val="%1."/>
      <w:numFmt w:val="decimal"/>
      <w:start w:val="5"/>
    </w:lvl>
  </w:abstractNum>
  <w:abstractNum w:abstractNumId="57">
    <w:nsid w:val="1A32234B"/>
    <w:multiLevelType w:val="hybridMultilevel"/>
    <w:lvl w:ilvl="0">
      <w:lvlJc w:val="left"/>
      <w:lvlText w:val="%1."/>
      <w:numFmt w:val="decimal"/>
      <w:start w:val="6"/>
    </w:lvl>
  </w:abstractNum>
  <w:abstractNum w:abstractNumId="58">
    <w:nsid w:val="3B0FD379"/>
    <w:multiLevelType w:val="hybridMultilevel"/>
    <w:lvl w:ilvl="0">
      <w:lvlJc w:val="left"/>
      <w:lvlText w:val="%1."/>
      <w:numFmt w:val="decimal"/>
      <w:start w:val="7"/>
    </w:lvl>
  </w:abstractNum>
  <w:abstractNum w:abstractNumId="59">
    <w:nsid w:val="68EB2F63"/>
    <w:multiLevelType w:val="hybridMultilevel"/>
    <w:lvl w:ilvl="0">
      <w:lvlJc w:val="left"/>
      <w:lvlText w:val="(%1)"/>
      <w:numFmt w:val="lowerLetter"/>
      <w:start w:val="1"/>
    </w:lvl>
    <w:lvl w:ilvl="1">
      <w:lvlJc w:val="left"/>
      <w:lvlText w:val="(%2)"/>
      <w:numFmt w:val="decimal"/>
      <w:start w:val="1"/>
    </w:lvl>
  </w:abstractNum>
  <w:abstractNum w:abstractNumId="60">
    <w:nsid w:val="4962813B"/>
    <w:multiLevelType w:val="hybridMultilevel"/>
    <w:lvl w:ilvl="0">
      <w:lvlJc w:val="left"/>
      <w:lvlText w:val="%1"/>
      <w:numFmt w:val="decimal"/>
      <w:start w:val="1"/>
    </w:lvl>
    <w:lvl w:ilvl="1">
      <w:lvlJc w:val="left"/>
      <w:lvlText w:val="(%2)"/>
      <w:numFmt w:val="lowerLetter"/>
      <w:start w:val="3"/>
    </w:lvl>
  </w:abstractNum>
  <w:abstractNum w:abstractNumId="61">
    <w:nsid w:val="60B6DF70"/>
    <w:multiLevelType w:val="hybridMultilevel"/>
    <w:lvl w:ilvl="0">
      <w:lvlJc w:val="left"/>
      <w:lvlText w:val="%1."/>
      <w:numFmt w:val="decimal"/>
      <w:start w:val="8"/>
    </w:lvl>
    <w:lvl w:ilvl="1">
      <w:lvlJc w:val="left"/>
      <w:lvlText w:val="%2"/>
      <w:numFmt w:val="lowerLetter"/>
      <w:start w:val="1"/>
    </w:lvl>
  </w:abstractNum>
  <w:abstractNum w:abstractNumId="62">
    <w:nsid w:val="6A5EE64"/>
    <w:multiLevelType w:val="hybridMultilevel"/>
    <w:lvl w:ilvl="0">
      <w:lvlJc w:val="left"/>
      <w:lvlText w:val="%1."/>
      <w:numFmt w:val="decimal"/>
      <w:start w:val="9"/>
    </w:lvl>
  </w:abstractNum>
  <w:abstractNum w:abstractNumId="63">
    <w:nsid w:val="14330624"/>
    <w:multiLevelType w:val="hybridMultilevel"/>
    <w:lvl w:ilvl="0">
      <w:lvlJc w:val="left"/>
      <w:lvlText w:val="(%1)"/>
      <w:numFmt w:val="lowerLetter"/>
      <w:start w:val="1"/>
    </w:lvl>
  </w:abstractNum>
  <w:abstractNum w:abstractNumId="64">
    <w:nsid w:val="7FFFCA11"/>
    <w:multiLevelType w:val="hybridMultilevel"/>
    <w:lvl w:ilvl="0">
      <w:lvlJc w:val="left"/>
      <w:lvlText w:val="(%1)"/>
      <w:numFmt w:val="lowerRoman"/>
      <w:start w:val="1"/>
    </w:lvl>
  </w:abstractNum>
  <w:abstractNum w:abstractNumId="65">
    <w:nsid w:val="1A27709E"/>
    <w:multiLevelType w:val="hybridMultilevel"/>
    <w:lvl w:ilvl="0">
      <w:lvlJc w:val="left"/>
      <w:lvlText w:val="(%1)"/>
      <w:numFmt w:val="lowerRoman"/>
      <w:start w:val="2"/>
    </w:lvl>
  </w:abstractNum>
  <w:abstractNum w:abstractNumId="66">
    <w:nsid w:val="71EA1109"/>
    <w:multiLevelType w:val="hybridMultilevel"/>
    <w:lvl w:ilvl="0">
      <w:lvlJc w:val="left"/>
      <w:lvlText w:val="(%1)"/>
      <w:numFmt w:val="upperLetter"/>
      <w:start w:val="1"/>
    </w:lvl>
  </w:abstractNum>
  <w:abstractNum w:abstractNumId="67">
    <w:nsid w:val="100F59DC"/>
    <w:multiLevelType w:val="hybridMultilevel"/>
    <w:lvl w:ilvl="0">
      <w:lvlJc w:val="left"/>
      <w:lvlText w:val="(%1)"/>
      <w:numFmt w:val="lowerLetter"/>
      <w:start w:val="2"/>
    </w:lvl>
  </w:abstractNum>
  <w:abstractNum w:abstractNumId="68">
    <w:nsid w:val="7FB7E0AA"/>
    <w:multiLevelType w:val="hybridMultilevel"/>
    <w:lvl w:ilvl="0">
      <w:lvlJc w:val="left"/>
      <w:lvlText w:val="%1."/>
      <w:numFmt w:val="decimal"/>
      <w:start w:val="1"/>
    </w:lvl>
  </w:abstractNum>
  <w:abstractNum w:abstractNumId="69">
    <w:nsid w:val="6EB5BD4"/>
    <w:multiLevelType w:val="hybridMultilevel"/>
    <w:lvl w:ilvl="0">
      <w:lvlJc w:val="left"/>
      <w:lvlText w:val="%1."/>
      <w:numFmt w:val="decimal"/>
      <w:start w:val="2"/>
    </w:lvl>
  </w:abstractNum>
  <w:abstractNum w:abstractNumId="70">
    <w:nsid w:val="6F6DD9AC"/>
    <w:multiLevelType w:val="hybridMultilevel"/>
    <w:lvl w:ilvl="0">
      <w:lvlJc w:val="left"/>
      <w:lvlText w:val="%1."/>
      <w:numFmt w:val="decimal"/>
      <w:start w:val="3"/>
    </w:lvl>
  </w:abstractNum>
  <w:abstractNum w:abstractNumId="71">
    <w:nsid w:val="94211F2"/>
    <w:multiLevelType w:val="hybridMultilevel"/>
    <w:lvl w:ilvl="0">
      <w:lvlJc w:val="left"/>
      <w:lvlText w:val="%1."/>
      <w:numFmt w:val="decimal"/>
      <w:start w:val="4"/>
    </w:lvl>
  </w:abstractNum>
  <w:abstractNum w:abstractNumId="72">
    <w:nsid w:val="885E1B"/>
    <w:multiLevelType w:val="hybridMultilevel"/>
    <w:lvl w:ilvl="0">
      <w:lvlJc w:val="left"/>
      <w:lvlText w:val="(%1)"/>
      <w:numFmt w:val="lowerRoman"/>
      <w:start w:val="1"/>
    </w:lvl>
  </w:abstractNum>
  <w:abstractNum w:abstractNumId="73">
    <w:nsid w:val="76272110"/>
    <w:multiLevelType w:val="hybridMultilevel"/>
    <w:lvl w:ilvl="0">
      <w:lvlJc w:val="left"/>
      <w:lvlText w:val="%1"/>
      <w:numFmt w:val="lowerLetter"/>
      <w:start w:val="1"/>
    </w:lvl>
    <w:lvl w:ilvl="1">
      <w:lvlJc w:val="left"/>
      <w:lvlText w:val="(%2)"/>
      <w:numFmt w:val="lowerLetter"/>
      <w:start w:val="1"/>
    </w:lvl>
  </w:abstractNum>
  <w:abstractNum w:abstractNumId="74">
    <w:nsid w:val="4C04A8AF"/>
    <w:multiLevelType w:val="hybridMultilevel"/>
    <w:lvl w:ilvl="0">
      <w:lvlJc w:val="left"/>
      <w:lvlText w:val="(%1)"/>
      <w:numFmt w:val="lowerLetter"/>
      <w:start w:val="2"/>
    </w:lvl>
    <w:lvl w:ilvl="1">
      <w:lvlJc w:val="left"/>
      <w:lvlText w:val="%2"/>
      <w:numFmt w:val="lowerLetter"/>
      <w:start w:val="1"/>
    </w:lvl>
  </w:abstractNum>
  <w:abstractNum w:abstractNumId="75">
    <w:nsid w:val="1716703B"/>
    <w:multiLevelType w:val="hybridMultilevel"/>
    <w:lvl w:ilvl="0">
      <w:lvlJc w:val="left"/>
      <w:lvlText w:val="%1."/>
      <w:numFmt w:val="decimal"/>
      <w:start w:val="5"/>
    </w:lvl>
  </w:abstractNum>
  <w:abstractNum w:abstractNumId="76">
    <w:nsid w:val="14E17E33"/>
    <w:multiLevelType w:val="hybridMultilevel"/>
    <w:lvl w:ilvl="0">
      <w:lvlJc w:val="left"/>
      <w:lvlText w:val="%1."/>
      <w:numFmt w:val="decimal"/>
      <w:start w:val="6"/>
    </w:lvl>
  </w:abstractNum>
  <w:abstractNum w:abstractNumId="77">
    <w:nsid w:val="3222E7CD"/>
    <w:multiLevelType w:val="hybridMultilevel"/>
    <w:lvl w:ilvl="0">
      <w:lvlJc w:val="left"/>
      <w:lvlText w:val="%1."/>
      <w:numFmt w:val="decimal"/>
      <w:start w:val="7"/>
    </w:lvl>
  </w:abstractNum>
  <w:abstractNum w:abstractNumId="78">
    <w:nsid w:val="74DE0EE3"/>
    <w:multiLevelType w:val="hybridMultilevel"/>
    <w:lvl w:ilvl="0">
      <w:lvlJc w:val="left"/>
      <w:lvlText w:val="%1."/>
      <w:numFmt w:val="decimal"/>
      <w:start w:val="8"/>
    </w:lvl>
  </w:abstractNum>
  <w:abstractNum w:abstractNumId="79">
    <w:nsid w:val="68EBC550"/>
    <w:multiLevelType w:val="hybridMultilevel"/>
    <w:lvl w:ilvl="0">
      <w:lvlJc w:val="left"/>
      <w:lvlText w:val="%1."/>
      <w:numFmt w:val="decimal"/>
      <w:start w:val="9"/>
    </w:lvl>
  </w:abstractNum>
  <w:abstractNum w:abstractNumId="80">
    <w:nsid w:val="2DF6D648"/>
    <w:multiLevelType w:val="hybridMultilevel"/>
    <w:lvl w:ilvl="0">
      <w:lvlJc w:val="left"/>
      <w:lvlText w:val="%1."/>
      <w:numFmt w:val="decimal"/>
      <w:start w:val="10"/>
    </w:lvl>
  </w:abstractNum>
  <w:abstractNum w:abstractNumId="81">
    <w:nsid w:val="46B7D447"/>
    <w:multiLevelType w:val="hybridMultilevel"/>
    <w:lvl w:ilvl="0">
      <w:lvlJc w:val="left"/>
      <w:lvlText w:val="%1."/>
      <w:numFmt w:val="decimal"/>
      <w:start w:val="11"/>
    </w:lvl>
  </w:abstractNum>
  <w:abstractNum w:abstractNumId="82">
    <w:nsid w:val="4A2AC315"/>
    <w:multiLevelType w:val="hybridMultilevel"/>
    <w:lvl w:ilvl="0">
      <w:lvlJc w:val="left"/>
      <w:lvlText w:val="%1."/>
      <w:numFmt w:val="decimal"/>
      <w:start w:val="12"/>
    </w:lvl>
  </w:abstractNum>
  <w:abstractNum w:abstractNumId="83">
    <w:nsid w:val="39EE015C"/>
    <w:multiLevelType w:val="hybridMultilevel"/>
    <w:lvl w:ilvl="0">
      <w:lvlJc w:val="left"/>
      <w:lvlText w:val="%1."/>
      <w:numFmt w:val="decimal"/>
      <w:start w:val="13"/>
    </w:lvl>
  </w:abstractNum>
  <w:abstractNum w:abstractNumId="84">
    <w:nsid w:val="57FC4FBB"/>
    <w:multiLevelType w:val="hybridMultilevel"/>
    <w:lvl w:ilvl="0">
      <w:lvlJc w:val="left"/>
      <w:lvlText w:val="(%1)"/>
      <w:numFmt w:val="lowerLetter"/>
      <w:start w:val="1"/>
    </w:lvl>
  </w:abstractNum>
  <w:abstractNum w:abstractNumId="85">
    <w:nsid w:val="CC1016F"/>
    <w:multiLevelType w:val="hybridMultilevel"/>
    <w:lvl w:ilvl="0">
      <w:lvlJc w:val="left"/>
      <w:lvlText w:val="%1."/>
      <w:numFmt w:val="decimal"/>
      <w:start w:val="1"/>
    </w:lvl>
  </w:abstractNum>
  <w:abstractNum w:abstractNumId="86">
    <w:nsid w:val="43F18422"/>
    <w:multiLevelType w:val="hybridMultilevel"/>
    <w:lvl w:ilvl="0">
      <w:lvlJc w:val="left"/>
      <w:lvlText w:val="%1."/>
      <w:numFmt w:val="decimal"/>
      <w:start w:val="5"/>
    </w:lvl>
    <w:lvl w:ilvl="1">
      <w:lvlJc w:val="left"/>
      <w:lvlText w:val="(%2)"/>
      <w:numFmt w:val="lowerLetter"/>
      <w:start w:val="1"/>
    </w:lvl>
  </w:abstractNum>
  <w:abstractNum w:abstractNumId="87">
    <w:nsid w:val="60EF0119"/>
    <w:multiLevelType w:val="hybridMultilevel"/>
    <w:lvl w:ilvl="0">
      <w:lvlJc w:val="left"/>
      <w:lvlText w:val="%1."/>
      <w:numFmt w:val="decimal"/>
      <w:start w:val="7"/>
    </w:lvl>
  </w:abstractNum>
  <w:abstractNum w:abstractNumId="88">
    <w:nsid w:val="26F324B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89">
    <w:nsid w:val="7F01579B"/>
    <w:multiLevelType w:val="hybridMultilevel"/>
    <w:lvl w:ilvl="0">
      <w:lvlJc w:val="left"/>
      <w:lvlText w:val="(%1)"/>
      <w:numFmt w:val="lowerRoman"/>
      <w:start w:val="7"/>
    </w:lvl>
  </w:abstractNum>
  <w:abstractNum w:abstractNumId="90">
    <w:nsid w:val="49DA307D"/>
    <w:multiLevelType w:val="hybridMultilevel"/>
    <w:lvl w:ilvl="0">
      <w:lvlJc w:val="left"/>
      <w:lvlText w:val="(%1)"/>
      <w:numFmt w:val="lowerLetter"/>
      <w:start w:val="2"/>
    </w:lvl>
  </w:abstractNum>
  <w:abstractNum w:abstractNumId="91">
    <w:nsid w:val="7055A5F5"/>
    <w:multiLevelType w:val="hybridMultilevel"/>
    <w:lvl w:ilvl="0">
      <w:lvlJc w:val="left"/>
      <w:lvlText w:val="%1."/>
      <w:numFmt w:val="decimal"/>
      <w:start w:val="11"/>
    </w:lvl>
    <w:lvl w:ilvl="1">
      <w:lvlJc w:val="left"/>
      <w:lvlText w:val="(%2)"/>
      <w:numFmt w:val="lowerLetter"/>
      <w:start w:val="1"/>
    </w:lvl>
  </w:abstractNum>
  <w:abstractNum w:abstractNumId="92">
    <w:nsid w:val="5FB8370B"/>
    <w:multiLevelType w:val="hybridMultilevel"/>
    <w:lvl w:ilvl="0">
      <w:lvlJc w:val="left"/>
      <w:lvlText w:val="%1"/>
      <w:numFmt w:val="decimal"/>
      <w:start w:val="1"/>
    </w:lvl>
    <w:lvl w:ilvl="1">
      <w:lvlJc w:val="left"/>
      <w:lvlText w:val="(%2)"/>
      <w:numFmt w:val="lowerLetter"/>
      <w:start w:val="3"/>
    </w:lvl>
  </w:abstractNum>
  <w:abstractNum w:abstractNumId="93">
    <w:nsid w:val="50801EE1"/>
    <w:multiLevelType w:val="hybridMultilevel"/>
    <w:lvl w:ilvl="0">
      <w:lvlJc w:val="left"/>
      <w:lvlText w:val="%1."/>
      <w:numFmt w:val="decimal"/>
      <w:start w:val="15"/>
    </w:lvl>
    <w:lvl w:ilvl="1">
      <w:lvlJc w:val="left"/>
      <w:lvlText w:val="(%2)"/>
      <w:numFmt w:val="lowerLetter"/>
      <w:start w:val="1"/>
    </w:lvl>
  </w:abstractNum>
  <w:abstractNum w:abstractNumId="94">
    <w:nsid w:val="488AC1A"/>
    <w:multiLevelType w:val="hybridMultilevel"/>
    <w:lvl w:ilvl="0">
      <w:lvlJc w:val="left"/>
      <w:lvlText w:val="(%1)"/>
      <w:numFmt w:val="lowerLetter"/>
      <w:start w:val="1"/>
    </w:lvl>
  </w:abstractNum>
  <w:abstractNum w:abstractNumId="95">
    <w:nsid w:val="5FB8011C"/>
    <w:multiLevelType w:val="hybridMultilevel"/>
    <w:lvl w:ilvl="0">
      <w:lvlJc w:val="left"/>
      <w:lvlText w:val="%1"/>
      <w:numFmt w:val="decimal"/>
      <w:start w:val="1"/>
    </w:lvl>
    <w:lvl w:ilvl="1">
      <w:lvlJc w:val="left"/>
      <w:lvlText w:val="(%2)"/>
      <w:numFmt w:val="lowerLetter"/>
      <w:start w:val="4"/>
    </w:lvl>
  </w:abstractNum>
  <w:abstractNum w:abstractNumId="96">
    <w:nsid w:val="6AA78F7F"/>
    <w:multiLevelType w:val="hybridMultilevel"/>
    <w:lvl w:ilvl="0">
      <w:lvlJc w:val="left"/>
      <w:lvlText w:val="%1."/>
      <w:numFmt w:val="decimal"/>
      <w:start w:val="17"/>
    </w:lvl>
    <w:lvl w:ilvl="1">
      <w:lvlJc w:val="left"/>
      <w:lvlText w:val="%2"/>
      <w:numFmt w:val="lowerLetter"/>
      <w:start w:val="1"/>
    </w:lvl>
  </w:abstractNum>
  <w:abstractNum w:abstractNumId="97">
    <w:nsid w:val="7672BD23"/>
    <w:multiLevelType w:val="hybridMultilevel"/>
    <w:lvl w:ilvl="0">
      <w:lvlJc w:val="left"/>
      <w:lvlText w:val="•"/>
      <w:numFmt w:val="bullet"/>
      <w:start w:val="1"/>
    </w:lvl>
  </w:abstractNum>
  <w:abstractNum w:abstractNumId="98">
    <w:nsid w:val="6FC75AF8"/>
    <w:multiLevelType w:val="hybridMultilevel"/>
    <w:lvl w:ilvl="0">
      <w:lvlJc w:val="left"/>
      <w:lvlText w:val="%1."/>
      <w:numFmt w:val="decimal"/>
      <w:start w:val="1"/>
    </w:lvl>
    <w:lvl w:ilvl="1">
      <w:lvlJc w:val="left"/>
      <w:lvlText w:val="%2."/>
      <w:numFmt w:val="lowerLetter"/>
      <w:start w:val="1"/>
    </w:lvl>
  </w:abstractNum>
  <w:abstractNum w:abstractNumId="99">
    <w:nsid w:val="6A5F70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52" Type="http://schemas.openxmlformats.org/officeDocument/2006/relationships/image" Target="media/image341.png"/><Relationship Id="rId353" Type="http://schemas.openxmlformats.org/officeDocument/2006/relationships/image" Target="media/image342.png"/><Relationship Id="rId354" Type="http://schemas.openxmlformats.org/officeDocument/2006/relationships/image" Target="media/image343.png"/><Relationship Id="rId355" Type="http://schemas.openxmlformats.org/officeDocument/2006/relationships/image" Target="media/image344.png"/><Relationship Id="rId356" Type="http://schemas.openxmlformats.org/officeDocument/2006/relationships/image" Target="media/image345.png"/><Relationship Id="rId357" Type="http://schemas.openxmlformats.org/officeDocument/2006/relationships/image" Target="media/image346.png"/><Relationship Id="rId358" Type="http://schemas.openxmlformats.org/officeDocument/2006/relationships/image" Target="media/image347.png"/><Relationship Id="rId359" Type="http://schemas.openxmlformats.org/officeDocument/2006/relationships/image" Target="media/image348.png"/><Relationship Id="rId360" Type="http://schemas.openxmlformats.org/officeDocument/2006/relationships/image" Target="media/image349.png"/><Relationship Id="rId361" Type="http://schemas.openxmlformats.org/officeDocument/2006/relationships/image" Target="media/image350.png"/><Relationship Id="rId362" Type="http://schemas.openxmlformats.org/officeDocument/2006/relationships/image" Target="media/image351.png"/><Relationship Id="rId363" Type="http://schemas.openxmlformats.org/officeDocument/2006/relationships/image" Target="media/image352.png"/><Relationship Id="rId364" Type="http://schemas.openxmlformats.org/officeDocument/2006/relationships/image" Target="media/image353.png"/><Relationship Id="rId365"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379" Type="http://schemas.openxmlformats.org/officeDocument/2006/relationships/image" Target="media/image368.png"/><Relationship Id="rId380" Type="http://schemas.openxmlformats.org/officeDocument/2006/relationships/image" Target="media/image369.png"/><Relationship Id="rId381" Type="http://schemas.openxmlformats.org/officeDocument/2006/relationships/image" Target="media/image370.png"/><Relationship Id="rId382" Type="http://schemas.openxmlformats.org/officeDocument/2006/relationships/image" Target="media/image371.png"/><Relationship Id="rId383" Type="http://schemas.openxmlformats.org/officeDocument/2006/relationships/image" Target="media/image372.png"/><Relationship Id="rId384" Type="http://schemas.openxmlformats.org/officeDocument/2006/relationships/image" Target="media/image373.png"/><Relationship Id="rId385" Type="http://schemas.openxmlformats.org/officeDocument/2006/relationships/image" Target="media/image374.png"/><Relationship Id="rId386" Type="http://schemas.openxmlformats.org/officeDocument/2006/relationships/image" Target="media/image375.png"/><Relationship Id="rId387" Type="http://schemas.openxmlformats.org/officeDocument/2006/relationships/image" Target="media/image376.png"/><Relationship Id="rId388" Type="http://schemas.openxmlformats.org/officeDocument/2006/relationships/image" Target="media/image377.png"/><Relationship Id="rId389" Type="http://schemas.openxmlformats.org/officeDocument/2006/relationships/image" Target="media/image378.png"/><Relationship Id="rId390" Type="http://schemas.openxmlformats.org/officeDocument/2006/relationships/image" Target="media/image379.png"/><Relationship Id="rId391" Type="http://schemas.openxmlformats.org/officeDocument/2006/relationships/image" Target="media/image380.png"/><Relationship Id="rId392" Type="http://schemas.openxmlformats.org/officeDocument/2006/relationships/image" Target="media/image381.png"/><Relationship Id="rId393" Type="http://schemas.openxmlformats.org/officeDocument/2006/relationships/image" Target="media/image382.png"/><Relationship Id="rId394" Type="http://schemas.openxmlformats.org/officeDocument/2006/relationships/image" Target="media/image383.png"/><Relationship Id="rId395" Type="http://schemas.openxmlformats.org/officeDocument/2006/relationships/image" Target="media/image384.png"/><Relationship Id="rId396" Type="http://schemas.openxmlformats.org/officeDocument/2006/relationships/image" Target="media/image385.png"/><Relationship Id="rId397" Type="http://schemas.openxmlformats.org/officeDocument/2006/relationships/image" Target="media/image386.png"/><Relationship Id="rId398" Type="http://schemas.openxmlformats.org/officeDocument/2006/relationships/image" Target="media/image387.png"/><Relationship Id="rId399" Type="http://schemas.openxmlformats.org/officeDocument/2006/relationships/image" Target="media/image388.png"/><Relationship Id="rId400" Type="http://schemas.openxmlformats.org/officeDocument/2006/relationships/image" Target="media/image389.png"/><Relationship Id="rId401" Type="http://schemas.openxmlformats.org/officeDocument/2006/relationships/image" Target="media/image390.png"/><Relationship Id="rId402" Type="http://schemas.openxmlformats.org/officeDocument/2006/relationships/image" Target="media/image391.png"/><Relationship Id="rId403" Type="http://schemas.openxmlformats.org/officeDocument/2006/relationships/image" Target="media/image392.png"/><Relationship Id="rId404" Type="http://schemas.openxmlformats.org/officeDocument/2006/relationships/image" Target="media/image393.png"/><Relationship Id="rId405" Type="http://schemas.openxmlformats.org/officeDocument/2006/relationships/image" Target="media/image394.png"/><Relationship Id="rId406" Type="http://schemas.openxmlformats.org/officeDocument/2006/relationships/image" Target="media/image395.png"/><Relationship Id="rId407" Type="http://schemas.openxmlformats.org/officeDocument/2006/relationships/image" Target="media/image396.png"/><Relationship Id="rId408" Type="http://schemas.openxmlformats.org/officeDocument/2006/relationships/image" Target="media/image397.png"/><Relationship Id="rId409" Type="http://schemas.openxmlformats.org/officeDocument/2006/relationships/image" Target="media/image398.png"/><Relationship Id="rId410" Type="http://schemas.openxmlformats.org/officeDocument/2006/relationships/image" Target="media/image399.png"/><Relationship Id="rId411" Type="http://schemas.openxmlformats.org/officeDocument/2006/relationships/image" Target="media/image400.png"/><Relationship Id="rId412" Type="http://schemas.openxmlformats.org/officeDocument/2006/relationships/image" Target="media/image401.png"/><Relationship Id="rId322" Type="http://schemas.openxmlformats.org/officeDocument/2006/relationships/hyperlink" Target="https://www.sec.gov/Archives/edgar/data/1761312/000119312525258571/plmr-ex2_1.htm" TargetMode="External"/><Relationship Id="rId323" Type="http://schemas.openxmlformats.org/officeDocument/2006/relationships/hyperlink" Target="https://www.sec.gov/Archives/edgar/data/1761312/000119312526033708/plmr-ex2_2.htm" TargetMode="External"/><Relationship Id="rId324" Type="http://schemas.openxmlformats.org/officeDocument/2006/relationships/hyperlink" Target="https://www.sec.gov/Archives/edgar/data/1761312/000119312526033708/plmr-ex10_1.htm" TargetMode="External"/><Relationship Id="rId325" Type="http://schemas.openxmlformats.org/officeDocument/2006/relationships/hyperlink" Target="https://www.sec.gov/Archives/edgar/data/1761312/000119312526033708/plmr-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2026-05-08T05:25:06Z</dcterms:created>
  <dcterms:modified xsi:type="dcterms:W3CDTF">2026-05-08T05:25:06Z</dcterms:modified>
</cp:coreProperties>
</file>