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820" w:right="2360" w:hanging="488"/>
        <w:spacing w:after="0" w:line="264" w:lineRule="auto"/>
        <w:tabs>
          <w:tab w:leader="none" w:pos="65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2024</w:t>
      </w: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211" w:lineRule="exact"/>
        <w:rPr>
          <w:sz w:val="24"/>
          <w:szCs w:val="24"/>
          <w:color w:val="auto"/>
        </w:rPr>
      </w:pPr>
    </w:p>
    <w:p>
      <w:pPr>
        <w:ind w:left="820" w:right="2340" w:hanging="488"/>
        <w:spacing w:after="0" w:line="301" w:lineRule="auto"/>
        <w:tabs>
          <w:tab w:leader="none" w:pos="65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 to ___________</w:t>
      </w:r>
    </w:p>
    <w:p>
      <w:pPr>
        <w:spacing w:after="0" w:line="6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40" w:type="dxa"/>
            <w:vAlign w:val="bottom"/>
            <w:gridSpan w:val="6"/>
          </w:tcPr>
          <w:p>
            <w:pPr>
              <w:jc w:val="center"/>
              <w:ind w:right="500"/>
              <w:spacing w:after="0"/>
              <w:rPr>
                <w:sz w:val="20"/>
                <w:szCs w:val="20"/>
                <w:color w:val="auto"/>
              </w:rPr>
            </w:pPr>
            <w:r>
              <w:rPr>
                <w:rFonts w:ascii="Times New Roman" w:cs="Times New Roman" w:eastAsia="Times New Roman" w:hAnsi="Times New Roman"/>
                <w:sz w:val="16"/>
                <w:szCs w:val="16"/>
                <w:color w:val="auto"/>
              </w:rPr>
              <w:t>Commission File Number: 001-38873</w:t>
            </w:r>
          </w:p>
        </w:tc>
        <w:tc>
          <w:tcPr>
            <w:tcW w:w="3800" w:type="dxa"/>
            <w:vAlign w:val="bottom"/>
          </w:tcPr>
          <w:p>
            <w:pPr>
              <w:spacing w:after="0"/>
              <w:rPr>
                <w:sz w:val="18"/>
                <w:szCs w:val="18"/>
                <w:color w:val="auto"/>
              </w:rPr>
            </w:pPr>
          </w:p>
        </w:tc>
      </w:tr>
      <w:tr>
        <w:trPr>
          <w:trHeight w:val="656"/>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Palomar Holdings, Inc.</w:t>
            </w:r>
          </w:p>
        </w:tc>
        <w:tc>
          <w:tcPr>
            <w:tcW w:w="3800" w:type="dxa"/>
            <w:vAlign w:val="bottom"/>
          </w:tcPr>
          <w:p>
            <w:pPr>
              <w:spacing w:after="0"/>
              <w:rPr>
                <w:sz w:val="24"/>
                <w:szCs w:val="24"/>
                <w:color w:val="auto"/>
              </w:rPr>
            </w:pPr>
          </w:p>
        </w:tc>
      </w:tr>
      <w:tr>
        <w:trPr>
          <w:trHeight w:val="330"/>
        </w:trPr>
        <w:tc>
          <w:tcPr>
            <w:tcW w:w="3800" w:type="dxa"/>
            <w:vAlign w:val="bottom"/>
          </w:tcPr>
          <w:p>
            <w:pPr>
              <w:spacing w:after="0"/>
              <w:rPr>
                <w:sz w:val="24"/>
                <w:szCs w:val="24"/>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800" w:type="dxa"/>
            <w:vAlign w:val="bottom"/>
          </w:tcPr>
          <w:p>
            <w:pPr>
              <w:spacing w:after="0"/>
              <w:rPr>
                <w:sz w:val="24"/>
                <w:szCs w:val="24"/>
                <w:color w:val="auto"/>
              </w:rPr>
            </w:pPr>
          </w:p>
        </w:tc>
      </w:tr>
      <w:tr>
        <w:trPr>
          <w:trHeight w:val="408"/>
        </w:trPr>
        <w:tc>
          <w:tcPr>
            <w:tcW w:w="3800" w:type="dxa"/>
            <w:vAlign w:val="bottom"/>
            <w:tcBorders>
              <w:bottom w:val="single" w:sz="8" w:color="auto"/>
            </w:tcBorders>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83-3972551</w:t>
            </w:r>
          </w:p>
        </w:tc>
      </w:tr>
      <w:tr>
        <w:trPr>
          <w:trHeight w:val="185"/>
        </w:trPr>
        <w:tc>
          <w:tcPr>
            <w:tcW w:w="3800" w:type="dxa"/>
            <w:vAlign w:val="bottom"/>
          </w:tcPr>
          <w:p>
            <w:pPr>
              <w:jc w:val="center"/>
              <w:ind w:left="13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Pr>
          <w:p>
            <w:pPr>
              <w:jc w:val="center"/>
              <w:ind w:right="12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80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395"/>
        </w:trPr>
        <w:tc>
          <w:tcPr>
            <w:tcW w:w="3800" w:type="dxa"/>
            <w:vAlign w:val="bottom"/>
          </w:tcPr>
          <w:p>
            <w:pPr>
              <w:jc w:val="center"/>
              <w:ind w:left="1299"/>
              <w:spacing w:after="0"/>
              <w:rPr>
                <w:sz w:val="20"/>
                <w:szCs w:val="20"/>
                <w:color w:val="auto"/>
              </w:rPr>
            </w:pPr>
            <w:r>
              <w:rPr>
                <w:rFonts w:ascii="Times New Roman" w:cs="Times New Roman" w:eastAsia="Times New Roman" w:hAnsi="Times New Roman"/>
                <w:sz w:val="16"/>
                <w:szCs w:val="16"/>
                <w:b w:val="1"/>
                <w:bCs w:val="1"/>
                <w:color w:val="auto"/>
              </w:rPr>
              <w:t>7979 Ivanhoe Avenue, Suite 500</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12"/>
        </w:trPr>
        <w:tc>
          <w:tcPr>
            <w:tcW w:w="3800" w:type="dxa"/>
            <w:vAlign w:val="bottom"/>
            <w:tcBorders>
              <w:bottom w:val="single" w:sz="8" w:color="auto"/>
            </w:tcBorders>
          </w:tcPr>
          <w:p>
            <w:pPr>
              <w:jc w:val="center"/>
              <w:ind w:left="1319"/>
              <w:spacing w:after="0"/>
              <w:rPr>
                <w:sz w:val="20"/>
                <w:szCs w:val="20"/>
                <w:color w:val="auto"/>
              </w:rPr>
            </w:pPr>
            <w:r>
              <w:rPr>
                <w:rFonts w:ascii="Times New Roman" w:cs="Times New Roman" w:eastAsia="Times New Roman" w:hAnsi="Times New Roman"/>
                <w:sz w:val="16"/>
                <w:szCs w:val="16"/>
                <w:b w:val="1"/>
                <w:bCs w:val="1"/>
                <w:color w:val="auto"/>
              </w:rPr>
              <w:t>La Jolla, California</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92037</w:t>
            </w:r>
          </w:p>
        </w:tc>
      </w:tr>
      <w:tr>
        <w:trPr>
          <w:trHeight w:val="210"/>
        </w:trPr>
        <w:tc>
          <w:tcPr>
            <w:tcW w:w="518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jc w:val="center"/>
              <w:ind w:right="1279"/>
              <w:spacing w:after="0"/>
              <w:rPr>
                <w:sz w:val="20"/>
                <w:szCs w:val="20"/>
                <w:color w:val="auto"/>
              </w:rPr>
            </w:pPr>
            <w:r>
              <w:rPr>
                <w:rFonts w:ascii="Times New Roman" w:cs="Times New Roman" w:eastAsia="Times New Roman" w:hAnsi="Times New Roman"/>
                <w:sz w:val="16"/>
                <w:szCs w:val="16"/>
                <w:color w:val="auto"/>
              </w:rPr>
              <w:t>(Zip Code)</w:t>
            </w:r>
          </w:p>
        </w:tc>
      </w:tr>
      <w:tr>
        <w:trPr>
          <w:trHeight w:val="597"/>
        </w:trPr>
        <w:tc>
          <w:tcPr>
            <w:tcW w:w="3800" w:type="dxa"/>
            <w:vAlign w:val="bottom"/>
          </w:tcPr>
          <w:p>
            <w:pPr>
              <w:spacing w:after="0"/>
              <w:rPr>
                <w:sz w:val="24"/>
                <w:szCs w:val="24"/>
                <w:color w:val="auto"/>
              </w:rPr>
            </w:pPr>
          </w:p>
        </w:tc>
        <w:tc>
          <w:tcPr>
            <w:tcW w:w="1260" w:type="dxa"/>
            <w:vAlign w:val="bottom"/>
            <w:gridSpan w:val="2"/>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(619) 567-5290</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07"/>
        </w:trPr>
        <w:tc>
          <w:tcPr>
            <w:tcW w:w="3800" w:type="dxa"/>
            <w:vAlign w:val="bottom"/>
          </w:tcPr>
          <w:p>
            <w:pPr>
              <w:spacing w:after="0"/>
              <w:rPr>
                <w:sz w:val="17"/>
                <w:szCs w:val="17"/>
                <w:color w:val="auto"/>
              </w:rPr>
            </w:pPr>
          </w:p>
        </w:tc>
        <w:tc>
          <w:tcPr>
            <w:tcW w:w="364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800" w:type="dxa"/>
            <w:vAlign w:val="bottom"/>
          </w:tcPr>
          <w:p>
            <w:pPr>
              <w:spacing w:after="0"/>
              <w:rPr>
                <w:sz w:val="17"/>
                <w:szCs w:val="17"/>
                <w:color w:val="auto"/>
              </w:rPr>
            </w:pPr>
          </w:p>
        </w:tc>
      </w:tr>
      <w:tr>
        <w:trPr>
          <w:trHeight w:val="39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5"/>
        </w:trPr>
        <w:tc>
          <w:tcPr>
            <w:tcW w:w="3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spacing w:after="0"/>
              <w:rPr>
                <w:sz w:val="19"/>
                <w:szCs w:val="19"/>
                <w:color w:val="auto"/>
              </w:rPr>
            </w:pPr>
          </w:p>
        </w:tc>
      </w:tr>
      <w:tr>
        <w:trPr>
          <w:trHeight w:val="220"/>
        </w:trPr>
        <w:tc>
          <w:tcPr>
            <w:tcW w:w="3800" w:type="dxa"/>
            <w:vAlign w:val="bottom"/>
            <w:tcBorders>
              <w:left w:val="single" w:sz="8" w:color="auto"/>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Title of each class</w:t>
            </w:r>
          </w:p>
        </w:tc>
        <w:tc>
          <w:tcPr>
            <w:tcW w:w="500" w:type="dxa"/>
            <w:vAlign w:val="bottom"/>
            <w:tcBorders>
              <w:bottom w:val="single" w:sz="8" w:color="auto"/>
              <w:right w:val="single" w:sz="8" w:color="auto"/>
            </w:tcBorders>
          </w:tcPr>
          <w:p>
            <w:pPr>
              <w:spacing w:after="0"/>
              <w:rPr>
                <w:sz w:val="19"/>
                <w:szCs w:val="19"/>
                <w:color w:val="auto"/>
              </w:rPr>
            </w:pPr>
          </w:p>
        </w:tc>
        <w:tc>
          <w:tcPr>
            <w:tcW w:w="26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6"/>
                <w:szCs w:val="16"/>
                <w:color w:val="auto"/>
              </w:rPr>
              <w:t>Trading Symbol(s)</w:t>
            </w:r>
          </w:p>
        </w:tc>
        <w:tc>
          <w:tcPr>
            <w:tcW w:w="46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800" w:type="dxa"/>
            <w:vAlign w:val="bottom"/>
            <w:tcBorders>
              <w:left w:val="single" w:sz="8" w:color="auto"/>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5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gridSpan w:val="3"/>
          </w:tcPr>
          <w:p>
            <w:pPr>
              <w:jc w:val="center"/>
              <w:ind w:right="920"/>
              <w:spacing w:after="0"/>
              <w:rPr>
                <w:sz w:val="20"/>
                <w:szCs w:val="20"/>
                <w:color w:val="auto"/>
              </w:rPr>
            </w:pPr>
            <w:r>
              <w:rPr>
                <w:rFonts w:ascii="Times New Roman" w:cs="Times New Roman" w:eastAsia="Times New Roman" w:hAnsi="Times New Roman"/>
                <w:sz w:val="16"/>
                <w:szCs w:val="16"/>
                <w:color w:val="auto"/>
              </w:rPr>
              <w:t>PLMR</w:t>
            </w:r>
          </w:p>
        </w:tc>
        <w:tc>
          <w:tcPr>
            <w:tcW w:w="460" w:type="dxa"/>
            <w:vAlign w:val="bottom"/>
            <w:tcBorders>
              <w:bottom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91" w:lineRule="exact"/>
        <w:rPr>
          <w:sz w:val="24"/>
          <w:szCs w:val="24"/>
          <w:color w:val="auto"/>
        </w:rPr>
      </w:pPr>
    </w:p>
    <w:p>
      <w:pPr>
        <w:jc w:val="both"/>
        <w:ind w:firstLine="324"/>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sectPr>
      </w:pPr>
    </w:p>
    <w:p>
      <w:pPr>
        <w:spacing w:after="0" w:line="16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5560" w:space="720"/>
            <w:col w:w="4960"/>
          </w:cols>
          <w:pgMar w:left="320" w:top="68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5560" w:space="720"/>
            <w:col w:w="4960"/>
          </w:cols>
          <w:pgMar w:left="320" w:top="68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688" w:right="339" w:bottom="1440" w:gutter="0" w:footer="0" w:header="0"/>
          <w:type w:val="continuous"/>
        </w:sectPr>
      </w:pPr>
    </w:p>
    <w:p>
      <w:pPr>
        <w:spacing w:after="0" w:line="298" w:lineRule="exact"/>
        <w:rPr>
          <w:sz w:val="24"/>
          <w:szCs w:val="24"/>
          <w:color w:val="auto"/>
        </w:rPr>
      </w:pPr>
    </w:p>
    <w:p>
      <w:pPr>
        <w:ind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340"/>
        <w:spacing w:after="0" w:line="184" w:lineRule="exact"/>
        <w:tabs>
          <w:tab w:leader="none" w:pos="76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5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Number of shares of the registrant’s common shares outstanding at October 31, 2024: 26,465,867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PALOMAR HOLDINGS, INC.</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40" w:type="dxa"/>
            <w:vAlign w:val="bottom"/>
            <w:gridSpan w:val="9"/>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7480" w:type="dxa"/>
            <w:vAlign w:val="bottom"/>
            <w:gridSpan w:val="10"/>
            <w:vMerge w:val="restart"/>
          </w:tcPr>
          <w:p>
            <w:pPr>
              <w:spacing w:after="0"/>
              <w:rPr>
                <w:sz w:val="24"/>
                <w:szCs w:val="24"/>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3"/>
            <w:vMerge w:val="continue"/>
          </w:tcPr>
          <w:p>
            <w:pPr>
              <w:spacing w:after="0"/>
              <w:rPr>
                <w:sz w:val="14"/>
                <w:szCs w:val="14"/>
                <w:color w:val="auto"/>
              </w:rPr>
            </w:pPr>
          </w:p>
        </w:tc>
        <w:tc>
          <w:tcPr>
            <w:tcW w:w="7480" w:type="dxa"/>
            <w:vAlign w:val="bottom"/>
            <w:gridSpan w:val="10"/>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826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at September 30, 2024 (Unaudited) and December 31, 2023</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Income and Comprehensive Income (Loss) (Unaudited) for the Three and Nine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6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10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9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and Nine Months Ended</w:t>
            </w:r>
          </w:p>
        </w:tc>
        <w:tc>
          <w:tcPr>
            <w:tcW w:w="8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2024 and 2023</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8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September 30, 2024 and 2023</w:t>
            </w:r>
          </w:p>
        </w:tc>
        <w:tc>
          <w:tcPr>
            <w:tcW w:w="920" w:type="dxa"/>
            <w:vAlign w:val="bottom"/>
            <w:gridSpan w:val="3"/>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9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3940" w:type="dxa"/>
            <w:vAlign w:val="bottom"/>
            <w:gridSpan w:val="3"/>
          </w:tcPr>
          <w:p>
            <w:pPr>
              <w:spacing w:after="0"/>
              <w:rPr>
                <w:sz w:val="17"/>
                <w:szCs w:val="17"/>
                <w:color w:val="auto"/>
              </w:rPr>
            </w:pPr>
          </w:p>
        </w:tc>
        <w:tc>
          <w:tcPr>
            <w:tcW w:w="920" w:type="dxa"/>
            <w:vAlign w:val="bottom"/>
            <w:gridSpan w:val="3"/>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2"/>
          </w:tcPr>
          <w:p>
            <w:pPr>
              <w:spacing w:after="0"/>
              <w:rPr>
                <w:sz w:val="17"/>
                <w:szCs w:val="17"/>
                <w:color w:val="auto"/>
              </w:rPr>
            </w:pPr>
          </w:p>
        </w:tc>
        <w:tc>
          <w:tcPr>
            <w:tcW w:w="332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98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47</w:t>
            </w:r>
          </w:p>
        </w:tc>
        <w:tc>
          <w:tcPr>
            <w:tcW w:w="0" w:type="dxa"/>
            <w:vAlign w:val="bottom"/>
          </w:tcPr>
          <w:p>
            <w:pPr>
              <w:spacing w:after="0"/>
              <w:rPr>
                <w:sz w:val="1"/>
                <w:szCs w:val="1"/>
                <w:color w:val="auto"/>
              </w:rPr>
            </w:pPr>
          </w:p>
        </w:tc>
      </w:tr>
      <w:tr>
        <w:trPr>
          <w:trHeight w:val="412"/>
        </w:trPr>
        <w:tc>
          <w:tcPr>
            <w:tcW w:w="2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78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17"/>
                <w:szCs w:val="17"/>
                <w:color w:val="auto"/>
              </w:rPr>
            </w:pPr>
          </w:p>
        </w:tc>
        <w:tc>
          <w:tcPr>
            <w:tcW w:w="844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48</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42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440" w:type="dxa"/>
            <w:vAlign w:val="bottom"/>
            <w:gridSpan w:val="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800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71</w:t>
            </w: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3"/>
          </w:tcPr>
          <w:p>
            <w:pPr>
              <w:spacing w:after="0"/>
              <w:rPr>
                <w:sz w:val="17"/>
                <w:szCs w:val="17"/>
                <w:color w:val="auto"/>
              </w:rPr>
            </w:pPr>
          </w:p>
        </w:tc>
        <w:tc>
          <w:tcPr>
            <w:tcW w:w="846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72</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000" w:type="dxa"/>
            <w:vAlign w:val="bottom"/>
            <w:gridSpan w:val="19"/>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73</w:t>
            </w:r>
          </w:p>
        </w:tc>
        <w:tc>
          <w:tcPr>
            <w:tcW w:w="0" w:type="dxa"/>
            <w:vAlign w:val="bottom"/>
          </w:tcPr>
          <w:p>
            <w:pPr>
              <w:spacing w:after="0"/>
              <w:rPr>
                <w:sz w:val="1"/>
                <w:szCs w:val="1"/>
                <w:color w:val="auto"/>
              </w:rPr>
            </w:pPr>
          </w:p>
        </w:tc>
      </w:tr>
      <w:tr>
        <w:trPr>
          <w:trHeight w:val="696"/>
        </w:trPr>
        <w:tc>
          <w:tcPr>
            <w:tcW w:w="800" w:type="dxa"/>
            <w:vAlign w:val="bottom"/>
          </w:tcPr>
          <w:p>
            <w:pPr>
              <w:spacing w:after="0"/>
              <w:rPr>
                <w:sz w:val="24"/>
                <w:szCs w:val="24"/>
                <w:color w:val="auto"/>
              </w:rPr>
            </w:pPr>
          </w:p>
        </w:tc>
        <w:tc>
          <w:tcPr>
            <w:tcW w:w="4900" w:type="dxa"/>
            <w:vAlign w:val="bottom"/>
            <w:gridSpan w:val="16"/>
          </w:tcPr>
          <w:p>
            <w:pPr>
              <w:jc w:val="center"/>
              <w:ind w:left="465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7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$896,775 in 2024; $675,130 in</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67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882,980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$32,987 in 2024; $43,003 in 2023)</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43,160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2,617</w:t>
            </w:r>
          </w:p>
        </w:tc>
      </w:tr>
      <w:tr>
        <w:trPr>
          <w:trHeight w:val="216"/>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930,882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689,576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51,546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Premiums receivable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326,674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 net of ceding commissions and fronting fees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60,990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recoverable on paid losses and loss adjustment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32,172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Reinsurance recoverable on unpaid losses and loss adjustment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244,622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Ceded unearned premiums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298,509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265,808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104,831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72,941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12,315</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2,276,011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1,708,022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75,424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42,376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342,275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739,623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597,103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Ceded premium payable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235,157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181,742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held under reinsurance treaty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13,419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7,255</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52,600</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1,572,698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1,236,770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0 shares issued and outstanding as of</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26,452,242 and 24,772,987 shares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486,198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350,597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227,251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144,643</w:t>
            </w:r>
          </w:p>
        </w:tc>
      </w:tr>
      <w:tr>
        <w:trPr>
          <w:trHeight w:val="20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703,313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471,252</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2,276,011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1,708,022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5960" w:type="dxa"/>
            <w:vAlign w:val="bottom"/>
            <w:gridSpan w:val="3"/>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864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and Comprehensive Income (Loss) (Unaudited)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300" w:type="dxa"/>
            <w:vAlign w:val="bottom"/>
            <w:gridSpan w:val="5"/>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414,977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313,998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1,168,239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838,406</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(255,267)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(692,620)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(542,789)</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159,710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110,662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475,619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295,617</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(43,453)</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135,646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365,796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252,164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16,690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1,781</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148,503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90,935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270,532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54,696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41,469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78,740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84,165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63,962</w:t>
            </w: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2,952</w:t>
            </w:r>
          </w:p>
        </w:tc>
      </w:tr>
      <w:tr>
        <w:trPr>
          <w:trHeight w:val="20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291,872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200,350</w:t>
            </w: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38,503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70,182</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8,006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16,877</w:t>
            </w:r>
          </w:p>
        </w:tc>
      </w:tr>
      <w:tr>
        <w:trPr>
          <w:trHeight w:val="249"/>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30,497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82,608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53,305</w:t>
            </w:r>
          </w:p>
        </w:tc>
      </w:tr>
      <w:tr>
        <w:trPr>
          <w:trHeight w:val="197"/>
        </w:trPr>
        <w:tc>
          <w:tcPr>
            <w:tcW w:w="59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21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on securities available for sale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13,852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10"/>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comprehensive income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48,413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9,938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96,460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46,599</w:t>
            </w: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25,766,697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24,740,455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25,194,114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24,847,164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26,479,566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25,244,828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25,877,257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25,340,602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3900" w:type="dxa"/>
            <w:vAlign w:val="bottom"/>
            <w:gridSpan w:val="7"/>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7620" w:type="dxa"/>
            <w:vAlign w:val="bottom"/>
            <w:gridSpan w:val="1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(Unaudited)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90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24,772,987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350,597</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144,643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471,252</w:t>
            </w:r>
          </w:p>
        </w:tc>
      </w:tr>
      <w:tr>
        <w:trPr>
          <w:trHeight w:val="209"/>
        </w:trPr>
        <w:tc>
          <w:tcPr>
            <w:tcW w:w="32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3,820</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138,267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Policyholder contribution to surplus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26,382</w:t>
            </w: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24,921,060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357,135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171,025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501,658</w:t>
            </w:r>
          </w:p>
        </w:tc>
      </w:tr>
      <w:tr>
        <w:trPr>
          <w:trHeight w:val="209"/>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3,968</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63,578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contribution to surplus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25,729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25,729</w:t>
            </w:r>
          </w:p>
        </w:tc>
      </w:tr>
      <w:tr>
        <w:trPr>
          <w:trHeight w:val="25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24,984,638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363,904</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196,754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532,606</w:t>
            </w:r>
          </w:p>
        </w:tc>
      </w:tr>
      <w:tr>
        <w:trPr>
          <w:trHeight w:val="196"/>
        </w:trPr>
        <w:tc>
          <w:tcPr>
            <w:tcW w:w="3280" w:type="dxa"/>
            <w:vAlign w:val="bottom"/>
            <w:tcBorders>
              <w:top w:val="single" w:sz="8" w:color="CCEEFF"/>
            </w:tcBorders>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17,916</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17,916</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stock</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offering, net of offering costs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115,724</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7,294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80,310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contribution to surplus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30,497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30,497</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26,452,242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486,198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227,251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703,313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(Unaudited)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3280" w:type="dxa"/>
            <w:vAlign w:val="bottom"/>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13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25,027,467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333,558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87,708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384,754</w:t>
            </w:r>
          </w:p>
        </w:tc>
      </w:tr>
      <w:tr>
        <w:trPr>
          <w:trHeight w:val="209"/>
        </w:trPr>
        <w:tc>
          <w:tcPr>
            <w:tcW w:w="32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5,474</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3,450</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41,685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w:t>
            </w: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17,313</w:t>
            </w:r>
          </w:p>
        </w:tc>
      </w:tr>
      <w:tr>
        <w:trPr>
          <w:trHeight w:val="20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24,942,196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337,492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98,195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404,649</w:t>
            </w: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2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6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(3,685)</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3,697</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17,562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17,562</w:t>
            </w: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24,794,269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341,413</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107,018</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413,708</w:t>
            </w:r>
          </w:p>
        </w:tc>
      </w:tr>
      <w:tr>
        <w:trPr>
          <w:trHeight w:val="197"/>
        </w:trPr>
        <w:tc>
          <w:tcPr>
            <w:tcW w:w="3280" w:type="dxa"/>
            <w:vAlign w:val="bottom"/>
            <w:tcBorders>
              <w:top w:val="single" w:sz="8" w:color="CCEEFF"/>
            </w:tcBorders>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comprehensive loss, net of tax</w:t>
            </w:r>
          </w:p>
        </w:tc>
        <w:tc>
          <w:tcPr>
            <w:tcW w:w="126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(8,495)</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(8,495)</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3,589</w:t>
            </w: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purchase plan</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44,999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w:t>
            </w: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18,432</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24,730,885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345,673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118,879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421,334</w:t>
            </w:r>
          </w:p>
        </w:tc>
      </w:tr>
      <w:tr>
        <w:trPr>
          <w:trHeight w:val="20"/>
        </w:trPr>
        <w:tc>
          <w:tcPr>
            <w:tcW w:w="3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7040" w:type="dxa"/>
            <w:vAlign w:val="bottom"/>
            <w:gridSpan w:val="2"/>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8"/>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188,520</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93,836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(190,560)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equity method investment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227,748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104,505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limited partnerships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r>
      <w:tr>
        <w:trPr>
          <w:trHeight w:val="20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(104,156)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(payments on) proceeds from line of credit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offering, net of offering costs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Policy holder contribution to surplus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(22,134)</w:t>
            </w: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71,096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1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34,732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51,852</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68,164</w:t>
            </w: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86,584</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53,288</w:t>
            </w:r>
          </w:p>
        </w:tc>
      </w:tr>
      <w:tr>
        <w:trPr>
          <w:trHeight w:val="196"/>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29,299</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21,093</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2,428</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86,479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51,852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left="20" w:right="7180" w:firstLine="8"/>
        <w:spacing w:after="0" w:line="503" w:lineRule="auto"/>
        <w:tabs>
          <w:tab w:leader="none" w:pos="2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left="20" w:right="100" w:firstLine="648"/>
        <w:spacing w:after="0" w:line="256"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DBA Palomar General Insurance Agency (“PGIA”), and a Delaware incorporated management company, Palomar Underwriters Exchange Organization, Inc. ("PUEO"), that provides services to Laulima Exchange (“Laulima”), a Hawaii domiciled reciprocal exchange, as its attorney-in-fact.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20" w:right="520" w:firstLine="648"/>
        <w:spacing w:after="0" w:line="220" w:lineRule="exact"/>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in accordance with U.S. generally accepted accounting principles (“GAAP”) for interim financial information and include the accounts of the Company and its wholly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owned subsidiaries. The condensed consolidated financial statements also include the accounts of Laulima, as Laulima is a variable interest entity ("VIE") for which the Company is the primary beneficiary. Within footnote 7, certain prior year amounts have been reclassified to conform to the current year presentation.</w:t>
      </w:r>
    </w:p>
    <w:p>
      <w:pPr>
        <w:spacing w:after="0" w:line="200" w:lineRule="exact"/>
        <w:rPr>
          <w:sz w:val="20"/>
          <w:szCs w:val="20"/>
          <w:color w:val="auto"/>
        </w:rPr>
      </w:pPr>
    </w:p>
    <w:p>
      <w:pPr>
        <w:ind w:left="20" w:firstLine="648"/>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do not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2023, filed with the SEC on February 23, 2024 (the “2023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20" w:right="2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nine months ended September 30, 2024.</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improve reportable segment disclosure requirements, primarily through enhanced disclosures about significant segment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 allowing financial statement users to better understand the components of a segment's profit or loss to assess potential future cash flows for each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reportable segment and the entity as a whole. The amendments expand a public entity's segment disclosures by requiring disclosure of significant segment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 that are regularly provided to the chief operating decision maker ("CODM"), clarifying when an entity may report one or more additional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measures to assess segment performance, requiring enhanced interim disclosures, providing new disclosure requirements for entities with a single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reportable segment, and requiring other new disclosures. ASU 2023-07 is effective for fiscal years beginning after December 15, 2023, and interim periods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within fiscal years beginning after December 15, 2024. Early adoption is permitted. The Company is currently evaluating the impact the adoption of this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standard will have on its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left="20"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2023-09 is effective for public business entities for fiscal years, and interim periods within those fiscal years, beginning after December 15, 2024. The Company is currently evaluating the impact the adoption of this standard will have on its consolidated financial statements.</w:t>
      </w:r>
    </w:p>
    <w:p>
      <w:pPr>
        <w:sectPr>
          <w:pgSz w:w="11900" w:h="16838" w:orient="portrait"/>
          <w:cols w:equalWidth="0" w:num="1">
            <w:col w:w="11240"/>
          </w:cols>
          <w:pgMar w:left="300" w:top="121" w:right="359" w:bottom="1132"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121" w:right="359" w:bottom="1132"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88"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are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32,195</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10,042</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Special revenue excluding mortgage/asset-backed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28,060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467,290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462,082</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355,276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350,601</w:t>
            </w:r>
          </w:p>
        </w:tc>
      </w:tr>
      <w:tr>
        <w:trPr>
          <w:trHeight w:val="24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896,775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10,690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882,980</w:t>
            </w:r>
          </w:p>
        </w:tc>
      </w:tr>
      <w:tr>
        <w:trPr>
          <w:trHeight w:val="390"/>
        </w:trPr>
        <w:tc>
          <w:tcPr>
            <w:tcW w:w="4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40,836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39,420</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Special revenue excluding mortgage/asset-backed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29,511</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316,590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300,239</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274,550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264,727</w:t>
            </w: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675,130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3,876</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227"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held 399 fixed maturity securities in an unrealized loss position with a total estimated fair value of $387.5 million and total gross unrealized losses of $23.6 million. As of December 31, 2023, the Company held 483 fixed maturity securities in an unrealized loss position with a total estimated fair value of $451.0 million and total gross unrealized losses of $34.3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September 30, 2024 and December 31,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16,037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15,122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States, Territories, and Political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Special revenue excluding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19,821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24,195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98,170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122,365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(8,279)</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62,567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324,902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387,469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4"/>
                <w:szCs w:val="24"/>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38,063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38,801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States, Territories, and Political</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Special revenue excluding</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w:t>
            </w: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29,334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117,016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146,350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w:t>
            </w: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58,944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392,045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450,989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(34,303)</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Footnote 1 of the Notes to the Consolidated Financial Statements in the 2023 Annual Report on Form 10-K.</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recorded an immaterial allowance for credit losses for two investment securities. Based on the Company’s review as of September 30, 2024, for the remainder of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Contractual maturities of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sale fixed maturity securities</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and fair value of fixed maturity securities at September 30, 2024, by contractual maturity,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80,152</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78,731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176,607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101,538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100,767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355,276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350,601</w:t>
            </w:r>
          </w:p>
        </w:tc>
      </w:tr>
      <w:tr>
        <w:trPr>
          <w:trHeight w:val="210"/>
        </w:trPr>
        <w:tc>
          <w:tcPr>
            <w:tcW w:w="80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896,775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882,980</w:t>
            </w:r>
          </w:p>
        </w:tc>
      </w:tr>
      <w:tr>
        <w:trPr>
          <w:trHeight w:val="20"/>
        </w:trPr>
        <w:tc>
          <w:tcPr>
            <w:tcW w:w="8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9,365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24,506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16,690</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gains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Losses on sales of equity securities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realized losses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investment (losses) gains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 on equity securities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on equity method investment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fixed maturity securities were $3.2 million and insignificant for the three months ended September 30, 2024 and 2023, respectively.</w:t>
      </w:r>
    </w:p>
    <w:p>
      <w:pPr>
        <w:spacing w:after="0" w:line="162"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fixed maturity securities were $5.4 and $9.8 million for the nine months ended September 30, 2024 and 2023, respectively.</w:t>
      </w:r>
    </w:p>
    <w:p>
      <w:pPr>
        <w:spacing w:after="0" w:line="162" w:lineRule="exact"/>
        <w:rPr>
          <w:sz w:val="20"/>
          <w:szCs w:val="20"/>
          <w:color w:val="auto"/>
        </w:rPr>
      </w:pPr>
    </w:p>
    <w:p>
      <w:pPr>
        <w:ind w:firstLine="648"/>
        <w:spacing w:after="0" w:line="222" w:lineRule="exact"/>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on the balance sheet. As of September 30, 2024 and December 31, 2023, the carrying value of securities on deposit with state regulatory authorities was $7.8 million and $8.6 million, respectively.</w:t>
      </w:r>
    </w:p>
    <w:p>
      <w:pPr>
        <w:spacing w:after="0" w:line="19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The Company has investments in limited partnerships, recorded in the Other Investments line of the Unaudited Condensed Consolidated Balance Sheets. These investments are measured at estimated fair value utilizing a net asset value per share (or its equivalent) as a practical expedient. As of September 30, 2024, the Company had unfunded commitments to invest an additional $50.1 million in these limited partnerships.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12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hierarchy of inputs is summarized in the three broad levels listed below:</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225"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62"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6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7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September 30, 2024 and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32,195</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32,195</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10,042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10,042</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28,060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28,060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462,082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462,082</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350,601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350,601</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40,196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40,196</w:t>
            </w:r>
          </w:p>
        </w:tc>
      </w:tr>
      <w:tr>
        <w:trPr>
          <w:trHeight w:val="216"/>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86,584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86,584</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126,780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882,980</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1,009,760</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39,420</w:t>
            </w:r>
          </w:p>
        </w:tc>
        <w:tc>
          <w:tcPr>
            <w:tcW w:w="9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39,420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29,511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29,511</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300,239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300,239</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264,727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264,727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43,160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43,160</w:t>
            </w:r>
          </w:p>
        </w:tc>
      </w:tr>
      <w:tr>
        <w:trPr>
          <w:trHeight w:val="216"/>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51,852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51,852</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643,799</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738,811</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maturity. The carrying amount of any borrowings under the Federal Home Loan Bank (“FHLB”) line of credit and U.S. Bank credit agreement (the “Credit Agreement”) approximate fair value as the credit agreements have variable rates which frequently reprice at market rates.</w:t>
      </w:r>
    </w:p>
    <w:p>
      <w:pPr>
        <w:spacing w:after="0" w:line="200"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Transfers between Level 3 and Level 2 securities result from changes in the availability of observable market inputs and are recorded at the beginning of the reporting period. As of September 30, 2024 and December 31, 2023, the Company had no fixed income securities classified as Level 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4. Reserve for Losses and Loss Adjustment Expenses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losses and LAE net of reinsurance recoverables at beginning of</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118,761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81,300</w:t>
            </w: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97,653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77,520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Incurred losses and LAE, net of reinsurance, related to:</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40,536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50,954</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incurred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40,315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97,583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54,696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Deduct: Loss and LAE payments, net of reinsurance, related to:</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14,215</w:t>
            </w: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5,649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30,053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25,823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payments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21,802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57,962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40,038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 end of period</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137,274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92,178</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Reinsurance recoverables on unpaid losses and LAE at end of period</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360,164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232,170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360,164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232,170</w:t>
            </w:r>
          </w:p>
        </w:tc>
        <w:tc>
          <w:tcPr>
            <w:tcW w:w="0" w:type="dxa"/>
            <w:vAlign w:val="bottom"/>
          </w:tcPr>
          <w:p>
            <w:pPr>
              <w:spacing w:after="0"/>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Reserve for losses and LAE gross of reinsurance recoverables on unpaid losses</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497,438</w:t>
            </w:r>
          </w:p>
        </w:tc>
        <w:tc>
          <w:tcPr>
            <w:tcW w:w="120" w:type="dxa"/>
            <w:vAlign w:val="bottom"/>
          </w:tcPr>
          <w:p>
            <w:pPr>
              <w:spacing w:after="0"/>
              <w:rPr>
                <w:sz w:val="16"/>
                <w:szCs w:val="16"/>
                <w:color w:val="auto"/>
              </w:rPr>
            </w:pP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324,348</w:t>
            </w: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497,438</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324,348</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and LAE at end of period</w:t>
            </w:r>
          </w:p>
        </w:tc>
        <w:tc>
          <w:tcPr>
            <w:tcW w:w="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80" w:firstLine="648"/>
        <w:spacing w:after="0" w:line="266"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76" w:lineRule="exact"/>
        <w:rPr>
          <w:sz w:val="20"/>
          <w:szCs w:val="20"/>
          <w:color w:val="auto"/>
        </w:rPr>
      </w:pPr>
    </w:p>
    <w:p>
      <w:pPr>
        <w:ind w:left="20"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$0.2 million and adverse prior year development $1.0 million during the three months ended September 30, 2024 and 2023, respectively.</w:t>
      </w:r>
    </w:p>
    <w:p>
      <w:pPr>
        <w:spacing w:after="0" w:line="162" w:lineRule="exact"/>
        <w:rPr>
          <w:sz w:val="20"/>
          <w:szCs w:val="20"/>
          <w:color w:val="auto"/>
        </w:rPr>
      </w:pPr>
    </w:p>
    <w:p>
      <w:pPr>
        <w:ind w:left="20" w:right="560" w:firstLine="648"/>
        <w:spacing w:after="0" w:line="282"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$2.6 million and adverse prior year development of $3.7 million during the nine months ended September 30, 2024 and 2023, respectively.</w:t>
      </w:r>
    </w:p>
    <w:p>
      <w:pPr>
        <w:spacing w:after="0" w:line="162" w:lineRule="exact"/>
        <w:rPr>
          <w:sz w:val="20"/>
          <w:szCs w:val="20"/>
          <w:color w:val="auto"/>
        </w:rPr>
      </w:pPr>
    </w:p>
    <w:p>
      <w:pPr>
        <w:ind w:left="20" w:right="100" w:firstLine="648"/>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three months ended September 30, 2024 was primarily due to lower than anticipated severity of attritional losses. Adverse prior year development during the three months ended September 30, 2023 was primarily due to higher than anticipated severity of attritional losses, offset by lower than anticipated severity of catastrophe losses.</w:t>
      </w:r>
    </w:p>
    <w:p>
      <w:pPr>
        <w:spacing w:after="0" w:line="176" w:lineRule="exact"/>
        <w:rPr>
          <w:sz w:val="20"/>
          <w:szCs w:val="20"/>
          <w:color w:val="auto"/>
        </w:rPr>
      </w:pPr>
    </w:p>
    <w:p>
      <w:pPr>
        <w:ind w:left="20" w:right="140" w:firstLine="648"/>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nine months ended September 30, 2024 was primarily due to lower than anticipated severity of attritional losses. Adverse prior year development during the nine months ended September 30, 2023 was primarily due to higher than anticipated severity of attritional losses, offset by lower than anticipated severity of catastrophe losses.</w:t>
      </w: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5,000,000 preferred shares authorized with a par value of $0.0001 and no preferred shares issued and outstanding. As of September 30, 2024 and December 31, 2023, the Company had 500,000,000 common shares authorized and 26,452,242 and 24,772,987 common shares issued and outstanding, respectively, with a par value of $0.0001. Additional paid in capital was $486.2 million as of September 30, 2024 and $350.6 million as of December 31, 2023.</w:t>
      </w:r>
    </w:p>
    <w:p>
      <w:pPr>
        <w:spacing w:after="0" w:line="180" w:lineRule="exact"/>
        <w:rPr>
          <w:sz w:val="20"/>
          <w:szCs w:val="20"/>
          <w:color w:val="auto"/>
        </w:rPr>
      </w:pPr>
    </w:p>
    <w:p>
      <w:pPr>
        <w:ind w:left="20" w:right="80" w:firstLine="648"/>
        <w:spacing w:after="0" w:line="289" w:lineRule="auto"/>
        <w:rPr>
          <w:sz w:val="20"/>
          <w:szCs w:val="20"/>
          <w:color w:val="auto"/>
        </w:rPr>
      </w:pPr>
      <w:r>
        <w:rPr>
          <w:rFonts w:ascii="Times New Roman" w:cs="Times New Roman" w:eastAsia="Times New Roman" w:hAnsi="Times New Roman"/>
          <w:sz w:val="17"/>
          <w:szCs w:val="17"/>
          <w:color w:val="auto"/>
        </w:rPr>
        <w:t>In August 2024, the Company completed a registered sale ( August 2024 Secondary Offering) of 1,380,000 shares of common stock at a public offering price of $88.00 per share, inclusive of 180,000 shares sold pursuant to the underwriter’s option to purchase additional shares. Our net proceeds from the August 2024 Secondary Offering were approximately $115.7 million, after deducting underwriting discounts and commissions and offering costs.</w:t>
      </w:r>
    </w:p>
    <w:p>
      <w:pPr>
        <w:sectPr>
          <w:pgSz w:w="11900" w:h="16838" w:orient="portrait"/>
          <w:cols w:equalWidth="0" w:num="1">
            <w:col w:w="11260"/>
          </w:cols>
          <w:pgMar w:left="300" w:top="121"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Common stock reserved for future issuance consists of the following as of September 30, 2024:</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-130810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641,856</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340,899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461,520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3,674,358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1,353,670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6,472,303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14605</wp:posOffset>
            </wp:positionV>
            <wp:extent cx="986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31750</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9720" w:space="720"/>
            <w:col w:w="820"/>
          </w:cols>
          <w:pgMar w:left="300" w:top="121" w:right="33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summarizes the Company’s stock-based compensation expense for each period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254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10,737</w:t>
            </w: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nine months ended September 30, 2024:</w:t>
      </w:r>
    </w:p>
    <w:p>
      <w:pPr>
        <w:spacing w:after="0" w:line="2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Weighted-</w:t>
      </w:r>
    </w:p>
    <w:p>
      <w:pPr>
        <w:spacing w:after="0" w:line="3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average</w:t>
      </w:r>
    </w:p>
    <w:p>
      <w:pPr>
        <w:spacing w:after="0" w:line="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remaining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cancelled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Vested and Exercisable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7"/>
                <w:szCs w:val="17"/>
                <w:color w:val="auto"/>
              </w:rPr>
            </w:pPr>
          </w:p>
        </w:tc>
        <w:tc>
          <w:tcPr>
            <w:tcW w:w="1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7"/>
                <w:szCs w:val="17"/>
                <w:color w:val="auto"/>
              </w:rPr>
            </w:pPr>
          </w:p>
        </w:tc>
        <w:tc>
          <w:tcPr>
            <w:tcW w:w="12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 (in</w:t>
            </w: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1"/>
        </w:trPr>
        <w:tc>
          <w:tcPr>
            <w:tcW w:w="12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807,685</w:t>
            </w:r>
          </w:p>
        </w:tc>
        <w:tc>
          <w:tcPr>
            <w:tcW w:w="12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(155,078)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78.61</w:t>
            </w: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641,856</w:t>
            </w: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31,660</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627,982</w:t>
            </w:r>
          </w:p>
        </w:tc>
        <w:tc>
          <w:tcPr>
            <w:tcW w:w="1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vMerge w:val="continue"/>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-868045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-593725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-311150</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260" w:space="720"/>
            <w:col w:w="5260"/>
          </w:cols>
          <w:pgMar w:left="320" w:top="121" w:right="339" w:bottom="1440" w:gutter="0" w:footer="0" w:header="0"/>
          <w:type w:val="continuous"/>
        </w:sect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$0.3 million of total unrecognized stock-based compensation expense related to stock options expected to be recognized over a weighted-average period of 0.4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All vesting is subject to continued service.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RSU transactions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outstanding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Pr>
          <w:p>
            <w:pPr>
              <w:spacing w:after="0"/>
              <w:rPr>
                <w:sz w:val="20"/>
                <w:szCs w:val="20"/>
                <w:color w:val="auto"/>
              </w:rPr>
            </w:pPr>
          </w:p>
        </w:tc>
      </w:tr>
      <w:tr>
        <w:trPr>
          <w:trHeight w:val="191"/>
        </w:trPr>
        <w:tc>
          <w:tcPr>
            <w:tcW w:w="15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332,077</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61.07</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136,556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68.13</w:t>
            </w: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58.94</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(13,302)</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53.85</w:t>
            </w:r>
          </w:p>
        </w:tc>
      </w:tr>
      <w:tr>
        <w:trPr>
          <w:trHeight w:val="209"/>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340,899</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64.90</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40" w:space="260"/>
            <w:col w:w="3240"/>
          </w:cols>
          <w:pgMar w:left="320" w:top="121" w:right="339" w:bottom="1440" w:gutter="0" w:footer="0" w:header="0"/>
          <w:type w:val="continuous"/>
        </w:sect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$16.8 million of total unrecognized stock-based compensation expense related to RSUs expected to be recognized over a weighted-average period of 1.9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September 30, 2024, none of the stock price milestones have been achieved.</w:t>
      </w:r>
    </w:p>
    <w:p>
      <w:pPr>
        <w:spacing w:after="0" w:line="18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Prior to 2023, the PSU’s performance period was the fiscal year of the grant. Beginning in 2023,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sectPr>
          <w:pgSz w:w="11900" w:h="16838" w:orient="portrait"/>
          <w:cols w:equalWidth="0" w:num="1">
            <w:col w:w="11240"/>
          </w:cols>
          <w:pgMar w:left="320" w:top="121" w:right="339" w:bottom="1440" w:gutter="0" w:footer="0" w:header="0"/>
          <w:type w:val="continuous"/>
        </w:sectPr>
      </w:pP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PSU transactions for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outstanding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1580" w:type="dxa"/>
            <w:vAlign w:val="bottom"/>
          </w:tcPr>
          <w:p>
            <w:pPr>
              <w:spacing w:after="0"/>
              <w:rPr>
                <w:sz w:val="18"/>
                <w:szCs w:val="18"/>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20" w:type="dxa"/>
            <w:vAlign w:val="bottom"/>
          </w:tcPr>
          <w:p>
            <w:pPr>
              <w:spacing w:after="0"/>
              <w:rPr>
                <w:sz w:val="20"/>
                <w:szCs w:val="20"/>
                <w:color w:val="auto"/>
              </w:rPr>
            </w:pPr>
          </w:p>
        </w:tc>
      </w:tr>
      <w:tr>
        <w:trPr>
          <w:trHeight w:val="191"/>
        </w:trPr>
        <w:tc>
          <w:tcPr>
            <w:tcW w:w="15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423,621</w:t>
            </w:r>
          </w:p>
        </w:tc>
        <w:tc>
          <w:tcPr>
            <w:tcW w:w="100" w:type="dxa"/>
            <w:vAlign w:val="bottom"/>
          </w:tcPr>
          <w:p>
            <w:pPr>
              <w:spacing w:after="0"/>
              <w:rPr>
                <w:sz w:val="16"/>
                <w:szCs w:val="16"/>
                <w:color w:val="auto"/>
              </w:rPr>
            </w:pPr>
          </w:p>
        </w:tc>
        <w:tc>
          <w:tcPr>
            <w:tcW w:w="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38.90</w:t>
            </w:r>
          </w:p>
        </w:tc>
      </w:tr>
      <w:tr>
        <w:trPr>
          <w:trHeight w:val="216"/>
        </w:trPr>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57,012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65.78</w:t>
            </w:r>
          </w:p>
        </w:tc>
      </w:tr>
      <w:tr>
        <w:trPr>
          <w:trHeight w:val="216"/>
        </w:trPr>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96.74</w:t>
            </w:r>
          </w:p>
        </w:tc>
      </w:tr>
      <w:tr>
        <w:trPr>
          <w:trHeight w:val="234"/>
        </w:trPr>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51.44</w:t>
            </w:r>
          </w:p>
        </w:tc>
      </w:tr>
      <w:tr>
        <w:trPr>
          <w:trHeight w:val="210"/>
        </w:trPr>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461,520</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40.46</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20" w:space="280"/>
            <w:col w:w="3240"/>
          </w:cols>
          <w:pgMar w:left="320" w:top="121" w:right="339" w:bottom="1440" w:gutter="0" w:footer="0" w:header="0"/>
          <w:type w:val="continuous"/>
        </w:sect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September 30, 2024, the Company had approximately $9.1 million of total unrecognized stock-based compensation expense related to PSUs expected to be recognized over a weighted-average period of 1.9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17,100 shares pursuant to the ESPP during the nine months ended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January 2022, Company's the Board of Directors approved a share repurchase program which replaced the existing program and authorized the repurchase of up to $100 million of outstanding shares of common stock. The program ended on March 31, 2024 and no shares have been repurchased in 2024. The Company accounts for share repurchases by charging the excess of repurchase price over the common stock’s par value entirely to retained earnings. All repurchased shares are retired and become authorized but unissued shares.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58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(23,991)</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2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 net of tax</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13,639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expense (benefit)</w:t>
            </w:r>
          </w:p>
        </w:tc>
        <w:tc>
          <w:tcPr>
            <w:tcW w:w="26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2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13,852</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358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(10,139)</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6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Underwriting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 single reportable segment and offers specialty insurance products. Gross written premiums (“GWP”) by product are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jc w:val="center"/>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right"/>
              <w:ind w:right="80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210"/>
        </w:trPr>
        <w:tc>
          <w:tcPr>
            <w:tcW w:w="21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Product </w:t>
            </w:r>
            <w:r>
              <w:rPr>
                <w:rFonts w:ascii="Times New Roman" w:cs="Times New Roman" w:eastAsia="Times New Roman" w:hAnsi="Times New Roman"/>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Earthquake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Fronting</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275,671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266,433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198"/>
        </w:trPr>
        <w:tc>
          <w:tcPr>
            <w:tcW w:w="21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Inland Marine and Other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Property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249,147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186,983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Casualty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56,307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29,532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166,762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78"/>
        </w:trPr>
        <w:tc>
          <w:tcPr>
            <w:tcW w:w="212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Gross Written</w:t>
            </w:r>
          </w:p>
        </w:tc>
        <w:tc>
          <w:tcPr>
            <w:tcW w:w="16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1,168,239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838,406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Premiums</w:t>
            </w:r>
          </w:p>
        </w:tc>
        <w:tc>
          <w:tcPr>
            <w:tcW w:w="1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56"/>
        <w:spacing w:after="0" w:line="266"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jc w:val="center"/>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right"/>
              <w:ind w:right="80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170,265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163,806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510,879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Hawaii</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North Dakota</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Wisconsin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36,309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Oregon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120,624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70,380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348,458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171,691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78"/>
        </w:trPr>
        <w:tc>
          <w:tcPr>
            <w:tcW w:w="194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Gross Written</w:t>
            </w:r>
          </w:p>
        </w:tc>
        <w:tc>
          <w:tcPr>
            <w:tcW w:w="3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1,168,239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838,406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4"/>
        </w:trPr>
        <w:tc>
          <w:tcPr>
            <w:tcW w:w="19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Premiums</w:t>
            </w:r>
          </w:p>
        </w:tc>
        <w:tc>
          <w:tcPr>
            <w:tcW w:w="3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6"/>
          </w:tcPr>
          <w:p>
            <w:pPr>
              <w:jc w:val="center"/>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jc w:val="right"/>
              <w:ind w:right="80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38"/>
        </w:trPr>
        <w:tc>
          <w:tcPr>
            <w:tcW w:w="1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209"/>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652,988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472,909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1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42,342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8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Gross Written</w:t>
            </w:r>
          </w:p>
        </w:tc>
        <w:tc>
          <w:tcPr>
            <w:tcW w:w="42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313,998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1,168,239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838,406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4"/>
        </w:trPr>
        <w:tc>
          <w:tcPr>
            <w:tcW w:w="18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Premiums</w:t>
            </w:r>
          </w:p>
        </w:tc>
        <w:tc>
          <w:tcPr>
            <w:tcW w:w="4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During the three months ended September 30, 2024, the Company’s income tax rate of 20.8% was lower than the statutory rate of 21% due primarily to the tax impact of the permanent component of employee stock option exercises. During the three months ended September 30, 2023, the Company’s income tax rate of 24.9% was higher than the statutory rate of 21% due primarily to non-deductible executive compensation expense.</w:t>
      </w:r>
    </w:p>
    <w:p>
      <w:pPr>
        <w:spacing w:after="0" w:line="180" w:lineRule="exact"/>
        <w:rPr>
          <w:sz w:val="20"/>
          <w:szCs w:val="20"/>
          <w:color w:val="auto"/>
        </w:rPr>
      </w:pPr>
    </w:p>
    <w:p>
      <w:pPr>
        <w:jc w:val="both"/>
        <w:ind w:right="62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Company’s tax rate of 22.2% was higher than the statutory rate due primarily to non-deductible executive compensation expense. For the nine months ended September 30, 2023, the Company’s tax rate of 24.0% was higher than the statutory rate also due primarily to non-deductible executive compensation expense.</w:t>
      </w:r>
    </w:p>
    <w:p>
      <w:pPr>
        <w:sectPr>
          <w:pgSz w:w="11900" w:h="16838" w:orient="portrait"/>
          <w:cols w:equalWidth="0" w:num="1">
            <w:col w:w="11240"/>
          </w:cols>
          <w:pgMar w:left="320" w:top="121" w:right="339" w:bottom="7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The following table sets out earnings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87"/>
        </w:trPr>
        <w:tc>
          <w:tcPr>
            <w:tcW w:w="12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gridSpan w:val="3"/>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89"/>
              </w:rPr>
              <w:t>except shares and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00" w:type="dxa"/>
            <w:vAlign w:val="bottom"/>
          </w:tcPr>
          <w:p>
            <w:pPr>
              <w:spacing w:after="0"/>
              <w:rPr>
                <w:sz w:val="16"/>
                <w:szCs w:val="16"/>
                <w:color w:val="auto"/>
              </w:rPr>
            </w:pPr>
          </w:p>
        </w:tc>
        <w:tc>
          <w:tcPr>
            <w:tcW w:w="12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except shares</w:t>
            </w: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242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and per share data)</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30,497</w:t>
            </w: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18,432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82,608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53,305</w:t>
            </w:r>
          </w:p>
        </w:tc>
        <w:tc>
          <w:tcPr>
            <w:tcW w:w="0" w:type="dxa"/>
            <w:vAlign w:val="bottom"/>
          </w:tcPr>
          <w:p>
            <w:pPr>
              <w:spacing w:after="0"/>
              <w:rPr>
                <w:sz w:val="1"/>
                <w:szCs w:val="1"/>
                <w:color w:val="auto"/>
              </w:rPr>
            </w:pPr>
          </w:p>
        </w:tc>
      </w:tr>
      <w:tr>
        <w:trPr>
          <w:trHeight w:val="414"/>
        </w:trPr>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25,766,697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24,740,455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25,194,114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24,847,164</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712,869</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504,373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683,143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493,438</w:t>
            </w: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26,479,566</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25,244,828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25,877,257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25,340,602</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auto"/>
            </w:tcBorders>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3.19</w:t>
            </w: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360" w:space="620"/>
            <w:col w:w="5260"/>
          </w:cols>
          <w:pgMar w:left="320" w:top="121" w:right="339" w:bottom="744" w:gutter="0" w:footer="0" w:header="0"/>
          <w:type w:val="continuous"/>
        </w:sect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Company’s catastrophe event retention is $20 million for earthquake events and $15.5 million for hurricane events and all other perils, and the Company’s XOL reinsurance structure provides protection up to $3.06 billion for earthquake events, $735 million for Hawaii hurricane events, and $117.5 million for continental U.S. hurricane events.</w:t>
      </w:r>
    </w:p>
    <w:p>
      <w:pPr>
        <w:spacing w:after="0" w:line="17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has historically incorporated collateralized protection from the insurance linked securities market via catastrophe bonds. During the second quarter of 2022, the Company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the Company closed a $200 million 144A catastrophe bond which became effective June 1, 2023. This catastrophe bond was also completed through Torrey Pines Re Ltd and provides indemnity-based reinsurance covering earthquake events through June 1, 2026. During the second quarter of 2024, the Company closed a $420 million 144A catastrophe bond which became effective June 1, 2024. This catastrophe bond was also completed through Torrey Pines Re Ltd and provides indemnity-based reinsurance covering earthquake events through June 1, 2027.</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December 2021, the Company entered into a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ectPr>
          <w:pgSz w:w="11900" w:h="16838" w:orient="portrait"/>
          <w:cols w:equalWidth="0" w:num="1">
            <w:col w:w="11240"/>
          </w:cols>
          <w:pgMar w:left="320" w:top="121" w:right="339" w:bottom="744"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44"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risk-based capital ratio and minimum A.M. Best financial strength rating. The Credit Agreement also contains customary events of default, such as non-compliance with financial covenants. If an event of default occurs, any debt may be declared immediately due and payable. As of September 30, 2024, the Company was in compliance with all debt covenants.</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no borrowings outstanding on the Credit Agreement. Interest expense on the Credit Agreement was $0.1 million and $0.3 million for the three and nine months ended September 30, 2024, respectively. Interest expense on the Credit Agreement was $0.1 million and $0.9 million for the three and nine months ended September 30,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no borrowings outstanding through the FHLB. Interest expense on the FHLB line of credit was immaterial and $0.8 million for the three and nine months ended September 30, 2024, respectively. As of December 31, 2023, the Company had $52.6 million of borrowings outstanding through the FHLB at the overnight rate of 5.62%. Interest expense on the FHLB line of credit was $0.8 million and $2.1 million for the three and nine months ended September 30, 2023, respectively.</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spacing w:after="0" w:line="173"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i w:val="1"/>
          <w:iCs w:val="1"/>
          <w:color w:val="auto"/>
        </w:rPr>
        <w:t>The results of operations for the nine months ended September 30, 2024 are not necessarily indicative of the results that may be expected for the full year ended December 31, 2024,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23, 2024.</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innovative solutions in five product categories: Earthquake, Inland Marine and Other Property, Casualty, Fronting, and Crop. We use proprietary data analytics and a modern technology platform to offer our customers flexible products with customized and granular pricing for both the admitted and excess and surplus lines (“E&amp;S”) markets.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provide admitted insurance products through our Oregon domiciled insurance company, Palomar Specialty Insurance Company (“PSIC”), and E&amp;S insurance products through our Arizona domiciled surplus lines insurance company, Palomar Excess and Surplus Insurance Company (“PESIC”). Each of our insurance company subsidiaries carries an “A“ rating from A.M. Best Company (“A.M. Best”), a leading rating agency for the insurance industry.</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$1.1 billion for the year ended December 31, 2023, which reflects a compound annual growth rate of approximately 60%. We have also been profitable since 2016 and our net income growth since 2016 reflects a compound annual growth rate of 43%.</w:t>
      </w:r>
    </w:p>
    <w:p>
      <w:pPr>
        <w:spacing w:after="0" w:line="180"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 offerings for lines of business that harness our core competencies and where we believe we can generate attractive risk adjusted returns. In recent years, we have introduced several new products including Fronting, Excess Property, and Crop, as well as products targeting niche Casualty segments such as Real Estate Agent Errors and Omissions, Excess Liability,</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and Environmental Liability. These new products diversify our book of business and broaden our product portfolio. We believe that our market opportunity, distinctive products, and differentiated business model position us to grow our business profitably.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June 2024, the Company executed a definitive purchase agreement to acquire First Indemnity of America Insurance Company (“FIA”), a New Jersey domiciled insurance carrier that specializes in the underwriting of surety bonds for small to medium sized contractors primarily in the Northeast United States. FIA is licensed in 16 states and is rated "A-" by A.M. Best. The transaction has been approved by the respective board of directors of both companies and is expected to close in late 2024 or early 2025 subject to the satisfaction of customary closing conditions and regulatory approval by the New Jersey Department of Banking and Insurance.</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August 2024, we completed a registered sale (August 2024 Secondary Offering) of 1,380,000 shares of common stock at a public offering price of $88.00 per share, inclusive of 180,000 shares sold pursuant to the underwriter’s option to purchase additional shares. Our net proceeds from the August 2024 Secondary Offering were approximately $115.7 million, after deducting underwriting discounts and commissions and offering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17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ectPr>
          <w:pgSz w:w="11900" w:h="16838" w:orient="portrait"/>
          <w:cols w:equalWidth="0" w:num="1">
            <w:col w:w="11220"/>
          </w:cols>
          <w:pgMar w:left="320" w:top="121" w:right="359" w:bottom="987"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87"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 In addition, the volume of premiums ceded in fronting agreements each period may vary due to the timing of entering new fronting partnerships and terminations of fronting partnerships.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18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184"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catastrophe attritional losses;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incurred on borrowings from our U.S. Bank credit agreement and FHLB line of credit and the unused line fee and amortization of the commitment fee on our U.S. Bank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pacing w:after="0" w:line="121"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Underwriting revenue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total revenue, excluding net investment income and net realized and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 on investments.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total revenue calculated in accordance with GAAP to underwriting revenue.</w:t>
      </w:r>
    </w:p>
    <w:p>
      <w:pPr>
        <w:spacing w:after="0" w:line="158" w:lineRule="exact"/>
        <w:rPr>
          <w:sz w:val="20"/>
          <w:szCs w:val="20"/>
          <w:color w:val="auto"/>
        </w:rPr>
      </w:pPr>
    </w:p>
    <w:p>
      <w:pPr>
        <w:ind w:right="6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income before income taxes excluding net investment income, net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on investments, and interest expense.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income before income taxes calculated in accordance with GAAP to underwriting income.</w:t>
      </w:r>
    </w:p>
    <w:p>
      <w:pPr>
        <w:spacing w:after="0" w:line="158" w:lineRule="exact"/>
        <w:rPr>
          <w:sz w:val="20"/>
          <w:szCs w:val="20"/>
          <w:color w:val="auto"/>
        </w:rPr>
      </w:pPr>
    </w:p>
    <w:p>
      <w:pPr>
        <w:ind w:right="200" w:firstLine="648"/>
        <w:spacing w:after="0" w:line="238" w:lineRule="exact"/>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net income excluding the impact of certain items that may not be indicative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net income calculated in accordance with GAAP to adjusted net income.</w:t>
      </w:r>
    </w:p>
    <w:p>
      <w:pPr>
        <w:spacing w:after="0" w:line="17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 and ending stockholders’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w:t>
      </w:r>
    </w:p>
    <w:p>
      <w:pPr>
        <w:spacing w:after="0" w:line="119" w:lineRule="exact"/>
        <w:rPr>
          <w:sz w:val="20"/>
          <w:szCs w:val="20"/>
          <w:color w:val="auto"/>
        </w:rPr>
      </w:pPr>
    </w:p>
    <w:p>
      <w:pPr>
        <w:jc w:val="both"/>
        <w:ind w:right="56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expressed on an annualized basis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average beginning and ending stockholders’ equity during the period.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return on equity calculated using unadjusted GAAP numbers to adjusted return on equity.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 commission and other income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premiums.</w:t>
      </w:r>
    </w:p>
    <w:p>
      <w:pPr>
        <w:spacing w:after="0" w:line="158"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defined as the sum of the loss ratio and the expense ratio. A combined ratio under 100% generally indicates 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 combined ratio over 100% generally indicates an underwriting loss.</w:t>
      </w:r>
    </w:p>
    <w:p>
      <w:pPr>
        <w:spacing w:after="0" w:line="119" w:lineRule="exact"/>
        <w:rPr>
          <w:sz w:val="20"/>
          <w:szCs w:val="20"/>
          <w:color w:val="auto"/>
        </w:rPr>
      </w:pPr>
    </w:p>
    <w:p>
      <w:pPr>
        <w:ind w:right="28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sum of the loss ratio and the expense ratio calculated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100" w:firstLine="648"/>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divided by the weighted-average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for the period, reflecting the dilution which could occur if equity-based awards are converted into common share equivalents as calculated using the treasury stock method.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diluted earnings per share calculated in accordance with GAAP to diluted adjusted earnings per share.</w:t>
      </w:r>
    </w:p>
    <w:p>
      <w:pPr>
        <w:spacing w:after="0" w:line="159" w:lineRule="exact"/>
        <w:rPr>
          <w:sz w:val="20"/>
          <w:szCs w:val="20"/>
          <w:color w:val="auto"/>
        </w:rPr>
      </w:pPr>
    </w:p>
    <w:p>
      <w:pPr>
        <w:ind w:firstLine="648"/>
        <w:spacing w:after="0" w:line="259" w:lineRule="exact"/>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ratio of catastrophe losses to net earned premiums.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loss ratio calculated using unadjusted GAAP numbers to catastrophe loss ratio.</w:t>
      </w:r>
    </w:p>
    <w:p>
      <w:pPr>
        <w:spacing w:after="0" w:line="131" w:lineRule="exact"/>
        <w:rPr>
          <w:sz w:val="20"/>
          <w:szCs w:val="20"/>
          <w:color w:val="auto"/>
        </w:rPr>
      </w:pPr>
    </w:p>
    <w:p>
      <w:pPr>
        <w:ind w:right="40" w:firstLine="648"/>
        <w:spacing w:after="0" w:line="23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combined ratio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catastrophe losses.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 excluding catastrophe losses.</w:t>
      </w:r>
    </w:p>
    <w:p>
      <w:pPr>
        <w:spacing w:after="0" w:line="196"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 impact of certain items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35" w:lineRule="exact"/>
        <w:rPr>
          <w:sz w:val="20"/>
          <w:szCs w:val="20"/>
          <w:color w:val="auto"/>
        </w:rPr>
      </w:pPr>
    </w:p>
    <w:p>
      <w:pPr>
        <w:ind w:right="340" w:firstLine="648"/>
        <w:spacing w:after="0" w:line="259" w:lineRule="exact"/>
        <w:rPr>
          <w:sz w:val="20"/>
          <w:szCs w:val="20"/>
          <w:color w:val="auto"/>
        </w:rPr>
      </w:pPr>
      <w:r>
        <w:rPr>
          <w:rFonts w:ascii="Times New Roman" w:cs="Times New Roman" w:eastAsia="Times New Roman" w:hAnsi="Times New Roman"/>
          <w:sz w:val="18"/>
          <w:szCs w:val="18"/>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stockholders’ equity less intangible assets.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calculated in accordance with GAAP to tangible stockholders’ equity.</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compared to three months ended September 30,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414,977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313,998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100,979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(255,267)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(203,336)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(51,931)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159,710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110,662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49,048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85,817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49,829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09"/>
        </w:trPr>
        <w:tc>
          <w:tcPr>
            <w:tcW w:w="578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136,361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86,282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24,176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41,469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28,129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22,390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5,739</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0"/>
        </w:trPr>
        <w:tc>
          <w:tcPr>
            <w:tcW w:w="578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Underwriting income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9,408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38,503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24,535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30,497</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18,432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49"/>
        </w:trPr>
        <w:tc>
          <w:tcPr>
            <w:tcW w:w="5780" w:type="dxa"/>
            <w:vAlign w:val="bottom"/>
            <w:shd w:val="clear" w:color="auto" w:fill="CCEEFF"/>
          </w:tcPr>
          <w:p>
            <w:pPr>
              <w:ind w:left="18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32,444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23,291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97"/>
        </w:trPr>
        <w:tc>
          <w:tcPr>
            <w:tcW w:w="57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12,924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underwriting income </w:t>
            </w:r>
            <w:r>
              <w:rPr>
                <w:rFonts w:ascii="Times New Roman" w:cs="Times New Roman" w:eastAsia="Times New Roman" w:hAnsi="Times New Roman"/>
                <w:sz w:val="29"/>
                <w:szCs w:val="29"/>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31,038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24,957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bl>
    <w:p>
      <w:pPr>
        <w:ind w:left="660" w:right="200" w:hanging="328"/>
        <w:spacing w:after="0" w:line="235" w:lineRule="exact"/>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written premiums increased $101.0 million, or 32.2% to $415.0 million for the three months ended September 30, 2024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$314.0 million for the three months ended September 30, 2023. Premium growth was primarily due to an increased volume of policies written across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lines of business which was driven by new business generated with existing partners, strong premium retention rates for existing business, expansion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footprint, and new partnerships. The following table summarizes our gross written premiums by line of business and shows each line’s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total gross written premiums for each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3"/>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Product </w:t>
            </w:r>
            <w:r>
              <w:rPr>
                <w:rFonts w:ascii="Times New Roman" w:cs="Times New Roman" w:eastAsia="Times New Roman" w:hAnsi="Times New Roman"/>
                <w:sz w:val="24"/>
                <w:szCs w:val="24"/>
                <w:b w:val="1"/>
                <w:bCs w:val="1"/>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Earthquake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21,943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Fronting</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84,945</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94,954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14,235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59,662</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Casualty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26,775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100,979</w:t>
            </w:r>
          </w:p>
        </w:tc>
        <w:tc>
          <w:tcPr>
            <w:tcW w:w="2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5"/>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638"/>
        <w:spacing w:after="0" w:line="266" w:lineRule="auto"/>
        <w:tabs>
          <w:tab w:leader="none" w:pos="90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236,624</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49,931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159,305</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32,000</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414,977</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313,998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100,979</w:t>
            </w:r>
          </w:p>
        </w:tc>
        <w:tc>
          <w:tcPr>
            <w:tcW w:w="2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41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Ceded written premiums increased $51.9 million, or 25.5%, to $255.3 million for the three months ended September 30, 2024 from $203.3 million for the three months ended September 30, 2023. The increase was primarily due to increased premiums ceded under quota share and fronting agreements due to growth in the volume of written premiums subject to quota share or fronting agreements. In addition, we incurred increased XOL reinsurance expense due to growth in exposure</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 61.5% for the three months ended September 30, 2024 from 64.8% for the three months ended September 30, 2023. This percentage decrease was driven by changes in our composition of business whereby premiums written in the current period were subject to lower quota share or XOL cession percentages compared to premiums written in the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written premiums increased $49.0 million, or 44.3%, to $159.7 million for the three months ended September 30, 2024 from $110.7 million for the three months ended September 30, 2023. The increase was primarily due to an increase in gross written premiums, primarily in our Casualty and Earthquake lines, partially offset by increased ceded written premiums.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earned premiums increased $49.8 million, or 58.1%, to $135.6 million for the three months ended September 30, 2024 from $85.8 million for the three months ended September 30, 2023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395,881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271,786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Ceded earned premiums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(260,235)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(185,969)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4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135,646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85,817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49,829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197"/>
        </w:trPr>
        <w:tc>
          <w:tcPr>
            <w:tcW w:w="5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 ratio</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increased $0.2 million to $0.7 million for the three months ended September 30, 2024 from $0.5 million for the three months ended September 30, 2023. The balance increased due to an increase in commissions and policy related fees driven by increased premiums written.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increased $24.2 million, or 149.8% to $40.3 million for the three months ended September 30, 2024 from $16.1 million for the three months ended September 30, 2023. Losses and loss adjustment expenses consisted of the following elements during the respective periods:</w:t>
      </w:r>
    </w:p>
    <w:p>
      <w:pPr>
        <w:sectPr>
          <w:pgSz w:w="11900" w:h="16838" w:orient="portrait"/>
          <w:cols w:equalWidth="0" w:num="1">
            <w:col w:w="11220"/>
          </w:cols>
          <w:pgMar w:left="320" w:top="121" w:right="35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tcPr>
          <w:p>
            <w:pPr>
              <w:jc w:val="right"/>
              <w:ind w:right="690"/>
              <w:spacing w:after="0" w:line="191"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12,924</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13,457</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losses</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27,391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16,672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10,719</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40,315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24,176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 ratio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 loss ratio</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Catastrophe losses for the quarter ended September 30, 2024 were related to Hurricanes Beryl, Debby, and Helene.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19685</wp:posOffset>
            </wp:positionV>
            <wp:extent cx="8058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NM</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64.3%</w:t>
      </w:r>
    </w:p>
    <w:p>
      <w:pPr>
        <w:spacing w:after="0" w:line="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149.8%</w:t>
      </w:r>
    </w:p>
    <w:p>
      <w:pPr>
        <w:spacing w:after="0" w:line="1765" w:lineRule="exact"/>
        <w:rPr>
          <w:sz w:val="20"/>
          <w:szCs w:val="20"/>
          <w:color w:val="auto"/>
        </w:rPr>
      </w:pPr>
    </w:p>
    <w:p>
      <w:pPr>
        <w:sectPr>
          <w:pgSz w:w="11900" w:h="16838" w:orient="portrait"/>
          <w:cols w:equalWidth="0" w:num="2">
            <w:col w:w="9860" w:space="260"/>
            <w:col w:w="1100"/>
          </w:cols>
          <w:pgMar w:left="320" w:top="121" w:right="359" w:bottom="1440" w:gutter="0" w:footer="0" w:header="0"/>
          <w:type w:val="continuous"/>
        </w:sectPr>
      </w:pPr>
    </w:p>
    <w:p>
      <w:pPr>
        <w:spacing w:after="0" w:line="2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Catastrophe loss activity for the quarter ended September 30, 2023 was primarily related to favorable development on severe convective storms that occurred during the second quarter of 2023 and favorable development on prior year hurricanes.</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Non-catastrophe losses increased for the three months ended September 30, 2024 compared to the three months ended September 30, 2023 due mainly to higher attritional losses on lines of business subject to attritional losses such as Casualty and Inland Marine and Other Property due to premium growth in these lines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Acquisition expenses increased $14.5 million, or 53.6%, to $41.5 million for the three months ended September 30, 2024 from $27.0 million for the three months ended September 30, 2023. The increase was primarily due to higher commissions and premium-related taxes resulting from higher gross earned premiums. This was partially offset by higher earned ceding commissions and fronting fees due to an increase in premiums subject to a quota share or fronting agreement. Acquisition expenses as a percentage of gross earned premiums were 10.5% for the three months ended September 30, 2024 compared to 9.9% for the three months ended September 30, 2023. Acquisition expenses as a percentage of gross earned premiums increased due to higher commissions and premium-related taxes as a percentage of gross earned premiums and lower ceded commissions and fronting fees as a percentage of gross earned premiums due to changes in the composition of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underwriting expenses increased $5.7 million, or 25.6%, to $28.1 million for the three months ended September 30, 2024 from</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$22.4 million for the three months ended September 30, 2023. The increase was primarily due to the Company incurring higher payroll, technology, and stock-based compensation expenses associated with growth of the Company.</w:t>
      </w:r>
    </w:p>
    <w:p>
      <w:pPr>
        <w:spacing w:after="0" w:line="18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7.1% for the three months ended September 30, 2024 compared to 8.2% for the three months ended September 30, 2023. Excluding the impact of expenses relating to transactions, stock-based compensation, and amortization of intangibles, other underwriting expenses as a percentage of gross earned premiums were 5.9% for the three months ended September 30, 2024 compared to 6.7% for the three months ended September 30, 2023. Other underwriting expenses as a percentage of gross earned premiums may fluctuate period over period based on timing of certain expenses relative to premium growth.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investment income increased $3.4 million, or 56.0%, to $9.4 million for the three months ended September 30, 2024 from $6.0 million for the three months ended September 30, 2023. The increase was primarily due to a higher average balance of investments during the three months ended September 30, 2024 due primarily to the use of proceeds from our August 2024 secondary offering and also due to higher yields on invested assets versus the prior year.</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incurred $2.7 million of net realized and unrealized gains on investments for the three months ended September 30, 2024 compared to $1.4 million of net realized and unrealized losses for the three months ended September 30, 2023 In both periods, the balance was primarily driven</w:t>
      </w:r>
    </w:p>
    <w:p>
      <w:pPr>
        <w:ind w:right="340"/>
        <w:spacing w:after="0" w:line="255" w:lineRule="auto"/>
        <w:rPr>
          <w:sz w:val="20"/>
          <w:szCs w:val="20"/>
          <w:color w:val="auto"/>
        </w:rPr>
      </w:pPr>
      <w:r>
        <w:rPr>
          <w:rFonts w:ascii="Times New Roman" w:cs="Times New Roman" w:eastAsia="Times New Roman" w:hAnsi="Times New Roman"/>
          <w:sz w:val="18"/>
          <w:szCs w:val="18"/>
          <w:color w:val="auto"/>
        </w:rPr>
        <w:t>by unrealized gains and losses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6,029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12,142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increased $1.9 million to $8.0 million for the three months ended September 30, 2024 from $6.1 million for the three months ended September 30, 2023 due to higher pre-tax income for the period ended September 30, 2024. During the three months ended September 30, 2024, our income tax rate of 20.8% was lower than the statutory rate of 21% due primarily to permanent component of employee stock option exercises. During the three months ended September 30, 2023, our income tax rate of 24.9% was higher than the statutory rate of 21% due primarily to non-deductible executive compensation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to nine months ended September 30,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for the nine months ended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20"/>
                <w:szCs w:val="20"/>
                <w:color w:val="auto"/>
              </w:rPr>
            </w:pPr>
          </w:p>
        </w:tc>
        <w:tc>
          <w:tcPr>
            <w:tcW w:w="13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1,168,239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838,406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329,833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(692,620)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(542,789)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(149,831)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475,619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295,617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180,002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365,796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252,164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113,632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367,831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253,945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113,886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97,583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54,696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42,887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109,072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30,332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84,165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63,962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20,203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color w:val="auto"/>
              </w:rPr>
              <w:t xml:space="preserve">Underwriting income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77,011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56,547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20,464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16,690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5,768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106,233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36,051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23,625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16,877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6,748</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82,608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53,305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29,303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9"/>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92,219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65,524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26,695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19,724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underwriting income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93,124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70,245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22,879</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right="2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Gross written premiums increased $329.8 million, or 39.3% to $1,168.2 million for the nine months ended September 30, 2024 compared</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to $838.4 million for the nine months ended September 30, 2023.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Product </w:t>
            </w:r>
            <w:r>
              <w:rPr>
                <w:rFonts w:ascii="Times New Roman" w:cs="Times New Roman" w:eastAsia="Times New Roman" w:hAnsi="Times New Roman"/>
                <w:sz w:val="24"/>
                <w:szCs w:val="24"/>
                <w:b w:val="1"/>
                <w:bCs w:val="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Earthquake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376,088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Fronting</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275,671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266,433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249,147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186,983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62,164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Casualty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166,762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108,697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Crop</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88,456</w:t>
            </w: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329,833</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656"/>
        <w:spacing w:after="0" w:line="266" w:lineRule="auto"/>
        <w:tabs>
          <w:tab w:leader="none" w:pos="9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gridSpan w:val="2"/>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652,988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472,909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341,190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131,719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42,342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329,833</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41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340" w:firstLine="648"/>
        <w:spacing w:after="0" w:line="261" w:lineRule="auto"/>
        <w:rPr>
          <w:sz w:val="20"/>
          <w:szCs w:val="20"/>
          <w:color w:val="auto"/>
        </w:rPr>
      </w:pPr>
      <w:r>
        <w:rPr>
          <w:rFonts w:ascii="Times New Roman" w:cs="Times New Roman" w:eastAsia="Times New Roman" w:hAnsi="Times New Roman"/>
          <w:sz w:val="18"/>
          <w:szCs w:val="18"/>
          <w:color w:val="auto"/>
        </w:rPr>
        <w:t>Ceded written premiums increased $149.8 million, or 27.6%, to $692.6 million for the nine months ended September 30, 2024 from $542.8 million for the nine months ended September 30, 2023. The increase was primarily due to increased premium ceded under quota share and fronting agreements due to growth in fronting premiums written and growth in the volume of written premiums subject to quota shares. In addition, we incurred increased XOL reinsurance expense due to growth in exposure, in addition to higher rates on XOL reinsurance.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to 59.3% for the nine months ended September 30, 2024 from 64.7% for the nine months ended September 30, 2023. This percentage decrease was driven by changes in our composition of business whereby premiums written in the current period were subject to lower quota share or XOL cession percentages compared to premiums written in the prior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Net written premiums increased $180.0 million, or 60.9%, to $475.6 million for the nine months ended September 30, 2024 from $295.6 million for the nine months ended September 30, 2023. The increase was primarily due to an increase in gross written premiums, primarily in our Casualty and Inland Marine and Other Property lines, partially offset by increased ceded written premiums.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Net earned premiums increased $113.6 million, or 45.1%, to $365.8 million for the nine months ended September 30, 2024 from $252.2 million for the nine months ended September 30, 2023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80" w:type="dxa"/>
            <w:vAlign w:val="bottom"/>
            <w:gridSpan w:val="4"/>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1,025,716</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739,219</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286,497</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Ceded earned premiums</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(659,920)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(487,055)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(172,865)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365,796</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252,164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113,632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 ratio</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cessions compared to premiums earned in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Commission and other income increased $0.3 million, or 14.3%, to $2.0 for the nine months ended September 30, 2024 from $1.8 for the nine months ended September 30, 2023. The balance increased due to an increase in commissions and policy related fees driven by increased premiums written.</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Losses and loss adjustment expenses increased $42.9 million to $97.6 million for the nine months ended September 30, 2024 from $54.7 million for the nine months ended September 30, 2023. Losses and loss adjustment expenses consisted of the following elements during the respective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48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5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19,724</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16,292</w:t>
            </w:r>
          </w:p>
        </w:tc>
        <w:tc>
          <w:tcPr>
            <w:tcW w:w="1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losses</w:t>
            </w:r>
          </w:p>
        </w:tc>
        <w:tc>
          <w:tcPr>
            <w:tcW w:w="940" w:type="dxa"/>
            <w:vAlign w:val="bottom"/>
          </w:tcPr>
          <w:p>
            <w:pPr>
              <w:spacing w:after="0"/>
              <w:rPr>
                <w:sz w:val="18"/>
                <w:szCs w:val="18"/>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77,859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51,264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26,595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97,583</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54,696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42,887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 ratio</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60" w:type="dxa"/>
            <w:vAlign w:val="bottom"/>
          </w:tcPr>
          <w:p>
            <w:pPr>
              <w:spacing w:after="0"/>
              <w:rPr>
                <w:sz w:val="18"/>
                <w:szCs w:val="18"/>
                <w:color w:val="auto"/>
              </w:rPr>
            </w:pPr>
          </w:p>
        </w:tc>
      </w:tr>
      <w:tr>
        <w:trPr>
          <w:trHeight w:val="25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ratio</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5"/>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60" w:type="dxa"/>
            <w:vAlign w:val="bottom"/>
          </w:tcPr>
          <w:p>
            <w:pPr>
              <w:spacing w:after="0"/>
              <w:rPr>
                <w:sz w:val="18"/>
                <w:szCs w:val="18"/>
                <w:color w:val="auto"/>
              </w:rPr>
            </w:pPr>
          </w:p>
        </w:tc>
      </w:tr>
    </w:tbl>
    <w:p>
      <w:pPr>
        <w:spacing w:after="0" w:line="17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Catastrophe losses for the nine months ended September 30, 2024 were related to floods occurring during the first quarter, severe convective storms occurring during the second quarter, and Hurricanes Beryl, Debby, and Helene which occurred during the third quarter.</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Catastrophe losses for the nine months ended September 30, 2023 were related to floods occurring during the first quarter and severe convective storms occurring during the second quarter.</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Non-catastrophe losses increased for the nine months ended September 30, 2024 compared to the nine months ended September 30, 2023 due mainly to higher attritional losses on lines of business subject to attritional losses such as Casualty and Inland Marine and Other Property due to premium growth in these lines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Acquisition expenses increased $30.3 million, or 38.5%, to $109.1 million for the nine months ended September 30, 2024 from $78.7 million for the nine months ended September 30, 2023. The increase was primarily due to higher commissions and premium-related taxes resulting from higher gross earned premiums. This was partially offset by higher earned ceding commissions and fronting fees due to an increase in premiums subject to a quota share or fronting agreement. Acquisition expenses as a percentage of gross earned premiums were 10.6% for the nine months ended September 30, 2024 compared to 10.7% for the nine months ended September 30, 2023. Acquisition expenses as a percentage of gross earned premiums decreased due to the recognition of higher ceding commission and fronting fee income as a percentage of gross earned premiums due to changes in mix of business produced.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increased $20.2 million, or 31.6%, to $84.2 million for the nine months ended September 30, 2024 from $64.0 million for the nine months ended September 30, 2023. The increase was primarily due to the Company incurring higher payroll, technology, stock-based compensation, and professional fees expenses associated with growth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8.2% for the nine months ended September 30, 2024 compared</w:t>
      </w:r>
    </w:p>
    <w:p>
      <w:pPr>
        <w:spacing w:after="0" w:line="2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to 8.7% for the nine months ended September 30, 2023. Excluding the impact of expenses relating to transactions, stock-based compensation, amortization of intangibles, and catastrophe bonds, other underwriting expenses as a percentage of gross earned premiums were 6.6% for the nine months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ended September 30, 2024 compared to 6.8% for the nine months ended September 30, 2023. Other underwriting expenses as a percentage of gross earned premiums may fluctuate period over period based on timing of certain expenses relative to premium growth.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Net investment income increased $7.8 million, or 46.8%, to $24.5 million for the nine months ended September 30, 2024 from $16.7 million for the nine months ended September 30, 2023. The increase was primarily due to a higher average balance of investments during the nine months ended September 30, 2024 and also due to higher yields on invested assets versus the prior year.</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incurred $5.8 million of net realized and unrealized gains on investments for the nine months ended September 30, 2024 compared to $0.1 million of net realized and unrealized losses for the nine months ended September 30, 2023 due primarily to higher gains on our equity securities during the period ended September 30, 2024 compared to the period ended September 30, 2023.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16,690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5,871</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30,274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increased $6.7 million or 40.0% to $23.6 million for the nine months ended September 30, 2024 from $16.9 million for</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nine months ended September 30, 2023 due to higher pre-tax income and a higher effective tax rate during the nine months ended September 30, 2024. During the nine months ended September 30, 2024, our income tax rate of 22.2% was higher than the statutory rate of 21% due primarily to non-deductible executive compensation expense. For the nine months ended September 30, 2023 our income tax rate of 24.0% was higher than the statutory rate also due primarily to non-deductible executive compensation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GAAP Financial Measures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148,503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90,935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398,105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270,532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136,361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86,282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367,831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253,945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p>
      <w:pPr>
        <w:spacing w:after="0" w:line="229" w:lineRule="exact"/>
        <w:rPr>
          <w:sz w:val="20"/>
          <w:szCs w:val="20"/>
          <w:color w:val="auto"/>
        </w:rPr>
      </w:pPr>
    </w:p>
    <w:p>
      <w:pPr>
        <w:ind w:right="160" w:firstLine="648"/>
        <w:spacing w:after="0" w:line="220" w:lineRule="exact"/>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and other companies may define underwriting income differently.</w:t>
      </w:r>
    </w:p>
    <w:p>
      <w:pPr>
        <w:spacing w:after="0" w:line="201" w:lineRule="exact"/>
        <w:rPr>
          <w:sz w:val="20"/>
          <w:szCs w:val="20"/>
          <w:color w:val="auto"/>
        </w:rPr>
      </w:pPr>
    </w:p>
    <w:p>
      <w:pPr>
        <w:ind w:right="100" w:firstLine="648"/>
        <w:spacing w:after="0" w:line="220" w:lineRule="exact"/>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Other companies may define adjusted underwriting income differently.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Income before income taxes calculated in accordance with GAAP reconciles to underwriting income and adjusted underwriting income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38,503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24,535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106,233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2,952</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26,448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20,749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77,011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56,547</w:t>
            </w: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Adjusted underwriting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31,038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24,957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93,124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70,245</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ectPr>
          <w:pgSz w:w="11900" w:h="16838" w:orient="portrait"/>
          <w:cols w:equalWidth="0" w:num="1">
            <w:col w:w="11240"/>
          </w:cols>
          <w:pgMar w:left="320" w:top="121"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53"/>
        </w:trPr>
        <w:tc>
          <w:tcPr>
            <w:tcW w:w="760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30,497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18,432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82,608</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53,305</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32,444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92,219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65,524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94"/>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129,776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93,164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122,959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87,365</w:t>
            </w: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Average stockholders'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617,959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417,521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587,282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403,044</w:t>
            </w:r>
          </w:p>
        </w:tc>
      </w:tr>
      <w:tr>
        <w:trPr>
          <w:trHeight w:val="209"/>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109,198</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65,068</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288,785</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195,617</w:t>
            </w:r>
          </w:p>
        </w:tc>
        <w:tc>
          <w:tcPr>
            <w:tcW w:w="0" w:type="dxa"/>
            <w:vAlign w:val="bottom"/>
          </w:tcPr>
          <w:p>
            <w:pPr>
              <w:spacing w:after="0"/>
              <w:rPr>
                <w:sz w:val="1"/>
                <w:szCs w:val="1"/>
                <w:color w:val="auto"/>
              </w:rPr>
            </w:pPr>
          </w:p>
        </w:tc>
      </w:tr>
      <w:tr>
        <w:trPr>
          <w:trHeight w:val="221"/>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underwriting expenses, net of commission and other income</w:t>
            </w: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135,646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85,817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365,796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252,164</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(10,737)</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combined ratio</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87"/>
        </w:trPr>
        <w:tc>
          <w:tcPr>
            <w:tcW w:w="5980" w:type="dxa"/>
            <w:vAlign w:val="bottom"/>
          </w:tcPr>
          <w:p>
            <w:pPr>
              <w:spacing w:after="0"/>
              <w:rPr>
                <w:sz w:val="16"/>
                <w:szCs w:val="16"/>
                <w:color w:val="auto"/>
              </w:rPr>
            </w:pPr>
          </w:p>
        </w:tc>
        <w:tc>
          <w:tcPr>
            <w:tcW w:w="126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gridSpan w:val="3"/>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2"/>
              </w:rPr>
              <w:t>except per share</w:t>
            </w:r>
          </w:p>
        </w:tc>
        <w:tc>
          <w:tcPr>
            <w:tcW w:w="100" w:type="dxa"/>
            <w:vAlign w:val="bottom"/>
          </w:tcPr>
          <w:p>
            <w:pPr>
              <w:spacing w:after="0"/>
              <w:rPr>
                <w:sz w:val="16"/>
                <w:szCs w:val="16"/>
                <w:color w:val="auto"/>
              </w:rPr>
            </w:pPr>
          </w:p>
        </w:tc>
        <w:tc>
          <w:tcPr>
            <w:tcW w:w="122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w:t>
            </w:r>
          </w:p>
        </w:tc>
        <w:tc>
          <w:tcPr>
            <w:tcW w:w="1320" w:type="dxa"/>
            <w:vAlign w:val="bottom"/>
            <w:gridSpan w:val="3"/>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2"/>
              </w:rPr>
              <w:t>except per share</w:t>
            </w:r>
          </w:p>
        </w:tc>
      </w:t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02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32,444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23,291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92,219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65,524</w:t>
            </w:r>
          </w:p>
        </w:tc>
      </w:tr>
      <w:tr>
        <w:trPr>
          <w:trHeight w:val="210"/>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26,479,566</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25,244,828</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25,877,257</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25,340,602</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earnings per share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5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ratio and catastrophe loss ratio are calculated as follows: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40,315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16,139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97,583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54,696</w:t>
            </w:r>
          </w:p>
        </w:tc>
      </w:tr>
      <w:tr>
        <w:trPr>
          <w:trHeight w:val="20"/>
        </w:trPr>
        <w:tc>
          <w:tcPr>
            <w:tcW w:w="128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1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135,646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85,817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365,796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252,164</w:t>
            </w:r>
          </w:p>
        </w:tc>
      </w:tr>
      <w:tr>
        <w:trPr>
          <w:trHeight w:val="209"/>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9"/>
        </w:trPr>
        <w:tc>
          <w:tcPr>
            <w:tcW w:w="12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Catastrophe losses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12,924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19,724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3,432</w:t>
            </w:r>
          </w:p>
        </w:tc>
      </w:tr>
      <w:tr>
        <w:trPr>
          <w:trHeight w:val="20"/>
        </w:trPr>
        <w:tc>
          <w:tcPr>
            <w:tcW w:w="128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09"/>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135,646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85,817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365,796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252,164</w:t>
            </w:r>
          </w:p>
        </w:tc>
      </w:tr>
      <w:tr>
        <w:trPr>
          <w:trHeight w:val="209"/>
        </w:trPr>
        <w:tc>
          <w:tcPr>
            <w:tcW w:w="5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229" w:lineRule="exact"/>
        <w:rPr>
          <w:sz w:val="20"/>
          <w:szCs w:val="20"/>
          <w:color w:val="auto"/>
        </w:rPr>
      </w:pPr>
    </w:p>
    <w:p>
      <w:pPr>
        <w:ind w:right="140" w:firstLine="648"/>
        <w:spacing w:after="0" w:line="274" w:lineRule="auto"/>
        <w:rPr>
          <w:sz w:val="20"/>
          <w:szCs w:val="20"/>
          <w:color w:val="auto"/>
        </w:rPr>
      </w:pPr>
      <w:r>
        <w:rPr>
          <w:rFonts w:ascii="Times New Roman" w:cs="Times New Roman" w:eastAsia="Times New Roman" w:hAnsi="Times New Roman"/>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109,198</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65,068</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288,785</w:t>
            </w:r>
          </w:p>
        </w:tc>
        <w:tc>
          <w:tcPr>
            <w:tcW w:w="3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195,617</w:t>
            </w:r>
          </w:p>
        </w:tc>
        <w:tc>
          <w:tcPr>
            <w:tcW w:w="0" w:type="dxa"/>
            <w:vAlign w:val="bottom"/>
          </w:tcPr>
          <w:p>
            <w:pPr>
              <w:spacing w:after="0"/>
              <w:rPr>
                <w:sz w:val="1"/>
                <w:szCs w:val="1"/>
                <w:color w:val="auto"/>
              </w:rPr>
            </w:pPr>
          </w:p>
        </w:tc>
      </w:tr>
      <w:tr>
        <w:trPr>
          <w:trHeight w:val="221"/>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underwriting expenses, net of commission and other income</w:t>
            </w:r>
          </w:p>
        </w:tc>
        <w:tc>
          <w:tcPr>
            <w:tcW w:w="2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135,646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85,817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365,796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252,164</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2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38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703,313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471,252</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(12,315)</w:t>
            </w: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4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692,166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458,937</w:t>
            </w:r>
          </w:p>
        </w:tc>
      </w:tr>
      <w:tr>
        <w:trPr>
          <w:trHeight w:val="412"/>
        </w:trPr>
        <w:tc>
          <w:tcPr>
            <w:tcW w:w="3880" w:type="dxa"/>
            <w:vAlign w:val="bottom"/>
            <w:tcBorders>
              <w:top w:val="single" w:sz="8" w:color="CCEEFF"/>
            </w:tcBorders>
          </w:tcPr>
          <w:p>
            <w:pPr>
              <w:spacing w:after="0"/>
              <w:rPr>
                <w:sz w:val="24"/>
                <w:szCs w:val="24"/>
                <w:color w:val="auto"/>
              </w:rPr>
            </w:pPr>
          </w:p>
        </w:tc>
        <w:tc>
          <w:tcPr>
            <w:tcW w:w="412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Company’s U.S. insurance company subsidiaries, PSIC and PESIC, are restricted by the statutes as to the amount of dividends that they may pay without prior approval by state insurance commissioners.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California and Oregon statute which govern PSIC, dividends paid in a consecutive twelve month period cannot exceed the greater of</w:t>
      </w:r>
    </w:p>
    <w:p>
      <w:pPr>
        <w:spacing w:after="0" w:line="27" w:lineRule="exact"/>
        <w:rPr>
          <w:sz w:val="20"/>
          <w:szCs w:val="20"/>
          <w:color w:val="auto"/>
        </w:rPr>
      </w:pPr>
    </w:p>
    <w:p>
      <w:pPr>
        <w:ind w:right="40" w:firstLine="8"/>
        <w:spacing w:after="0" w:line="252"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$96.0 million in 2024 without approval by the California and Oregon Insurance Commissioners. During October 2024, PSIC elected to pay a dividend of $95.0 million to its parent company.</w:t>
      </w:r>
    </w:p>
    <w:p>
      <w:pPr>
        <w:spacing w:after="0" w:line="19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$1.5 million in 2024 without approval of the Arizona Insurance Commissioner.</w:t>
      </w:r>
    </w:p>
    <w:p>
      <w:pPr>
        <w:spacing w:after="0" w:line="180"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2024 is calculated to be approximately $4.1 million. However, this dividend amount is subject to annual enhanced solvency requirement calculations.</w:t>
      </w:r>
    </w:p>
    <w:p>
      <w:pPr>
        <w:spacing w:after="0" w:line="17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135"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or due to changes in balance sheet accounts.</w:t>
      </w:r>
    </w:p>
    <w:p>
      <w:pPr>
        <w:spacing w:after="0" w:line="26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188,520</w:t>
            </w:r>
          </w:p>
        </w:tc>
        <w:tc>
          <w:tcPr>
            <w:tcW w:w="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93,836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71,096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(14,876)</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nine months ended September 30, 2024 and 2023 due to net income and a decrease in net operating assets in each period.</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2024 and 2023 related primarily to purchases of fixed maturity securities in excess of sales and maturities in each period.</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Cash provided by financing activities for nine months ended September 30, 2024 was related to the receipt of $115.7 million in net proceeds from the August 2024 Secondary Offering, the receipt of $5.0 million in proceeds from stock option exercises, the receipt of $0.9 million in proceeds from our employee stock purchase plan and the receipt of $2.0 million in proceeds from policy holder contributions of surplus, offset by $52.6 million in payments on our lines of credit. Cash used in financing activities for nine months ended September 30, 2023 was related to the repurchase of $22.1 million of our common stock, offset by $16.2 million in borrowings from our FHLB line of credit, the receipt of $0.6 million in proceeds from stock option exercises and the receipt of $0.8 million in proceeds from our employee stock purchase plan.</w:t>
      </w:r>
    </w:p>
    <w:p>
      <w:pPr>
        <w:spacing w:after="0" w:line="187" w:lineRule="exact"/>
        <w:rPr>
          <w:sz w:val="20"/>
          <w:szCs w:val="20"/>
          <w:color w:val="auto"/>
        </w:rPr>
      </w:pPr>
    </w:p>
    <w:p>
      <w:pPr>
        <w:ind w:right="80" w:firstLine="648"/>
        <w:spacing w:after="0" w:line="226" w:lineRule="exact"/>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$1,017.5 million in cash and investment securities available at September 30, 2024. We also have the ability to access additional capital through pursuing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borrowings, sales of our equity or debt securities or entrance into a reinsurance arrangement.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previously administered a share repurchase plan and have used and may use our cash in the future to purchase outstanding shares of our common stock. Under our previous share repurchase program, shares were repurchased from time to time in the open market or negotiated transactions at prevailing market rates, or by other means in accordance with federal securities laws.</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previous share repurchase program ended on March 31, 2024 and no shares have been repurchased in 2024. The Company accounts for share repurchases by charging the excess of repurchase price over the common stock’s par value entirely to retained earnings. All repurchased shares are retired and become authorized but unissued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225"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$15 million of the borrowing capacity of the Credit Agreement is pledged as collateral and not able to be utilized.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we had no borrowings outstanding through the Credit Agreement.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we had no borrowings outstanding through the FHLB line of credit.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At September 30, 2024 total stockholders’ equity was $703.3 million and tangible stockholders’ equity was $692.2 million, compared to total stockholders’ equity of $471.3 million and tangible stockholders’ equity of $458.9 million as of December 31, 2023. Stockholder’s equity increased primarily due to the receipt of $115.7 million in net proceeds from our August 2024 Secondary Offering. In addition, stockholders' equity increased due to net income earned for the period, activity related to stock-based compensation, and unrealized gains on fixed maturity securities.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200" w:firstLine="648"/>
        <w:spacing w:after="0" w:line="245" w:lineRule="exact"/>
        <w:rPr>
          <w:sz w:val="20"/>
          <w:szCs w:val="20"/>
          <w:color w:val="auto"/>
        </w:rPr>
      </w:pPr>
      <w:r>
        <w:rPr>
          <w:rFonts w:ascii="Times New Roman" w:cs="Times New Roman" w:eastAsia="Times New Roman" w:hAnsi="Times New Roman"/>
          <w:sz w:val="18"/>
          <w:szCs w:val="18"/>
          <w:color w:val="auto"/>
        </w:rPr>
        <w:t>Tangible stockholders’ equity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in accordance with GAAP to tangible stockholders’ equity.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229"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fixed maturities, as well as publicly traded mutual funds and common stock of individual companies. Our cash and invested assets consist of cash and cash equivalents, fixed maturity securities, and equity securities. As of September 30, 2024, the majority of our investment portfolio, or $883.0 million, was comprised of fixed maturity securities that are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carried at fair value with unrealized gains and losses on these securities, net of applicable taxes, reported as a separate component of accumulated other comprehensive income. Also included in our investment portfolio were $40.2 million of equity securities, $2.5 million of equity method investments</w:t>
      </w:r>
    </w:p>
    <w:p>
      <w:pPr>
        <w:spacing w:after="0" w:line="3" w:lineRule="exact"/>
        <w:rPr>
          <w:sz w:val="20"/>
          <w:szCs w:val="20"/>
          <w:color w:val="auto"/>
        </w:rPr>
      </w:pPr>
    </w:p>
    <w:p>
      <w:pPr>
        <w:ind w:right="140"/>
        <w:spacing w:after="0" w:line="217" w:lineRule="exact"/>
        <w:rPr>
          <w:sz w:val="20"/>
          <w:szCs w:val="20"/>
          <w:color w:val="auto"/>
        </w:rPr>
      </w:pPr>
      <w:r>
        <w:rPr>
          <w:rFonts w:ascii="Times New Roman" w:cs="Times New Roman" w:eastAsia="Times New Roman" w:hAnsi="Times New Roman"/>
          <w:sz w:val="18"/>
          <w:szCs w:val="18"/>
          <w:color w:val="auto"/>
        </w:rPr>
        <w:t>and $5.2 million of investments in limited partnerships. In addition, we maintained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restricted cash and cash equivalent balance of $86.5 million at September 30, 2024. Our fixed maturity securities, including cash equivalents, had a weighted average effective duration of 3.86 and 3.48 years and an average rating of “A1/A+” and “Aa3/A+” at September 30, 2024 and December 31, 2023, respectively. Our fixed income investment portfolio had a book yield of 4.58% as of September 30, 2024, compared to 4.07% as of December 31, 2023.</w:t>
      </w:r>
    </w:p>
    <w:p>
      <w:pPr>
        <w:spacing w:after="0" w:line="16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At September 30, 2024 and December 31, 2023 the amortized cost and fair value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32,839</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32,195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10,042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28,060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467,290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462,082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355,276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350,601</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896,775</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882,980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40,836</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29,511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316,590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300,239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274,550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264,727</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675,130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3"/>
        </w:trPr>
        <w:tc>
          <w:tcPr>
            <w:tcW w:w="502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jc w:val="right"/>
              <w:ind w:right="39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86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53"/>
        </w:trPr>
        <w:tc>
          <w:tcPr>
            <w:tcW w:w="101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September 30, 2024 and December 31, 2023:</w:t>
            </w:r>
          </w:p>
        </w:tc>
        <w:tc>
          <w:tcPr>
            <w:tcW w:w="1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7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 in thousands)</w:t>
            </w:r>
          </w:p>
        </w:tc>
        <w:tc>
          <w:tcPr>
            <w:tcW w:w="1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281,576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249,446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229,792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1280" w:type="dxa"/>
            <w:vAlign w:val="bottom"/>
            <w:shd w:val="clear" w:color="auto" w:fill="CCEEFF"/>
          </w:tcPr>
          <w:p>
            <w:pPr>
              <w:spacing w:after="0"/>
              <w:rPr>
                <w:sz w:val="21"/>
                <w:szCs w:val="21"/>
                <w:color w:val="auto"/>
              </w:rPr>
            </w:pPr>
          </w:p>
        </w:tc>
        <w:tc>
          <w:tcPr>
            <w:tcW w:w="658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882,980</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390"/>
        </w:trPr>
        <w:tc>
          <w:tcPr>
            <w:tcW w:w="1280" w:type="dxa"/>
            <w:vAlign w:val="bottom"/>
            <w:tcBorders>
              <w:top w:val="single" w:sz="8" w:color="CCEEFF"/>
            </w:tcBorders>
          </w:tcPr>
          <w:p>
            <w:pPr>
              <w:spacing w:after="0"/>
              <w:rPr>
                <w:sz w:val="24"/>
                <w:szCs w:val="24"/>
                <w:color w:val="auto"/>
              </w:rPr>
            </w:pPr>
          </w:p>
        </w:tc>
        <w:tc>
          <w:tcPr>
            <w:tcW w:w="65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7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2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7"/>
              </w:rPr>
              <w:t>($ in thousands)</w:t>
            </w:r>
          </w:p>
        </w:tc>
        <w:tc>
          <w:tcPr>
            <w:tcW w:w="1100" w:type="dxa"/>
            <w:vAlign w:val="bottom"/>
          </w:tcPr>
          <w:p>
            <w:pPr>
              <w:spacing w:after="0"/>
              <w:rPr>
                <w:sz w:val="18"/>
                <w:szCs w:val="18"/>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98,823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211,354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205,162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&amp; Below</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1280" w:type="dxa"/>
            <w:vAlign w:val="bottom"/>
            <w:shd w:val="clear" w:color="auto" w:fill="CCEEFF"/>
          </w:tcPr>
          <w:p>
            <w:pPr>
              <w:spacing w:after="0"/>
              <w:rPr>
                <w:sz w:val="19"/>
                <w:szCs w:val="19"/>
                <w:color w:val="auto"/>
              </w:rPr>
            </w:pPr>
          </w:p>
        </w:tc>
        <w:tc>
          <w:tcPr>
            <w:tcW w:w="65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643,799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amortized cost and fair value of our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fixed maturity securities summarized by contractual maturity as of</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80,152</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78,731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180,227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176,607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172,654</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100,767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355,276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350,601</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0"/>
        </w:trPr>
        <w:tc>
          <w:tcPr>
            <w:tcW w:w="62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896,775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882,980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540" w:right="1460" w:hanging="4877"/>
        <w:spacing w:after="0" w:line="53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94"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8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have historically incorporated collateralized protection from the insurance linked securities market via catastrophe bonds. During the second quarter of 2022, we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we closed a $200 million 144A catastrophe bond which became effective June 1, 2023. This catastrophe bond was also completed through Torrey Pines Re Ltd and provides indemnity-based reinsurance covering earthquake events through June 1, 2026. During the second quarter of 2024, we closed a $420 million 144A catastrophe bond which became effective June 1, 2024. This catastrophe bond was also completed through Torrey Pines Re Ltd and provides indemnity-based reinsurance covering earthquake events through June 1, 2027.</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catastrophe event retention is $20 million for earthquake events and $15.5 million for hurricane events and all other perils. Our reinsurance coverage exhausts at $3.06 billion for earthquake events, $735 million for Hawaii hurricane events, and $117.5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2023 Annual Report on Form 10-K.</w:t>
      </w:r>
    </w:p>
    <w:p>
      <w:pPr>
        <w:spacing w:after="0" w:line="1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compared to the critical accounting policies and estimates disclosed in Management’s Discussion and Analysis of Financial Condition and Operations included in our 2023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72.6% rated “A−” or better. At September 30, 2024, 1.4%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139" w:lineRule="exact"/>
        <w:rPr>
          <w:sz w:val="20"/>
          <w:szCs w:val="20"/>
          <w:color w:val="auto"/>
        </w:rPr>
      </w:pPr>
    </w:p>
    <w:p>
      <w:pPr>
        <w:ind w:right="160" w:firstLine="648"/>
        <w:spacing w:after="0" w:line="231" w:lineRule="exact"/>
        <w:rPr>
          <w:sz w:val="20"/>
          <w:szCs w:val="20"/>
          <w:color w:val="auto"/>
        </w:rPr>
      </w:pPr>
      <w:r>
        <w:rPr>
          <w:rFonts w:ascii="Times New Roman" w:cs="Times New Roman" w:eastAsia="Times New Roman" w:hAnsi="Times New Roman"/>
          <w:sz w:val="18"/>
          <w:szCs w:val="18"/>
          <w:color w:val="auto"/>
        </w:rPr>
        <w:t>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we carried out an evaluation, under the supervision and with the participation of our management, including our CEO and CFO, of the effectiveness of the design and operation of our disclosure controls and procedures defined under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Based upon this evaluation, our CEO and CFO concluded that our disclosure controls and procedures were effective.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88" w:lineRule="exact"/>
        <w:rPr>
          <w:sz w:val="20"/>
          <w:szCs w:val="20"/>
          <w:color w:val="auto"/>
        </w:rPr>
      </w:pPr>
    </w:p>
    <w:p>
      <w:pPr>
        <w:ind w:right="40" w:firstLine="648"/>
        <w:spacing w:after="0" w:line="236" w:lineRule="exact"/>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occurred during the quarter ended September 30, 2024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27" w:lineRule="exact"/>
        <w:rPr>
          <w:sz w:val="20"/>
          <w:szCs w:val="20"/>
          <w:color w:val="auto"/>
        </w:rPr>
      </w:pPr>
    </w:p>
    <w:p>
      <w:pPr>
        <w:ind w:left="660" w:right="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we are exposed more significantly to California loss activity and regulatory environments;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and such relationships may not continue;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Economic Environment:</w:t>
      </w:r>
    </w:p>
    <w:p>
      <w:pPr>
        <w:spacing w:after="0" w:line="227" w:lineRule="exact"/>
        <w:rPr>
          <w:sz w:val="20"/>
          <w:szCs w:val="20"/>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affect our growth and profitability;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Technology:</w:t>
      </w:r>
    </w:p>
    <w:p>
      <w:pPr>
        <w:spacing w:after="0" w:line="227" w:lineRule="exact"/>
        <w:rPr>
          <w:sz w:val="20"/>
          <w:szCs w:val="20"/>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225" w:lineRule="exact"/>
        <w:rPr>
          <w:rFonts w:ascii="Times New Roman" w:cs="Times New Roman" w:eastAsia="Times New Roman" w:hAnsi="Times New Roman"/>
          <w:sz w:val="18"/>
          <w:szCs w:val="18"/>
          <w:color w:val="auto"/>
        </w:rPr>
      </w:pPr>
    </w:p>
    <w:p>
      <w:pPr>
        <w:ind w:left="380" w:hanging="197"/>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liability and damage our reputation and business;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22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227" w:lineRule="exact"/>
        <w:rPr>
          <w:sz w:val="20"/>
          <w:szCs w:val="20"/>
          <w:color w:val="auto"/>
        </w:rPr>
      </w:pPr>
    </w:p>
    <w:p>
      <w:pPr>
        <w:ind w:left="660" w:right="18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and limit our ability to underwrite new insurance policies.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windstorms, floods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reinsurance coverage currently exhausts at $3.06 billion for earthquake events, $735 million for Hawaii hurricane events, and $117.5 million for continental U.S. hurricane events, with coverage in excess of our estimated peak zone 1 in 250-year PML event and in excess of our A.M. Best threshold. Our catastrophe event retention is $20 million for earthquake events and $15.5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September 30, 2024, we had $419.1 million of aggregate reinsurance recoverables.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which may be inadequate to cover actual incurred losses and could have a material adverse impact on our results of operations and financial condition.</w:t>
      </w:r>
    </w:p>
    <w:p>
      <w:pPr>
        <w:spacing w:after="0" w:line="15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7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 in our 2023 Annual Report on Form 10-K.</w:t>
      </w:r>
    </w:p>
    <w:p>
      <w:pPr>
        <w:spacing w:after="0" w:line="15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sz w:val="20"/>
          <w:szCs w:val="20"/>
          <w:color w:val="auto"/>
        </w:rPr>
      </w:pPr>
    </w:p>
    <w:p>
      <w:pPr>
        <w:ind w:right="240" w:firstLine="648"/>
        <w:spacing w:after="0" w:line="289" w:lineRule="auto"/>
        <w:rPr>
          <w:sz w:val="20"/>
          <w:szCs w:val="20"/>
          <w:color w:val="auto"/>
        </w:rPr>
      </w:pPr>
      <w:r>
        <w:rPr>
          <w:rFonts w:ascii="Times New Roman" w:cs="Times New Roman" w:eastAsia="Times New Roman" w:hAnsi="Times New Roman"/>
          <w:sz w:val="17"/>
          <w:szCs w:val="17"/>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5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We buy multiple types of reinsurance including treaty excess of loss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83"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have historically incorporated collateralized protection from the insurance linked securities market via catastrophe bonds. During the second quarter of 2022, we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we closed a $200 million 144A catastrophe bond which became effective June 1, 2023. This catastrophe bond was also completed through Torrey Pines Re Ltd and provides indemnity-based reinsurance covering earthquake events through June 1, 2026. During the second quarter of 2024, we closed a $420 million 144A catastrophe bond which became effective June 1, 2024. This catastrophe bond was also completed through Torrey Pines Re Ltd and provides indemnity-based reinsurance covering earthquake events through June 1, 2027.</w:t>
      </w:r>
    </w:p>
    <w:p>
      <w:pPr>
        <w:spacing w:after="0" w:line="19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may seek similar catastrophe bond offerings in the future. However, there can be no assurance that we will be able to complete such offerings on acceptable terms, if at all.</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7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8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9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180"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or severity of events;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inflation on the magnitude of modeled losses;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September 30, 2024, A.M. Best has assigned a financial strength rating of “A” (Excellent) (Outlook Positive)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92"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62" w:lineRule="exact"/>
        <w:rPr>
          <w:sz w:val="20"/>
          <w:szCs w:val="20"/>
          <w:color w:val="auto"/>
        </w:rPr>
      </w:pPr>
    </w:p>
    <w:p>
      <w:pPr>
        <w:ind w:left="5540" w:right="2160" w:hanging="4884"/>
        <w:spacing w:after="0" w:line="563" w:lineRule="auto"/>
        <w:tabs>
          <w:tab w:leader="none" w:pos="9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 rated competitors;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25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could be negatively and adversely impacted by pandemics, disease outbreaks and other public health crises, such as the COVID-19 pandemic.</w:t>
      </w:r>
    </w:p>
    <w:p>
      <w:pPr>
        <w:spacing w:after="0" w:line="15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we are exposed more significantly to California loss activity and regulatory environments.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which generated 53% of our gross written premiums for the year ended December 31, 2023 and 44% for the nine months ended September 30, 2024.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Recently, companies have had issues with employee turnover and finding, hiring, and retaining qualified employees. These challenges may continue for the foreseeable future.</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largest program administrator distributed $394.1 million or 34.5% of our gross written premiums and our second largest program administrator distributed $152.4 million, or 13.3% of our gross written premiums. There were no other program administrators which distributed greater than 10% of our gross written premiums for the year ended December 31, 2023.</w:t>
      </w:r>
    </w:p>
    <w:p>
      <w:pPr>
        <w:spacing w:after="0" w:line="17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our largest program administrator distributed $298.7 million or 25.6% of our gross written premiums and our second largest program administrator distributed $123.0 million, or 10.5% of our gross written premiums. There were no other program administrators which distributed greater than 10% of our gross written premiums for the nine months ended September 30, 2024.</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143" w:lineRule="exact"/>
        <w:rPr>
          <w:sz w:val="20"/>
          <w:szCs w:val="20"/>
          <w:color w:val="auto"/>
        </w:rPr>
      </w:pPr>
    </w:p>
    <w:p>
      <w:pPr>
        <w:ind w:right="6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established guidelines, our results of operations could be adversely affected.</w:t>
      </w:r>
    </w:p>
    <w:p>
      <w:pPr>
        <w:spacing w:after="0" w:line="19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88"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needed basis. If we are unable to collect premiums from our brokers in the future, our underwriting profits may decline, and our financial condition and results of operations could be materially and adversely affected.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80"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18" w:lineRule="exact"/>
        <w:rPr>
          <w:sz w:val="20"/>
          <w:szCs w:val="20"/>
          <w:color w:val="auto"/>
        </w:rPr>
      </w:pPr>
    </w:p>
    <w:p>
      <w:pPr>
        <w:ind w:right="80" w:firstLine="648"/>
        <w:spacing w:after="0" w:line="228" w:lineRule="exact"/>
        <w:rPr>
          <w:sz w:val="20"/>
          <w:szCs w:val="20"/>
          <w:color w:val="auto"/>
        </w:rPr>
      </w:pPr>
      <w:r>
        <w:rPr>
          <w:rFonts w:ascii="Times New Roman" w:cs="Times New Roman" w:eastAsia="Times New Roman" w:hAnsi="Times New Roman"/>
          <w:sz w:val="18"/>
          <w:szCs w:val="18"/>
          <w:color w:val="auto"/>
        </w:rPr>
        <w:t>Most of our insurance policies are written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94"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5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229"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spacing w:after="0" w:line="179" w:lineRule="exact"/>
        <w:rPr>
          <w:sz w:val="20"/>
          <w:szCs w:val="20"/>
          <w:color w:val="auto"/>
        </w:rPr>
      </w:pPr>
    </w:p>
    <w:p>
      <w:pPr>
        <w:ind w:left="160" w:hanging="16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evaluation of potential acquisitions, the integration of acquired businesses, and the introduction of new products, lines of business, and markets.</w:t>
      </w:r>
    </w:p>
    <w:p>
      <w:pPr>
        <w:spacing w:after="0" w:line="15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part of our business strategy, we may make acquisitions, including acquisitions in lines of business that are natural adjacencies. The success of our acquisition strategy is dependent upon our ability to identify appropriate acquisition targets, negotiate transactions on favorable terms, complete transactions, have adequate access to financing and the ability to finance acquisitions on acceptable terms, and successfully integrate them into our existing businesses.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that have been, or will be,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many of the businesses that we acquire and develop will likely have smaller scales of operations prior to the implementation of our growth strategy. If we are not able to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Failure to manage these risks arising from acquisitions or development of new businesses could materially and adversely affect our business, results of operations, and financial condition.</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term prospects.</w:t>
      </w:r>
    </w:p>
    <w:p>
      <w:pPr>
        <w:spacing w:after="0" w:line="26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spacing w:after="0" w:line="183" w:lineRule="exact"/>
        <w:rPr>
          <w:sz w:val="20"/>
          <w:szCs w:val="20"/>
          <w:color w:val="auto"/>
        </w:rPr>
      </w:pPr>
    </w:p>
    <w:p>
      <w:pPr>
        <w:jc w:val="both"/>
        <w:ind w:right="160" w:firstLine="360"/>
        <w:spacing w:after="0" w:line="266" w:lineRule="auto"/>
        <w:rPr>
          <w:sz w:val="20"/>
          <w:szCs w:val="20"/>
          <w:color w:val="auto"/>
        </w:rPr>
      </w:pPr>
      <w:r>
        <w:rPr>
          <w:rFonts w:ascii="Times New Roman" w:cs="Times New Roman" w:eastAsia="Times New Roman" w:hAnsi="Times New Roman"/>
          <w:sz w:val="18"/>
          <w:szCs w:val="18"/>
          <w:color w:val="auto"/>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spacing w:after="0" w:line="176" w:lineRule="exact"/>
        <w:rPr>
          <w:sz w:val="20"/>
          <w:szCs w:val="20"/>
          <w:color w:val="auto"/>
        </w:rPr>
      </w:pPr>
    </w:p>
    <w:p>
      <w:pPr>
        <w:ind w:right="420" w:firstLine="648"/>
        <w:spacing w:after="0" w:line="227" w:lineRule="exact"/>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rather than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Accordingly,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of operations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prospects.</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Borrowings under the Credit Agreement may impact our business and financial condition by:</w:t>
      </w:r>
    </w:p>
    <w:p>
      <w:pPr>
        <w:spacing w:after="0" w:line="162" w:lineRule="exact"/>
        <w:rPr>
          <w:sz w:val="20"/>
          <w:szCs w:val="20"/>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ectPr>
          <w:pgSz w:w="11900" w:h="16838" w:orient="portrait"/>
          <w:cols w:equalWidth="0" w:num="1">
            <w:col w:w="11240"/>
          </w:cols>
          <w:pgMar w:left="320" w:top="121" w:right="339" w:bottom="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 economic downturn which particularly impacts California could have an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76"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carry prepayment risk or, in a rising interest rate environment, may not prepay as quickly as expected.</w:t>
      </w:r>
    </w:p>
    <w:p>
      <w:pPr>
        <w:spacing w:after="0" w:line="17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$40.2 million as of September 30, 2024.</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may, in certain circumstances, invest in private companies or limited partnerships which we believe provide strategic opportunities. We do not intend to devote a significant portion of our investment portfolio to these types of investments.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22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liability and damage our reputation and business.</w:t>
      </w:r>
    </w:p>
    <w:p>
      <w:pPr>
        <w:spacing w:after="0" w:line="229" w:lineRule="exact"/>
        <w:rPr>
          <w:sz w:val="20"/>
          <w:szCs w:val="20"/>
          <w:color w:val="auto"/>
        </w:rPr>
      </w:pPr>
    </w:p>
    <w:p>
      <w:pPr>
        <w:jc w:val="both"/>
        <w:ind w:right="480" w:firstLine="648"/>
        <w:spacing w:after="0" w:line="232" w:lineRule="exact"/>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or other disruptions.</w:t>
      </w:r>
    </w:p>
    <w:p>
      <w:pPr>
        <w:spacing w:after="0" w:line="171"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87" w:lineRule="exact"/>
        <w:rPr>
          <w:sz w:val="20"/>
          <w:szCs w:val="20"/>
          <w:color w:val="auto"/>
        </w:rPr>
      </w:pPr>
    </w:p>
    <w:p>
      <w:pPr>
        <w:ind w:right="200" w:firstLine="648"/>
        <w:spacing w:after="0" w:line="219" w:lineRule="exact"/>
        <w:rPr>
          <w:sz w:val="20"/>
          <w:szCs w:val="20"/>
          <w:color w:val="auto"/>
        </w:rPr>
      </w:pPr>
      <w:r>
        <w:rPr>
          <w:rFonts w:ascii="Times New Roman" w:cs="Times New Roman" w:eastAsia="Times New Roman" w:hAnsi="Times New Roman"/>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or inappropriate access, or other developments will not compromise or breach the technology or other security measures protecting the networks and systems used in connection with our business.</w:t>
      </w:r>
    </w:p>
    <w:p>
      <w:pPr>
        <w:spacing w:after="0" w:line="162" w:lineRule="exact"/>
        <w:rPr>
          <w:sz w:val="20"/>
          <w:szCs w:val="20"/>
          <w:color w:val="auto"/>
        </w:rPr>
      </w:pPr>
    </w:p>
    <w:p>
      <w:pPr>
        <w:ind w:right="12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employ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licensed software for use in our business, and the inability to maintain these licenses, problems with the software we license, or increases to the cost of software licenses could adversely affect our business.</w:t>
      </w:r>
    </w:p>
    <w:p>
      <w:pPr>
        <w:spacing w:after="0" w:line="158" w:lineRule="exact"/>
        <w:rPr>
          <w:sz w:val="20"/>
          <w:szCs w:val="20"/>
          <w:color w:val="auto"/>
        </w:rPr>
      </w:pPr>
    </w:p>
    <w:p>
      <w:pPr>
        <w:ind w:right="40" w:firstLine="648"/>
        <w:spacing w:after="0" w:line="228" w:lineRule="exact"/>
        <w:rPr>
          <w:sz w:val="20"/>
          <w:szCs w:val="20"/>
          <w:color w:val="auto"/>
        </w:rPr>
      </w:pPr>
      <w:r>
        <w:rPr>
          <w:rFonts w:ascii="Times New Roman" w:cs="Times New Roman" w:eastAsia="Times New Roman" w:hAnsi="Times New Roman"/>
          <w:sz w:val="18"/>
          <w:szCs w:val="18"/>
          <w:color w:val="auto"/>
        </w:rPr>
        <w:t>Multiple areas of our business rely on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obtained under licenses from other companies. We anticipate that we will continue to rely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in the future. Unforeseen issues may arise in third-party software platforms which may have an adverse impact on our operations. Integration of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cannot be eliminated, and these risks could negatively affect our business.</w:t>
      </w:r>
    </w:p>
    <w:p>
      <w:pPr>
        <w:spacing w:after="0" w:line="175" w:lineRule="exact"/>
        <w:rPr>
          <w:sz w:val="20"/>
          <w:szCs w:val="20"/>
          <w:color w:val="auto"/>
        </w:rPr>
      </w:pPr>
    </w:p>
    <w:p>
      <w:pPr>
        <w:ind w:right="320" w:firstLine="648"/>
        <w:spacing w:after="0" w:line="219" w:lineRule="exact"/>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control weakness or failure in cloud-based software could adversely affect our business.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use cloud-based third-party software to host applications and for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and evolution of artificial intelligence may impact our business and operations</w:t>
      </w:r>
    </w:p>
    <w:p>
      <w:pPr>
        <w:spacing w:after="0" w:line="22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In the future, we may seek to deploy and/or further rely on technologies such as artificial intelligence or machine learning in operating our business. If we are unable to deploy this technology effectively or if our competitors are better able to deploy this technology our business may be adversely impacted. Our third-party software vendors and service providers are increasing incorporating artificial intelligence into their processes and this may expose us to additional risks should they not be able to incorporate the technology effectively. The evolution and increased reliance on artificial intelligence may exacerbate our information technology and cybersecurity risks. Furthermore, regulations around artificial intelligence continue to evolve and we may be subject to increased regulation around artificial intelligence in the future.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PSIC is subject to extensive regulation in Oregon, its state of domicile, California, where it is commercially domiciled, and to a lesser degree, the other states in which it operates. PESIC is subject to extensive regulation in Arizona, its state of domicile, and to a lesser degree, the other states in which it writes business. Our Bermuda based reinsurance subsidiary, Palomar Specialty Reinsurance Company Bermuda Ltd. (“PSRE”), is subject to regulation in Bermuda.</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51" w:lineRule="exact"/>
        <w:rPr>
          <w:sz w:val="20"/>
          <w:szCs w:val="20"/>
          <w:color w:val="auto"/>
        </w:rPr>
      </w:pPr>
    </w:p>
    <w:p>
      <w:pPr>
        <w:ind w:right="40" w:firstLine="648"/>
        <w:spacing w:after="0" w:line="225" w:lineRule="exact"/>
        <w:rPr>
          <w:sz w:val="20"/>
          <w:szCs w:val="20"/>
          <w:color w:val="auto"/>
        </w:rPr>
      </w:pPr>
      <w:r>
        <w:rPr>
          <w:rFonts w:ascii="Times New Roman" w:cs="Times New Roman" w:eastAsia="Times New Roman" w:hAnsi="Times New Roman"/>
          <w:sz w:val="18"/>
          <w:szCs w:val="18"/>
          <w:color w:val="auto"/>
        </w:rPr>
        <w:t>Our U.S. insurance subsidiaries are subject to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based upon the “risk-based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9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cybersecurity, which may have a material adverse impact on our business.</w:t>
      </w:r>
    </w:p>
    <w:p>
      <w:pPr>
        <w:spacing w:after="0" w:line="15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spacing w:after="0" w:line="183"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42 states. As PSIC grows, its share of any assessments in each state in which it underwrites business on an admitted basis may increase. PSIC paid assessments of $0.2 million in 2023 and paid $5.0 million of assessments for the nine months ended September 30, 2024.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5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20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83"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59"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201" w:lineRule="exact"/>
        <w:rPr>
          <w:sz w:val="20"/>
          <w:szCs w:val="20"/>
          <w:color w:val="auto"/>
        </w:rPr>
      </w:pPr>
    </w:p>
    <w:p>
      <w:pPr>
        <w:ind w:right="80" w:firstLine="648"/>
        <w:spacing w:after="0" w:line="224" w:lineRule="exact"/>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divert the attention of our management and key personnel from our business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PSIC, PESIC, PSRE and Laulima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159" w:lineRule="exact"/>
        <w:rPr>
          <w:sz w:val="20"/>
          <w:szCs w:val="20"/>
          <w:color w:val="auto"/>
        </w:rPr>
      </w:pPr>
    </w:p>
    <w:p>
      <w:pPr>
        <w:ind w:right="40" w:firstLine="648"/>
        <w:spacing w:after="0" w:line="218" w:lineRule="exact"/>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162" w:lineRule="exact"/>
        <w:rPr>
          <w:sz w:val="20"/>
          <w:szCs w:val="20"/>
          <w:color w:val="auto"/>
        </w:rPr>
      </w:pPr>
    </w:p>
    <w:p>
      <w:pPr>
        <w:ind w:right="540" w:firstLine="648"/>
        <w:spacing w:after="0" w:line="238" w:lineRule="exact"/>
        <w:rPr>
          <w:sz w:val="20"/>
          <w:szCs w:val="20"/>
          <w:color w:val="auto"/>
        </w:rPr>
      </w:pPr>
      <w:r>
        <w:rPr>
          <w:rFonts w:ascii="Times New Roman" w:cs="Times New Roman" w:eastAsia="Times New Roman" w:hAnsi="Times New Roman"/>
          <w:sz w:val="18"/>
          <w:szCs w:val="18"/>
          <w:color w:val="auto"/>
        </w:rPr>
        <w:t>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83" w:lineRule="exact"/>
        <w:rPr>
          <w:sz w:val="20"/>
          <w:szCs w:val="20"/>
          <w:color w:val="auto"/>
        </w:rPr>
      </w:pPr>
    </w:p>
    <w:p>
      <w:pPr>
        <w:ind w:left="980" w:right="6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43" w:lineRule="exact"/>
        <w:rPr>
          <w:sz w:val="20"/>
          <w:szCs w:val="20"/>
          <w:color w:val="auto"/>
        </w:rPr>
      </w:pPr>
    </w:p>
    <w:p>
      <w:pPr>
        <w:ind w:right="140"/>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9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w:t>
      </w:r>
    </w:p>
    <w:p>
      <w:pPr>
        <w:spacing w:after="0" w:line="22" w:lineRule="exact"/>
        <w:rPr>
          <w:sz w:val="20"/>
          <w:szCs w:val="20"/>
          <w:color w:val="auto"/>
        </w:rPr>
      </w:pPr>
    </w:p>
    <w:p>
      <w:pPr>
        <w:jc w:val="both"/>
        <w:ind w:right="160"/>
        <w:spacing w:after="0" w:line="218" w:lineRule="exact"/>
        <w:rPr>
          <w:sz w:val="20"/>
          <w:szCs w:val="20"/>
          <w:color w:val="auto"/>
        </w:rPr>
      </w:pPr>
      <w:r>
        <w:rPr>
          <w:rFonts w:ascii="Times New Roman" w:cs="Times New Roman" w:eastAsia="Times New Roman" w:hAnsi="Times New Roman"/>
          <w:sz w:val="18"/>
          <w:szCs w:val="18"/>
          <w:color w:val="auto"/>
        </w:rPr>
        <w:t>requirements of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may also divert management’s attention from other matters that are important to the operation of our business. We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able to conclude on an ongoing basis that we have effective internal control over financial reporting in accordance with Section 404(b) of</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If we conclude that our internal control over financial reporting is not effective, the cost and scope of remediation actions and their effect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operations may be significant. Moreover, any material weaknesses or other deficiencies in our internal control over financial reporting may impede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file timely and accurate reports with the SEC. Any of the above could cause investors to lose confidence in our reported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our common stock listing on Nasdaq to be suspended or terminated, which could have a negative effect on the trading price of our common stock.</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22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9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92"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 exchange rate fluctuations;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takeover provisions in our organizational documents could delay a change in management and limit our share price.</w:t>
      </w:r>
    </w:p>
    <w:p>
      <w:pPr>
        <w:spacing w:after="0" w:line="266"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35" w:lineRule="exact"/>
        <w:rPr>
          <w:sz w:val="20"/>
          <w:szCs w:val="20"/>
          <w:color w:val="auto"/>
        </w:rPr>
      </w:pPr>
    </w:p>
    <w:p>
      <w:pPr>
        <w:ind w:firstLine="648"/>
        <w:spacing w:after="0" w:line="259" w:lineRule="exact"/>
        <w:rPr>
          <w:sz w:val="20"/>
          <w:szCs w:val="20"/>
          <w:color w:val="auto"/>
        </w:rPr>
      </w:pPr>
      <w:r>
        <w:rPr>
          <w:rFonts w:ascii="Times New Roman" w:cs="Times New Roman" w:eastAsia="Times New Roman" w:hAnsi="Times New Roman"/>
          <w:sz w:val="18"/>
          <w:szCs w:val="18"/>
          <w:color w:val="auto"/>
        </w:rPr>
        <w:t>Our charter documents contain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w:t>
      </w:r>
    </w:p>
    <w:p>
      <w:pPr>
        <w:spacing w:after="0" w:line="171"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52"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120"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majority voting to amend provisions in our certificate of incorporation and bylaws;</w:t>
      </w:r>
    </w:p>
    <w:p>
      <w:pPr>
        <w:spacing w:after="0" w:line="252" w:lineRule="exact"/>
        <w:rPr>
          <w:rFonts w:ascii="Times New Roman" w:cs="Times New Roman" w:eastAsia="Times New Roman" w:hAnsi="Times New Roman"/>
          <w:sz w:val="18"/>
          <w:szCs w:val="18"/>
          <w:color w:val="auto"/>
        </w:rPr>
      </w:pPr>
    </w:p>
    <w:p>
      <w:pPr>
        <w:jc w:val="both"/>
        <w:ind w:left="980" w:right="140" w:hanging="324"/>
        <w:spacing w:after="0" w:line="245" w:lineRule="exact"/>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52"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3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62"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252"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5" w:lineRule="exact"/>
        <w:rPr>
          <w:sz w:val="20"/>
          <w:szCs w:val="20"/>
          <w:color w:val="auto"/>
        </w:rPr>
      </w:pPr>
    </w:p>
    <w:p>
      <w:pPr>
        <w:jc w:val="both"/>
        <w:ind w:right="5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During the quarter ended September 30, 2024, none of our directors or officers (as defined in Rule </w:t>
      </w:r>
      <w:r>
        <w:rPr>
          <w:rFonts w:ascii="Times New Roman" w:cs="Times New Roman" w:eastAsia="Times New Roman" w:hAnsi="Times New Roman"/>
          <w:sz w:val="18"/>
          <w:szCs w:val="18"/>
          <w:i w:val="1"/>
          <w:iCs w:val="1"/>
          <w:color w:val="auto"/>
        </w:rPr>
        <w:t>16a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(f) of the Securities Exchange Act of </w:t>
      </w:r>
      <w:r>
        <w:rPr>
          <w:rFonts w:ascii="Times New Roman" w:cs="Times New Roman" w:eastAsia="Times New Roman" w:hAnsi="Times New Roman"/>
          <w:sz w:val="18"/>
          <w:szCs w:val="18"/>
          <w:i w:val="1"/>
          <w:iCs w:val="1"/>
          <w:color w:val="auto"/>
        </w:rPr>
        <w:t>1934</w:t>
      </w:r>
      <w:r>
        <w:rPr>
          <w:rFonts w:ascii="Times New Roman" w:cs="Times New Roman" w:eastAsia="Times New Roman" w:hAnsi="Times New Roman"/>
          <w:sz w:val="18"/>
          <w:szCs w:val="18"/>
          <w:color w:val="auto"/>
        </w:rPr>
        <w:t xml:space="preserve">) adopted, terminated or modified a 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or non-Rule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(as such terms are defined in Item </w:t>
      </w:r>
      <w:r>
        <w:rPr>
          <w:rFonts w:ascii="Times New Roman" w:cs="Times New Roman" w:eastAsia="Times New Roman" w:hAnsi="Times New Roman"/>
          <w:sz w:val="18"/>
          <w:szCs w:val="18"/>
          <w:i w:val="1"/>
          <w:iCs w:val="1"/>
          <w:color w:val="auto"/>
        </w:rPr>
        <w:t>408</w:t>
      </w:r>
      <w:r>
        <w:rPr>
          <w:rFonts w:ascii="Times New Roman" w:cs="Times New Roman" w:eastAsia="Times New Roman" w:hAnsi="Times New Roman"/>
          <w:sz w:val="18"/>
          <w:szCs w:val="18"/>
          <w:color w:val="auto"/>
        </w:rPr>
        <w:t xml:space="preserve"> of Regulation S-K).</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696"/>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4"/>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01"/>
        </w:trPr>
        <w:tc>
          <w:tcPr>
            <w:tcW w:w="1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4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w:t>
            </w:r>
          </w:p>
        </w:tc>
        <w:tc>
          <w:tcPr>
            <w:tcW w:w="254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8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Certifications pursuant to Section 906 of the Sarbanes-Oxley Act of 2002</w:t>
            </w:r>
          </w:p>
        </w:tc>
        <w:tc>
          <w:tcPr>
            <w:tcW w:w="2600" w:type="dxa"/>
            <w:vAlign w:val="bottom"/>
            <w:gridSpan w:val="2"/>
          </w:tcPr>
          <w:p>
            <w:pPr>
              <w:spacing w:after="0"/>
              <w:rPr>
                <w:sz w:val="17"/>
                <w:szCs w:val="17"/>
                <w:color w:val="auto"/>
              </w:rPr>
            </w:pPr>
          </w:p>
        </w:tc>
      </w:tr>
      <w:tr>
        <w:trPr>
          <w:trHeight w:val="65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4600" w:type="dxa"/>
            <w:vAlign w:val="bottom"/>
            <w:gridSpan w:val="3"/>
          </w:tcPr>
          <w:p>
            <w:pPr>
              <w:spacing w:after="0"/>
              <w:rPr>
                <w:sz w:val="24"/>
                <w:szCs w:val="24"/>
                <w:color w:val="auto"/>
              </w:rPr>
            </w:pP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5540" w:right="3360" w:hanging="5532"/>
        <w:spacing w:after="0" w:line="511" w:lineRule="auto"/>
        <w:tabs>
          <w:tab w:leader="none" w:pos="13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(formatted as Inline XBRL and contained in Exhibit 101)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Palomar Holdings, Inc.</w:t>
            </w:r>
          </w:p>
        </w:tc>
      </w:tr>
      <w:tr>
        <w:trPr>
          <w:trHeight w:val="86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Mac Armstrong</w:t>
            </w:r>
          </w:p>
        </w:tc>
      </w:tr>
      <w:tr>
        <w:trPr>
          <w:trHeight w:val="191"/>
        </w:trPr>
        <w:tc>
          <w:tcPr>
            <w:tcW w:w="36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Mac Armstrong</w:t>
            </w:r>
          </w:p>
        </w:tc>
      </w:tr>
      <w:tr>
        <w:trPr>
          <w:trHeight w:val="216"/>
        </w:trPr>
        <w:tc>
          <w:tcPr>
            <w:tcW w:w="3660" w:type="dxa"/>
            <w:vAlign w:val="bottom"/>
          </w:tcPr>
          <w:p>
            <w:pPr>
              <w:spacing w:after="0"/>
              <w:rPr>
                <w:sz w:val="18"/>
                <w:szCs w:val="18"/>
                <w:color w:val="auto"/>
              </w:rPr>
            </w:pPr>
          </w:p>
        </w:tc>
        <w:tc>
          <w:tcPr>
            <w:tcW w:w="75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T. Christopher Uchida</w:t>
            </w:r>
          </w:p>
        </w:tc>
      </w:tr>
      <w:tr>
        <w:trPr>
          <w:trHeight w:val="191"/>
        </w:trPr>
        <w:tc>
          <w:tcPr>
            <w:tcW w:w="36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3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3660" w:type="dxa"/>
            <w:vAlign w:val="bottom"/>
          </w:tcPr>
          <w:p>
            <w:pPr>
              <w:spacing w:after="0"/>
              <w:rPr>
                <w:sz w:val="18"/>
                <w:szCs w:val="18"/>
                <w:color w:val="auto"/>
              </w:rPr>
            </w:pPr>
          </w:p>
        </w:tc>
        <w:tc>
          <w:tcPr>
            <w:tcW w:w="75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32"/>
        </w:trPr>
        <w:tc>
          <w:tcPr>
            <w:tcW w:w="3660" w:type="dxa"/>
            <w:vAlign w:val="bottom"/>
          </w:tcPr>
          <w:p>
            <w:pPr>
              <w:spacing w:after="0"/>
              <w:rPr>
                <w:sz w:val="24"/>
                <w:szCs w:val="24"/>
                <w:color w:val="auto"/>
              </w:rPr>
            </w:pPr>
          </w:p>
        </w:tc>
        <w:tc>
          <w:tcPr>
            <w:tcW w:w="22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73</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23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w:t>
      </w:r>
    </w:p>
    <w:p>
      <w:pPr>
        <w:spacing w:after="0" w:line="9" w:lineRule="exact"/>
        <w:rPr>
          <w:rFonts w:ascii="Times New Roman" w:cs="Times New Roman" w:eastAsia="Times New Roman" w:hAnsi="Times New Roman"/>
          <w:sz w:val="18"/>
          <w:szCs w:val="18"/>
          <w:color w:val="auto"/>
        </w:rPr>
      </w:pPr>
    </w:p>
    <w:p>
      <w:pPr>
        <w:ind w:left="130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57"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460" w:hanging="320"/>
        <w:spacing w:after="0" w:line="250"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140" w:hanging="320"/>
        <w:spacing w:after="0" w:line="250"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20" w:right="4260" w:hanging="5615"/>
        <w:spacing w:after="0" w:line="273" w:lineRule="auto"/>
        <w:tabs>
          <w:tab w:leader="none" w:pos="560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/s/ Mac Armstrong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-144780</wp:posOffset>
            </wp:positionV>
            <wp:extent cx="3566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23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w:t>
      </w:r>
    </w:p>
    <w:p>
      <w:pPr>
        <w:spacing w:after="0" w:line="9" w:lineRule="exact"/>
        <w:rPr>
          <w:rFonts w:ascii="Times New Roman" w:cs="Times New Roman" w:eastAsia="Times New Roman" w:hAnsi="Times New Roman"/>
          <w:sz w:val="18"/>
          <w:szCs w:val="18"/>
          <w:color w:val="auto"/>
        </w:rPr>
      </w:pPr>
    </w:p>
    <w:p>
      <w:pPr>
        <w:ind w:left="130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w:t>
      </w:r>
    </w:p>
    <w:p>
      <w:pPr>
        <w:spacing w:after="0" w:line="27" w:lineRule="exact"/>
        <w:rPr>
          <w:rFonts w:ascii="Times New Roman" w:cs="Times New Roman" w:eastAsia="Times New Roman" w:hAnsi="Times New Roman"/>
          <w:sz w:val="18"/>
          <w:szCs w:val="18"/>
          <w:color w:val="auto"/>
        </w:rPr>
      </w:pPr>
    </w:p>
    <w:p>
      <w:pPr>
        <w:ind w:left="130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3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57"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2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right="460" w:hanging="320"/>
        <w:spacing w:after="0" w:line="260"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7"/>
          <w:szCs w:val="17"/>
          <w:color w:val="auto"/>
        </w:rPr>
        <w:t>/s/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T. Christopher Uchida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76" w:name="page77"/>
    <w:bookmarkEnd w:id="76"/>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September 30, 2024,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26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 Armstrong</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2640" w:type="dxa"/>
            <w:vAlign w:val="bottom"/>
          </w:tcPr>
          <w:p>
            <w:pPr>
              <w:ind w:left="18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6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64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lowerRoman"/>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lvl w:ilvl="1">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04"/>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5"/>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2024-11-06T05:12:20Z</dcterms:created>
  <dcterms:modified xsi:type="dcterms:W3CDTF">2024-11-06T05:12:20Z</dcterms:modified>
</cp:coreProperties>
</file>