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Bradley Daryl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7979 IVANHOE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Palomar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LA JOLLA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715</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6,008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reflects Restricted Stock Units (RSUs) granted to the Reporting Person pursuant to Issuer's 2019 Equity Incentive Plan. Subject to the Reporting Person's continued service, the RSUs shall vest in full upon the earlier to occur of (1) the first anniversary of the Grant Date or (2) the next annual meeting of stockholders of the Company.</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Angela Grant, Attorney-in- </w:t>
      </w:r>
      <w:r>
        <w:rPr>
          <w:rFonts w:ascii="Times New Roman" w:cs="Times New Roman" w:eastAsia="Times New Roman" w:hAnsi="Times New Roman"/>
          <w:sz w:val="34"/>
          <w:szCs w:val="34"/>
          <w:color w:val="0000FF"/>
          <w:vertAlign w:val="subscript"/>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280"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2025-05-27T15:54:08Z</dcterms:created>
  <dcterms:modified xsi:type="dcterms:W3CDTF">2025-05-27T15:54:08Z</dcterms:modified>
</cp:coreProperties>
</file>