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817.xml.htm"/>
      <w:bookmarkStart w:id="1" w:name="ksmarketforms738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Christianson Jon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7979 IVANHOE AVENUE, SUITE 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 JOLLA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Palomar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PLMR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9"/>
        <w:gridCol w:w="925"/>
        <w:gridCol w:w="793"/>
        <w:gridCol w:w="614"/>
        <w:gridCol w:w="347"/>
        <w:gridCol w:w="833"/>
        <w:gridCol w:w="437"/>
        <w:gridCol w:w="1043"/>
        <w:gridCol w:w="1145"/>
        <w:gridCol w:w="98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(RSUs)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67,498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(RSUs)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528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127.7463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66,970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 (RSUs)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1,020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by the Company on behalf of the Reporting Person pursuant to a mandatory sell-to-cover provision in the RSU award agreement required to cover minimum statutory tax withholding obligations that became due upon the RSU vesting event.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2,471 shares purchased pursuant to the Palomar Holdings, Inc. 2019 Employee Stock Purchase Plan (ESPP).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original RSU grant was for 20,396 shares on 11/18/2021. Subject to continuing service with the Company, the restricted stock units shall vest as follows: 4,079 units shall vest on the first year anniversary of the date of the grant; 4,079 units shall vest on the second year anniversary of the date of the grant; 4,078 units shall vest on the third year anniversary of the date of grant; and 1,020 units shall vest quarterly following the third anniversary date of the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Grant,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2607" TargetMode="External"/><Relationship Id="rId5" Type="http://schemas.openxmlformats.org/officeDocument/2006/relationships/hyperlink" Target="http://www.sec.gov/cgi-bin/browse-edgar?action=getcompany&amp;CIK=00017613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732</Words>
  <Characters>3946</Characters>
  <CharactersWithSpaces>4588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