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55.xml.htm"/>
      <w:bookmarkStart w:id="1" w:name="ksmarketforms736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Herve Rodolphe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JOLLA, 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326 shares purchased pursuant to the Palomar Holdings, Inc. 2019 Employee Stock Purchase Plan (ESPP).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automatically sold by the Company on behalf of the Reporting Person pursuant to a mandatory sell-to-cover provision in the RSU award agreement required to cover minimum statutory tax withholding obligations that became due upon the RSU vesting event.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RSU grant was for 3,231 shares on 7/31/2024. Subject to continuing service with the Company, the restricted stock units shall vest as follows: one-third (1/3) shall vest on the first year anniversary of the date of the grant; an additional one-third (1/3) shall vest on the second year anniversary of the date of the grant; and the final one-third (1/3) shall vest on the third year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original RSU grant was for 5,975 shares on 7/31/2024. Subject to continuing service with the Company, the restricted stock units shall vest as follows: one-third (1/3) shall vest on the first year anniversary of the date of the grant; an additional one-third (1/3) shall vest on the second year anniversary of the date of the grant; and the final one-third (1/3) shall vest on the third year anniversary of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Angela Grant,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854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837</Words>
  <Characters>4448</Characters>
  <CharactersWithSpaces>5166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