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960" w:right="1160" w:hanging="498"/>
        <w:spacing w:after="0" w:line="251" w:lineRule="auto"/>
        <w:tabs>
          <w:tab w:leader="none" w:pos="9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June 30,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940" w:right="1160" w:hanging="478"/>
        <w:spacing w:after="0" w:line="271" w:lineRule="auto"/>
        <w:tabs>
          <w:tab w:leader="none" w:pos="9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001-38873</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Palomar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520" w:type="dxa"/>
            <w:vAlign w:val="bottom"/>
            <w:gridSpan w:val="3"/>
          </w:tcPr>
          <w:p>
            <w:pPr>
              <w:jc w:val="right"/>
              <w:ind w:right="2233"/>
              <w:spacing w:after="0"/>
              <w:rPr>
                <w:sz w:val="20"/>
                <w:szCs w:val="20"/>
                <w:color w:val="auto"/>
              </w:rPr>
            </w:pPr>
            <w:r>
              <w:rPr>
                <w:rFonts w:ascii="Times New Roman" w:cs="Times New Roman" w:eastAsia="Times New Roman" w:hAnsi="Times New Roman"/>
                <w:sz w:val="18"/>
                <w:szCs w:val="18"/>
                <w:b w:val="1"/>
                <w:bCs w:val="1"/>
                <w:color w:val="auto"/>
              </w:rPr>
              <w:t>83-3972551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4580" w:type="dxa"/>
            <w:vAlign w:val="bottom"/>
            <w:tcBorders>
              <w:top w:val="single" w:sz="8" w:color="auto"/>
            </w:tcBorders>
          </w:tcPr>
          <w:p>
            <w:pPr>
              <w:jc w:val="center"/>
              <w:ind w:left="811"/>
              <w:spacing w:after="0" w:line="150"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(I.R.S. Employer Identification No.)</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9"/>
              </w:rPr>
              <w:t>7979 Ivanhoe Avenue, Suite 500</w:t>
            </w:r>
          </w:p>
        </w:tc>
        <w:tc>
          <w:tcPr>
            <w:tcW w:w="6520" w:type="dxa"/>
            <w:vAlign w:val="bottom"/>
            <w:gridSpan w:val="3"/>
            <w:vMerge w:val="restart"/>
          </w:tcPr>
          <w:p>
            <w:pPr>
              <w:jc w:val="right"/>
              <w:ind w:right="2433"/>
              <w:spacing w:after="0"/>
              <w:rPr>
                <w:sz w:val="20"/>
                <w:szCs w:val="20"/>
                <w:color w:val="auto"/>
              </w:rPr>
            </w:pPr>
            <w:r>
              <w:rPr>
                <w:rFonts w:ascii="Times New Roman" w:cs="Times New Roman" w:eastAsia="Times New Roman" w:hAnsi="Times New Roman"/>
                <w:sz w:val="18"/>
                <w:szCs w:val="18"/>
                <w:b w:val="1"/>
                <w:bCs w:val="1"/>
                <w:color w:val="auto"/>
              </w:rPr>
              <w:t>92037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580" w:type="dxa"/>
            <w:vAlign w:val="bottom"/>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65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580" w:type="dxa"/>
            <w:vAlign w:val="bottom"/>
            <w:tcBorders>
              <w:top w:val="single" w:sz="8" w:color="auto"/>
            </w:tcBorders>
          </w:tcPr>
          <w:p>
            <w:pPr>
              <w:jc w:val="center"/>
              <w:ind w:left="8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right"/>
              <w:ind w:right="4913"/>
              <w:spacing w:after="0"/>
              <w:rPr>
                <w:sz w:val="20"/>
                <w:szCs w:val="20"/>
                <w:color w:val="auto"/>
              </w:rPr>
            </w:pPr>
            <w:r>
              <w:rPr>
                <w:rFonts w:ascii="Times New Roman" w:cs="Times New Roman" w:eastAsia="Times New Roman" w:hAnsi="Times New Roman"/>
                <w:sz w:val="18"/>
                <w:szCs w:val="18"/>
                <w:b w:val="1"/>
                <w:bCs w:val="1"/>
                <w:color w:val="auto"/>
              </w:rPr>
              <w:t>(619) 567-5290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145"/>
        </w:trPr>
        <w:tc>
          <w:tcPr>
            <w:tcW w:w="6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r>
      <w:tr>
        <w:trPr>
          <w:trHeight w:val="190"/>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PLMR</w:t>
            </w:r>
          </w:p>
        </w:tc>
        <w:tc>
          <w:tcPr>
            <w:tcW w:w="4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17" w:lineRule="exact"/>
        <w:rPr>
          <w:sz w:val="24"/>
          <w:szCs w:val="24"/>
          <w:color w:val="auto"/>
        </w:rPr>
      </w:pPr>
    </w:p>
    <w:p>
      <w:pPr>
        <w:jc w:val="both"/>
        <w:ind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right="20"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6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5"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440" w:gutter="0" w:footer="0" w:header="0"/>
          <w:type w:val="continuous"/>
        </w:sectPr>
      </w:pPr>
    </w:p>
    <w:p>
      <w:pPr>
        <w:spacing w:after="0" w:line="177" w:lineRule="exact"/>
        <w:rPr>
          <w:sz w:val="24"/>
          <w:szCs w:val="24"/>
          <w:color w:val="auto"/>
        </w:rPr>
      </w:pPr>
    </w:p>
    <w:p>
      <w:pPr>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760" w:right="18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the registrant’s common shares outstanding at July 31, 2025: 26,783,465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340" w:type="dxa"/>
            <w:vAlign w:val="bottom"/>
            <w:gridSpan w:val="10"/>
            <w:vMerge w:val="restart"/>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tcBorders>
              <w:bottom w:val="single" w:sz="8" w:color="0000EE"/>
            </w:tcBorders>
            <w:gridSpan w:val="14"/>
            <w:vMerge w:val="continue"/>
          </w:tcPr>
          <w:p>
            <w:pPr>
              <w:spacing w:after="0"/>
              <w:rPr>
                <w:sz w:val="13"/>
                <w:szCs w:val="13"/>
                <w:color w:val="auto"/>
              </w:rPr>
            </w:pPr>
          </w:p>
        </w:tc>
        <w:tc>
          <w:tcPr>
            <w:tcW w:w="7340" w:type="dxa"/>
            <w:vAlign w:val="bottom"/>
            <w:gridSpan w:val="10"/>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8140" w:type="dxa"/>
            <w:vAlign w:val="bottom"/>
            <w:gridSpan w:val="15"/>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Balance Sheets at June 30, 2025 (Unaudited) and December 31, 2024</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20" w:type="dxa"/>
            <w:vAlign w:val="bottom"/>
            <w:tcBorders>
              <w:top w:val="single" w:sz="8" w:color="0000EE"/>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w w:val="98"/>
              </w:rPr>
              <w:t>Condensed Consolidated Statements of Income and Comprehensive Income (Loss) (Unaudited)</w:t>
            </w:r>
          </w:p>
        </w:tc>
        <w:tc>
          <w:tcPr>
            <w:tcW w:w="2820" w:type="dxa"/>
            <w:vAlign w:val="bottom"/>
            <w:gridSpan w:val="4"/>
          </w:tcPr>
          <w:p>
            <w:pPr>
              <w:ind w:left="100"/>
              <w:spacing w:after="0" w:line="169" w:lineRule="exact"/>
              <w:rPr>
                <w:sz w:val="20"/>
                <w:szCs w:val="20"/>
                <w:color w:val="auto"/>
              </w:rPr>
            </w:pPr>
            <w:r>
              <w:rPr>
                <w:rFonts w:ascii="Times New Roman" w:cs="Times New Roman" w:eastAsia="Times New Roman" w:hAnsi="Times New Roman"/>
                <w:sz w:val="18"/>
                <w:szCs w:val="18"/>
                <w:color w:val="0000FF"/>
              </w:rPr>
              <w:t>for the Three and Six Months Ended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0" w:type="dxa"/>
            <w:vAlign w:val="bottom"/>
            <w:tcBorders>
              <w:top w:val="single" w:sz="8" w:color="0000EE"/>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June 30, 2025 and 2024</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tcBorders>
              <w:top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3"/>
              </w:rPr>
              <w:t>Condensed Consolidated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gridSpan w:val="12"/>
          </w:tcPr>
          <w:p>
            <w:pPr>
              <w:ind w:left="60"/>
              <w:spacing w:after="0" w:line="169" w:lineRule="exact"/>
              <w:rPr>
                <w:sz w:val="20"/>
                <w:szCs w:val="20"/>
                <w:color w:val="auto"/>
              </w:rPr>
            </w:pPr>
            <w:r>
              <w:rPr>
                <w:rFonts w:ascii="Times New Roman" w:cs="Times New Roman" w:eastAsia="Times New Roman" w:hAnsi="Times New Roman"/>
                <w:sz w:val="18"/>
                <w:szCs w:val="18"/>
                <w:color w:val="0000FF"/>
              </w:rPr>
              <w:t>Statements of Changes in Stockholders’ Equity (Unaudited) for the Three and Six Months Ended June 30,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520" w:type="dxa"/>
            <w:vAlign w:val="bottom"/>
            <w:tcBorders>
              <w:top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2025 and 2024</w:t>
            </w:r>
          </w:p>
        </w:tc>
        <w:tc>
          <w:tcPr>
            <w:tcW w:w="12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Condensed</w:t>
            </w:r>
          </w:p>
        </w:tc>
        <w:tc>
          <w:tcPr>
            <w:tcW w:w="8580" w:type="dxa"/>
            <w:vAlign w:val="bottom"/>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Six Months Ended June 30, 2025 and 2024</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80" w:type="dxa"/>
            <w:vAlign w:val="bottom"/>
            <w:tcBorders>
              <w:top w:val="single" w:sz="8" w:color="0000EE"/>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3"/>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4900" w:type="dxa"/>
            <w:vAlign w:val="bottom"/>
            <w:tcBorders>
              <w:top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w:t>
            </w:r>
          </w:p>
        </w:tc>
        <w:tc>
          <w:tcPr>
            <w:tcW w:w="47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Results of Operations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80" w:type="dxa"/>
            <w:vAlign w:val="bottom"/>
            <w:gridSpan w:val="5"/>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EE"/>
            </w:tcBorders>
            <w:gridSpan w:val="5"/>
          </w:tcPr>
          <w:p>
            <w:pPr>
              <w:spacing w:after="0"/>
              <w:rPr>
                <w:sz w:val="14"/>
                <w:szCs w:val="14"/>
                <w:color w:val="auto"/>
              </w:rPr>
            </w:pPr>
          </w:p>
        </w:tc>
        <w:tc>
          <w:tcPr>
            <w:tcW w:w="5280" w:type="dxa"/>
            <w:vAlign w:val="bottom"/>
            <w:gridSpan w:val="7"/>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3"/>
          </w:tcPr>
          <w:p>
            <w:pPr>
              <w:spacing w:after="0"/>
              <w:rPr>
                <w:sz w:val="14"/>
                <w:szCs w:val="14"/>
                <w:color w:val="auto"/>
              </w:rPr>
            </w:pPr>
          </w:p>
        </w:tc>
        <w:tc>
          <w:tcPr>
            <w:tcW w:w="560" w:type="dxa"/>
            <w:vAlign w:val="bottom"/>
            <w:gridSpan w:val="4"/>
          </w:tcPr>
          <w:p>
            <w:pPr>
              <w:spacing w:after="0"/>
              <w:rPr>
                <w:sz w:val="14"/>
                <w:szCs w:val="14"/>
                <w:color w:val="auto"/>
              </w:rPr>
            </w:pPr>
          </w:p>
        </w:tc>
        <w:tc>
          <w:tcPr>
            <w:tcW w:w="2020" w:type="dxa"/>
            <w:vAlign w:val="bottom"/>
          </w:tcPr>
          <w:p>
            <w:pPr>
              <w:spacing w:after="0"/>
              <w:rPr>
                <w:sz w:val="14"/>
                <w:szCs w:val="14"/>
                <w:color w:val="auto"/>
              </w:rPr>
            </w:pP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4"/>
              </w:rPr>
              <w:t>Unregistered</w:t>
            </w:r>
          </w:p>
        </w:tc>
        <w:tc>
          <w:tcPr>
            <w:tcW w:w="8740" w:type="dxa"/>
            <w:vAlign w:val="bottom"/>
            <w:gridSpan w:val="19"/>
          </w:tcPr>
          <w:p>
            <w:pPr>
              <w:ind w:left="60"/>
              <w:spacing w:after="0" w:line="169"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20" w:type="dxa"/>
            <w:vAlign w:val="bottom"/>
            <w:gridSpan w:val="9"/>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Other Information</w:t>
            </w:r>
          </w:p>
        </w:tc>
        <w:tc>
          <w:tcPr>
            <w:tcW w:w="7880" w:type="dxa"/>
            <w:vAlign w:val="bottom"/>
            <w:gridSpan w:val="13"/>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Exhibits</w:t>
            </w:r>
          </w:p>
        </w:tc>
        <w:tc>
          <w:tcPr>
            <w:tcW w:w="8340" w:type="dxa"/>
            <w:vAlign w:val="bottom"/>
            <w:gridSpan w:val="17"/>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top w:val="single" w:sz="8" w:color="0000EE"/>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76"/>
              </w:rPr>
              <w:t>Signatures</w:t>
            </w:r>
          </w:p>
        </w:tc>
        <w:tc>
          <w:tcPr>
            <w:tcW w:w="160" w:type="dxa"/>
            <w:vAlign w:val="bottom"/>
            <w:tcBorders>
              <w:bottom w:val="single" w:sz="8" w:color="0000EE"/>
            </w:tcBorders>
          </w:tcPr>
          <w:p>
            <w:pPr>
              <w:spacing w:after="0"/>
              <w:rPr>
                <w:sz w:val="14"/>
                <w:szCs w:val="14"/>
                <w:color w:val="auto"/>
              </w:rPr>
            </w:pPr>
          </w:p>
        </w:tc>
        <w:tc>
          <w:tcPr>
            <w:tcW w:w="8880" w:type="dxa"/>
            <w:vAlign w:val="bottom"/>
            <w:gridSpan w:val="20"/>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gridSpan w:val="17"/>
          </w:tcPr>
          <w:p>
            <w:pPr>
              <w:jc w:val="center"/>
              <w:ind w:left="461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88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13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7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7"/>
        </w:trPr>
        <w:tc>
          <w:tcPr>
            <w:tcW w:w="762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$1,130,737 in 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$973,330 in 2024)</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1,113,366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939,046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securities, at fair value (cost: $38,486 in 2025; $32,987 in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2,277</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12,405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5,863</w:t>
            </w:r>
          </w:p>
        </w:tc>
      </w:tr>
      <w:tr>
        <w:trPr>
          <w:trHeight w:val="18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1,174,993</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987,715</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81,297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80,438</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10,180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8,440</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Premiums receivable</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490,240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305,724</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116,356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94,881</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37,397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47,076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399,471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348,083</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unearned premiums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332,970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276,237</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120,740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91,086</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3,063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8,768</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w:t>
            </w:r>
          </w:p>
        </w:tc>
      </w:tr>
      <w:tr>
        <w:trPr>
          <w:trHeight w:val="189"/>
        </w:trPr>
        <w:tc>
          <w:tcPr>
            <w:tcW w:w="762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Goodwill and intangible assets, net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62,837</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13,242</w:t>
            </w:r>
          </w:p>
        </w:tc>
      </w:tr>
      <w:tr>
        <w:trPr>
          <w:trHeight w:val="183"/>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2,832,491</w:t>
            </w:r>
          </w:p>
        </w:tc>
        <w:tc>
          <w:tcPr>
            <w:tcW w:w="34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3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62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2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153,760</w:t>
            </w:r>
          </w:p>
        </w:tc>
        <w:tc>
          <w:tcPr>
            <w:tcW w:w="34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70,079</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598,656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503,382</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Unearned premiums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900,987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741,692</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premium payable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293,967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190,168</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Funds held under reinsurance treaty</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37,914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27,869</w:t>
            </w:r>
          </w:p>
        </w:tc>
      </w:tr>
      <w:tr>
        <w:trPr>
          <w:trHeight w:val="189"/>
        </w:trPr>
        <w:tc>
          <w:tcPr>
            <w:tcW w:w="7620" w:type="dxa"/>
            <w:vAlign w:val="bottom"/>
            <w:tcBorders>
              <w:bottom w:val="single" w:sz="8" w:color="CFF0FC"/>
            </w:tcBorders>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1,985,294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1,533,190</w:t>
            </w: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7"/>
        </w:trPr>
        <w:tc>
          <w:tcPr>
            <w:tcW w:w="762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762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26,777,198 and 26,529,402 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21"/>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509,161</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493,656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(13,633)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(26,845)</w:t>
            </w:r>
          </w:p>
        </w:tc>
      </w:tr>
      <w:tr>
        <w:trPr>
          <w:trHeight w:val="189"/>
        </w:trPr>
        <w:tc>
          <w:tcPr>
            <w:tcW w:w="762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351,666</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262,216</w:t>
            </w:r>
          </w:p>
        </w:tc>
      </w:tr>
      <w:tr>
        <w:trPr>
          <w:trHeight w:val="182"/>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847,197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729,030</w:t>
            </w:r>
          </w:p>
        </w:tc>
      </w:tr>
      <w:tr>
        <w:trPr>
          <w:trHeight w:val="20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2,832,491</w:t>
            </w:r>
          </w:p>
        </w:tc>
        <w:tc>
          <w:tcPr>
            <w:tcW w:w="34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380" w:type="dxa"/>
            <w:vAlign w:val="bottom"/>
            <w:tcBorders>
              <w:top w:val="single" w:sz="8" w:color="CFF0FC"/>
            </w:tcBorders>
            <w:shd w:val="clear" w:color="auto" w:fill="CFF0FC"/>
          </w:tcPr>
          <w:p>
            <w:pPr>
              <w:spacing w:after="0" w:line="20" w:lineRule="exact"/>
              <w:rPr>
                <w:sz w:val="1"/>
                <w:szCs w:val="1"/>
                <w:color w:val="auto"/>
              </w:rPr>
            </w:pPr>
          </w:p>
        </w:tc>
        <w:tc>
          <w:tcPr>
            <w:tcW w:w="6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-2485390</wp:posOffset>
            </wp:positionV>
            <wp:extent cx="111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-1370965</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50"/>
        </w:trPr>
        <w:tc>
          <w:tcPr>
            <w:tcW w:w="1380" w:type="dxa"/>
            <w:vAlign w:val="bottom"/>
            <w:tcBorders>
              <w:top w:val="single" w:sz="8" w:color="0000FF"/>
            </w:tcBorders>
          </w:tcPr>
          <w:p>
            <w:pPr>
              <w:spacing w:after="0"/>
              <w:rPr>
                <w:sz w:val="24"/>
                <w:szCs w:val="24"/>
                <w:color w:val="auto"/>
              </w:rPr>
            </w:pPr>
          </w:p>
        </w:tc>
        <w:tc>
          <w:tcPr>
            <w:tcW w:w="5920" w:type="dxa"/>
            <w:vAlign w:val="bottom"/>
            <w:gridSpan w:val="5"/>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840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(Unaudited)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94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64"/>
        </w:trPr>
        <w:tc>
          <w:tcPr>
            <w:tcW w:w="1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5"/>
        </w:trPr>
        <w:tc>
          <w:tcPr>
            <w:tcW w:w="1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6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496,288</w:t>
            </w:r>
          </w:p>
        </w:tc>
        <w:tc>
          <w:tcPr>
            <w:tcW w:w="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385,184</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938,452</w:t>
            </w:r>
          </w:p>
        </w:tc>
        <w:tc>
          <w:tcPr>
            <w:tcW w:w="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753,262</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(266,506)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(209,181)</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(497,251)</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(437,352)</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229,782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176,003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441,201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315,910</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unearned premiums</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(49,824)</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(53,718)</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(97,172)</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(85,759)</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179,958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122,285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344,029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230,151</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13,370</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7,960</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25,441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15,098</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3,034</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1,677</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2,507</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1,320</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203,311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131,069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377,945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249,603</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46,183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84,927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57,268</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51,637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35,806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97,996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67,604</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45,525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31,233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81,258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56,036</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225</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965</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143,431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97,695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264,352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181,873</w:t>
            </w:r>
          </w:p>
        </w:tc>
      </w:tr>
      <w:tr>
        <w:trPr>
          <w:trHeight w:val="189"/>
        </w:trPr>
        <w:tc>
          <w:tcPr>
            <w:tcW w:w="5600" w:type="dxa"/>
            <w:vAlign w:val="bottom"/>
            <w:gridSpan w:val="2"/>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59,880</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33,374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113,593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67,730</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13,352</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7,645</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24,143</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15,619</w:t>
            </w:r>
          </w:p>
        </w:tc>
      </w:tr>
      <w:tr>
        <w:trPr>
          <w:trHeight w:val="223"/>
        </w:trPr>
        <w:tc>
          <w:tcPr>
            <w:tcW w:w="560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46,528</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25,729</w:t>
            </w:r>
          </w:p>
        </w:tc>
        <w:tc>
          <w:tcPr>
            <w:tcW w:w="40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89,450</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52,111</w:t>
            </w:r>
          </w:p>
        </w:tc>
      </w:tr>
      <w:tr>
        <w:trPr>
          <w:trHeight w:val="169"/>
        </w:trPr>
        <w:tc>
          <w:tcPr>
            <w:tcW w:w="560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(losses) on securities available for sale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3,009</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(1,550)</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13,213</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(4,064)</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comprehensive income</w:t>
            </w:r>
          </w:p>
        </w:tc>
        <w:tc>
          <w:tcPr>
            <w:tcW w:w="22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49,537</w:t>
            </w:r>
          </w:p>
        </w:tc>
        <w:tc>
          <w:tcPr>
            <w:tcW w:w="4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24,179</w:t>
            </w:r>
          </w:p>
        </w:tc>
        <w:tc>
          <w:tcPr>
            <w:tcW w:w="4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102,663</w:t>
            </w:r>
          </w:p>
        </w:tc>
        <w:tc>
          <w:tcPr>
            <w:tcW w:w="4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48,047</w:t>
            </w:r>
          </w:p>
        </w:tc>
      </w:tr>
      <w:tr>
        <w:trPr>
          <w:trHeight w:val="20"/>
        </w:trPr>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60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2.09</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CFF0FC"/>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3.24</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2.04</w:t>
            </w:r>
          </w:p>
        </w:tc>
      </w:tr>
      <w:tr>
        <w:trPr>
          <w:trHeight w:val="189"/>
        </w:trPr>
        <w:tc>
          <w:tcPr>
            <w:tcW w:w="56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26,756,095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24,946,987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26,707,371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24,904,677</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27,628,733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25,617,916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27,568,913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25,554,445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-3222625</wp:posOffset>
            </wp:positionV>
            <wp:extent cx="94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-3222625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-3222625</wp:posOffset>
            </wp:positionV>
            <wp:extent cx="94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-2973705</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-2973705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-2973705</wp:posOffset>
            </wp:positionV>
            <wp:extent cx="94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-2485390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-2485390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-2485390</wp:posOffset>
            </wp:positionV>
            <wp:extent cx="94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-1757045</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-1757045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-1757045</wp:posOffset>
            </wp:positionV>
            <wp:extent cx="94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-1259205</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-1242695</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-1259205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-1242695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-1259205</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-1242695</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-993775</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-993775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-993775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3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754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Comprehensi</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80" w:type="dxa"/>
            <w:vAlign w:val="bottom"/>
            <w:gridSpan w:val="2"/>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26,529,402</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493,656</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(26,845)</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262,216</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729,030</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10,203</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199,420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Offering costs (related to prior year offering)</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2025</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26,735,132</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501,950</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(16,642)</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305,138</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790,449</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3,009</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2025</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26,777,198</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509,161</w:t>
            </w:r>
          </w:p>
        </w:tc>
        <w:tc>
          <w:tcPr>
            <w:tcW w:w="2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(13,633)</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351,666</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847,197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-2339340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-2339340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-2339340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-2339340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-2339340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-1122045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-1122045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-1122045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-1122045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-1122045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-153670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-153670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-153670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-153670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13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4"/>
                <w:szCs w:val="24"/>
                <w:color w:val="auto"/>
              </w:rPr>
            </w:pPr>
          </w:p>
        </w:tc>
        <w:tc>
          <w:tcPr>
            <w:tcW w:w="754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24"/>
                <w:szCs w:val="24"/>
                <w:color w:val="auto"/>
              </w:rPr>
            </w:pPr>
          </w:p>
        </w:tc>
        <w:tc>
          <w:tcPr>
            <w:tcW w:w="11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6"/>
                <w:szCs w:val="16"/>
                <w:color w:val="auto"/>
              </w:rPr>
            </w:pPr>
          </w:p>
        </w:tc>
        <w:tc>
          <w:tcPr>
            <w:tcW w:w="1160" w:type="dxa"/>
            <w:vAlign w:val="bottom"/>
            <w:gridSpan w:val="2"/>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80" w:type="dxa"/>
            <w:vAlign w:val="bottom"/>
            <w:gridSpan w:val="2"/>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24,772,987</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350,597</w:t>
            </w:r>
          </w:p>
        </w:tc>
        <w:tc>
          <w:tcPr>
            <w:tcW w:w="2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(23,991)</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144,643</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471,252</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138,267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26,382</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26,382</w:t>
            </w: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24,921,060</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357,135</w:t>
            </w:r>
          </w:p>
        </w:tc>
        <w:tc>
          <w:tcPr>
            <w:tcW w:w="2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(26,505)</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171,025</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501,658</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63,578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2024</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24,984,638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363,904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(28,055)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196,754</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532,606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-1979295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-1979295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-1979295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-1979295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-1979295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-1010920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-1010920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-1010920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-1010920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-1010920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-153670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-153670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-153670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-153670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925"/>
        </w:trPr>
        <w:tc>
          <w:tcPr>
            <w:tcW w:w="1380" w:type="dxa"/>
            <w:vAlign w:val="bottom"/>
            <w:tcBorders>
              <w:top w:val="single" w:sz="8" w:color="0000FF"/>
            </w:tcBorders>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82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24"/>
                <w:szCs w:val="24"/>
                <w:color w:val="auto"/>
              </w:rPr>
            </w:pPr>
          </w:p>
        </w:tc>
      </w:tr>
      <w:tr>
        <w:trPr>
          <w:trHeight w:val="225"/>
        </w:trPr>
        <w:tc>
          <w:tcPr>
            <w:tcW w:w="138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74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208,061</w:t>
            </w:r>
          </w:p>
        </w:tc>
        <w:tc>
          <w:tcPr>
            <w:tcW w:w="760" w:type="dxa"/>
            <w:vAlign w:val="bottom"/>
            <w:gridSpan w:val="2"/>
          </w:tcPr>
          <w:p>
            <w:pPr>
              <w:jc w:val="right"/>
              <w:ind w:righ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88,252</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(3,076)</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(2,848)</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fixed maturity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(629,766)</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(235,549)</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Purchases of equity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(10,261)</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(202)</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492,146</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187,217</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of equity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12,956</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9,014</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(7,035)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 in limited partnerships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(6,089)</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(2,641)</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(61,509)</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46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(212,698)</w:t>
            </w: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(45,003)</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(payments on) proceeds from line of credit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(52,600)</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Offering costs (related to prior year offering)</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434</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3,266</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r>
      <w:tr>
        <w:trPr>
          <w:trHeight w:val="189"/>
        </w:trPr>
        <w:tc>
          <w:tcPr>
            <w:tcW w:w="746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Policy holder contribution to surplus</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1,752</w:t>
            </w:r>
          </w:p>
        </w:tc>
        <w:tc>
          <w:tcPr>
            <w:tcW w:w="1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1,116</w:t>
            </w:r>
          </w:p>
        </w:tc>
      </w:tr>
      <w:tr>
        <w:trPr>
          <w:trHeight w:val="183"/>
        </w:trPr>
        <w:tc>
          <w:tcPr>
            <w:tcW w:w="746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5,413</w:t>
            </w: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(47,082)</w:t>
            </w:r>
          </w:p>
        </w:tc>
      </w:tr>
      <w:tr>
        <w:trPr>
          <w:trHeight w:val="183"/>
        </w:trPr>
        <w:tc>
          <w:tcPr>
            <w:tcW w:w="746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776</w:t>
            </w: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(3,833)</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51,852</w:t>
            </w:r>
          </w:p>
        </w:tc>
      </w:tr>
      <w:tr>
        <w:trPr>
          <w:trHeight w:val="22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4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81,315</w:t>
            </w:r>
          </w:p>
        </w:tc>
        <w:tc>
          <w:tcPr>
            <w:tcW w:w="760" w:type="dxa"/>
            <w:vAlign w:val="bottom"/>
            <w:gridSpan w:val="2"/>
            <w:shd w:val="clear" w:color="auto" w:fill="CFF0FC"/>
          </w:tcPr>
          <w:p>
            <w:pPr>
              <w:jc w:val="right"/>
              <w:ind w:right="5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48,019</w:t>
            </w:r>
          </w:p>
        </w:tc>
      </w:tr>
      <w:tr>
        <w:trPr>
          <w:trHeight w:val="170"/>
        </w:trPr>
        <w:tc>
          <w:tcPr>
            <w:tcW w:w="746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28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paid for income taxes</w:t>
            </w:r>
          </w:p>
        </w:tc>
        <w:tc>
          <w:tcPr>
            <w:tcW w:w="740" w:type="dxa"/>
            <w:vAlign w:val="bottom"/>
            <w:gridSpan w:val="2"/>
            <w:shd w:val="clear" w:color="auto" w:fill="CFF0FC"/>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24,717</w:t>
            </w:r>
          </w:p>
        </w:tc>
        <w:tc>
          <w:tcPr>
            <w:tcW w:w="760" w:type="dxa"/>
            <w:vAlign w:val="bottom"/>
            <w:gridSpan w:val="2"/>
            <w:shd w:val="clear" w:color="auto" w:fill="CFF0FC"/>
          </w:tcPr>
          <w:p>
            <w:pPr>
              <w:jc w:val="right"/>
              <w:ind w:righ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23,728</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-919480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-414020</wp:posOffset>
            </wp:positionV>
            <wp:extent cx="111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-396875</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8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8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8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81,297</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80,438</w:t>
            </w:r>
          </w:p>
        </w:tc>
      </w:tr>
      <w:tr>
        <w:trPr>
          <w:trHeight w:val="189"/>
        </w:trPr>
        <w:tc>
          <w:tcPr>
            <w:tcW w:w="8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223"/>
        </w:trPr>
        <w:tc>
          <w:tcPr>
            <w:tcW w:w="81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81,315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80,539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ind w:right="7180" w:firstLine="8"/>
        <w:spacing w:after="0" w:line="45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domiciled reinsurance company, Palomar Specialty Reinsurance Company Bermuda Ltd. (“PSRE”), an Arizona domiciled surplus lines insurance company, Palomar Excess and Surplus Insurance Company (“PESIC”), a California domiciled property and casualty insurance agency, Palomar Insurance Agency, Inc., DBA Palomar General Insurance Agency (“PGIA”), a Delaware-incorporated management company, Palomar Underwriters Exchange Organization, Inc. (“PUEO”), that provides services to a Hawaii domiciled reciprocal exchange, Laulima Exchange (“Laulima”), as its attorney-in-fact, a New Jersey domiciled insurance carrier specializing in surety bonds, First Indemnity of America Insurance Co. (“FIA”) and a Delaware-incorporated insurance management company, Palomar Crop Insurance Services, Inc. (“PCIS”).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The Company has a single operating segment, the property and casualty insurance business. The Company’s chief operating decision maker (“CODM”) is the Chief Executive Officer. The significant segment expenses provided to the CODM are consistent with the categories shown in the Company’s Condensed Consolidated Statements of Income and Comprehensive Income and there are no other segment items used by the CODM. The CODM reviews the Company’s revenue, expenses and net income as reported under U.S. generally accepted accounting principles (“GAAP”), which is the primary measure of segment profit or loss. The CODM reviews these measures, comparing them to prior periods and expectations, and makes resource allocation decisions based on the analysis. While the Company’s CODM also reviews the revenue streams attributable to individual products, operations are managed, resources are allocated, and financial performance is evaluated on a consolidated basis.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right="80" w:firstLine="749"/>
        <w:spacing w:after="0" w:line="218"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for interim financial information and include the accounts of the Company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The condensed consolidated financial statements also include the accounts of Laulima, as Laulima is a variable interest entity (“VIE”) for which the Company is the primary beneficiary.</w:t>
      </w:r>
    </w:p>
    <w:p>
      <w:pPr>
        <w:spacing w:after="0" w:line="144"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2024, filed with the SEC on February 25, 2025 (the “2024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June 30, 2025.</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 (“ASU 2023-09”)</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beginning after December 15, 2024. The Company will adopt this guidance beginning with the Annual Report on Form 10-K for the year ending December 31, 2025 and the adoption is not expected to have a significant impact on the Company’s required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Expenses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No.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 (“ASU 2023-03”)</w:t>
      </w:r>
      <w:r>
        <w:rPr>
          <w:rFonts w:ascii="Times New Roman" w:cs="Times New Roman" w:eastAsia="Times New Roman" w:hAnsi="Times New Roman"/>
          <w:sz w:val="18"/>
          <w:szCs w:val="18"/>
          <w:color w:val="auto"/>
        </w:rPr>
        <w:t>, which will require</w:t>
      </w:r>
    </w:p>
    <w:p>
      <w:pPr>
        <w:spacing w:after="0" w:line="1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34"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20,635</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20,338</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19,832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18,372</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19,406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16,973</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588,794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5,904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(11,863)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582,835</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482,070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1,130,737</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9,324</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(26,695)</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c>
          <w:tcPr>
            <w:tcW w:w="0" w:type="dxa"/>
            <w:vAlign w:val="bottom"/>
          </w:tcPr>
          <w:p>
            <w:pPr>
              <w:spacing w:after="0"/>
              <w:rPr>
                <w:sz w:val="1"/>
                <w:szCs w:val="1"/>
                <w:color w:val="auto"/>
              </w:rPr>
            </w:pPr>
          </w:p>
        </w:tc>
      </w:tr>
      <w:tr>
        <w:trPr>
          <w:trHeight w:val="336"/>
        </w:trPr>
        <w:tc>
          <w:tcPr>
            <w:tcW w:w="45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33,449</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(649)</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10,606</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30,283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492,395</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(18,349)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406,597</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(13,668)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973,330</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3,217</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(37,257)</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(244)</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-1636395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-1619250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-1636395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-1619250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-1636395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-1619250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-1636395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-1619250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17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As of June 30, 2025, the Company held 491 fixed maturity securities in an unrealized loss position with a total estimated fair value of $495.2 million and total gross unrealized losses of $26.7 million. As of December 31, 2024, the Company held 595 fixed maturity securities in an unrealized loss position with a total estimated fair value of $664.0 million and total gross unrealized losses of $37.3 million.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June 30, 2025 and December 31, 2024,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551"/>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7,152</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10,029</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(345)</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17,181</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7,358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8,069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15,427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111,899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(3,475)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143,214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(8,388)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255,113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(11,863)</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102,968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88,382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(9,398)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191,350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230,995</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(5,798)</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264,175</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(20,897)</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495,170</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(26,695)</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551"/>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16,507</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14,291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(584)</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30,798</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181,179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176,531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357,710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(18,349)</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152,287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91,572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(10,848)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243,859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(13,668)</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354,769</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(8,726)</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309,203</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(28,531)</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663,972</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(37,257)</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-1645285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-1628140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-1645285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-1628140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-1645285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-1628140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-1645285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-1628140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-1645285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-1628140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Note 1 of the Notes to the Consolidated Financial Statements in the 2024 Annual Report on Form 10-K.</w:t>
      </w:r>
    </w:p>
    <w:p>
      <w:pPr>
        <w:spacing w:after="0" w:line="150"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Based on the Company’s review as of June 30, 2025,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0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June 30, 2025, by contractual maturity, are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25"/>
        </w:trPr>
        <w:tc>
          <w:tcPr>
            <w:tcW w:w="7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83"/>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69,498</w:t>
            </w:r>
          </w:p>
        </w:tc>
        <w:tc>
          <w:tcPr>
            <w:tcW w:w="680" w:type="dxa"/>
            <w:vAlign w:val="bottom"/>
            <w:gridSpan w:val="2"/>
            <w:shd w:val="clear" w:color="auto" w:fill="CFF0FC"/>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69,428</w:t>
            </w: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250,894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248,447</w:t>
            </w: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214,429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213,039</w:t>
            </w: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113,846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107,604</w:t>
            </w: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2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482,070</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r>
      <w:tr>
        <w:trPr>
          <w:trHeight w:val="183"/>
        </w:trPr>
        <w:tc>
          <w:tcPr>
            <w:tcW w:w="7360" w:type="dxa"/>
            <w:vAlign w:val="bottom"/>
          </w:tcPr>
          <w:p>
            <w:pPr>
              <w:spacing w:after="0"/>
              <w:rPr>
                <w:sz w:val="15"/>
                <w:szCs w:val="15"/>
                <w:color w:val="auto"/>
              </w:rPr>
            </w:pPr>
          </w:p>
        </w:tc>
        <w:tc>
          <w:tcPr>
            <w:tcW w:w="260" w:type="dxa"/>
            <w:vAlign w:val="bottom"/>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1,130,737</w:t>
            </w:r>
          </w:p>
        </w:tc>
        <w:tc>
          <w:tcPr>
            <w:tcW w:w="680" w:type="dxa"/>
            <w:vAlign w:val="bottom"/>
            <w:gridSpan w:val="2"/>
          </w:tcPr>
          <w:p>
            <w:pPr>
              <w:jc w:val="right"/>
              <w:ind w:right="4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-153670</wp:posOffset>
            </wp:positionV>
            <wp:extent cx="120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5540" w:right="1360" w:hanging="4776"/>
        <w:spacing w:after="0" w:line="548"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2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54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13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1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5"/>
                <w:szCs w:val="15"/>
                <w:color w:val="auto"/>
              </w:rPr>
            </w:pPr>
          </w:p>
        </w:tc>
      </w:tr>
      <w:tr>
        <w:trPr>
          <w:trHeight w:val="189"/>
        </w:trPr>
        <w:tc>
          <w:tcPr>
            <w:tcW w:w="54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13,344</w:t>
            </w:r>
          </w:p>
        </w:tc>
        <w:tc>
          <w:tcPr>
            <w:tcW w:w="56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7,626</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25,308</w:t>
            </w:r>
          </w:p>
        </w:tc>
        <w:tc>
          <w:tcPr>
            <w:tcW w:w="58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14,952</w:t>
            </w:r>
          </w:p>
        </w:tc>
      </w:tr>
      <w:tr>
        <w:trPr>
          <w:trHeight w:val="189"/>
        </w:trPr>
        <w:tc>
          <w:tcPr>
            <w:tcW w:w="5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455</w:t>
            </w:r>
          </w:p>
        </w:tc>
      </w:tr>
      <w:tr>
        <w:trPr>
          <w:trHeight w:val="189"/>
        </w:trPr>
        <w:tc>
          <w:tcPr>
            <w:tcW w:w="542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income (expense)</w:t>
            </w: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(309)</w:t>
            </w:r>
          </w:p>
        </w:tc>
      </w:tr>
      <w:tr>
        <w:trPr>
          <w:trHeight w:val="183"/>
        </w:trPr>
        <w:tc>
          <w:tcPr>
            <w:tcW w:w="54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13,370</w:t>
            </w:r>
          </w:p>
        </w:tc>
        <w:tc>
          <w:tcPr>
            <w:tcW w:w="56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7,960</w:t>
            </w:r>
          </w:p>
        </w:tc>
        <w:tc>
          <w:tcPr>
            <w:tcW w:w="4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25,441</w:t>
            </w:r>
          </w:p>
        </w:tc>
        <w:tc>
          <w:tcPr>
            <w:tcW w:w="58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15,098</w:t>
            </w:r>
          </w:p>
        </w:tc>
      </w:tr>
      <w:tr>
        <w:trPr>
          <w:trHeight w:val="20"/>
        </w:trPr>
        <w:tc>
          <w:tcPr>
            <w:tcW w:w="1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-153670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-153670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5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19"/>
                <w:szCs w:val="19"/>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gridSpan w:val="3"/>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5"/>
                <w:szCs w:val="15"/>
                <w:color w:val="auto"/>
              </w:rPr>
            </w:pPr>
          </w:p>
        </w:tc>
      </w:tr>
      <w:tr>
        <w:trPr>
          <w:trHeight w:val="189"/>
        </w:trPr>
        <w:tc>
          <w:tcPr>
            <w:tcW w:w="54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800" w:type="dxa"/>
            <w:vAlign w:val="bottom"/>
            <w:gridSpan w:val="2"/>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409</w:t>
            </w:r>
          </w:p>
        </w:tc>
        <w:tc>
          <w:tcPr>
            <w:tcW w:w="980" w:type="dxa"/>
            <w:vAlign w:val="bottom"/>
            <w:gridSpan w:val="2"/>
          </w:tcPr>
          <w:p>
            <w:pPr>
              <w:jc w:val="right"/>
              <w:ind w:right="6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434</w:t>
            </w:r>
          </w:p>
        </w:tc>
        <w:tc>
          <w:tcPr>
            <w:tcW w:w="58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189"/>
        </w:trPr>
        <w:tc>
          <w:tcPr>
            <w:tcW w:w="54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equity securities</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gains</w:t>
            </w: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668</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18</w:t>
            </w:r>
          </w:p>
        </w:tc>
      </w:tr>
      <w:tr>
        <w:trPr>
          <w:trHeight w:val="183"/>
        </w:trPr>
        <w:tc>
          <w:tcPr>
            <w:tcW w:w="5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Realized losses:</w:t>
            </w: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54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equity securities</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(1,204)</w:t>
            </w:r>
          </w:p>
        </w:tc>
      </w:tr>
      <w:tr>
        <w:trPr>
          <w:trHeight w:val="183"/>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losses</w:t>
            </w: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(1,206)</w:t>
            </w:r>
          </w:p>
        </w:tc>
      </w:tr>
      <w:tr>
        <w:trPr>
          <w:trHeight w:val="183"/>
        </w:trPr>
        <w:tc>
          <w:tcPr>
            <w:tcW w:w="5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investment gains (losses)</w:t>
            </w: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(1,188)</w:t>
            </w: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Change in allowance for credit losses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(327)</w:t>
            </w:r>
          </w:p>
        </w:tc>
      </w:tr>
      <w:tr>
        <w:trPr>
          <w:trHeight w:val="189"/>
        </w:trPr>
        <w:tc>
          <w:tcPr>
            <w:tcW w:w="54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equity securities</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8"/>
              </w:rPr>
              <w:t>5,659</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4,617</w:t>
            </w: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(losses) on equity method investment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8"/>
              </w:rPr>
              <w:t>2,286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(266)</w:t>
            </w:r>
          </w:p>
        </w:tc>
      </w:tr>
      <w:tr>
        <w:trPr>
          <w:trHeight w:val="189"/>
        </w:trPr>
        <w:tc>
          <w:tcPr>
            <w:tcW w:w="54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other investments</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198</w:t>
            </w:r>
          </w:p>
        </w:tc>
      </w:tr>
      <w:tr>
        <w:trPr>
          <w:trHeight w:val="182"/>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800" w:type="dxa"/>
            <w:vAlign w:val="bottom"/>
            <w:gridSpan w:val="2"/>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8"/>
              </w:rPr>
              <w:t>8,306</w:t>
            </w:r>
          </w:p>
        </w:tc>
        <w:tc>
          <w:tcPr>
            <w:tcW w:w="980" w:type="dxa"/>
            <w:vAlign w:val="bottom"/>
            <w:gridSpan w:val="2"/>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4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5,968</w:t>
            </w:r>
          </w:p>
        </w:tc>
        <w:tc>
          <w:tcPr>
            <w:tcW w:w="58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3,034</w:t>
            </w: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-1388110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-1388110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-890905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-153670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-153670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18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Proceeds from the sale of fixed maturity securities were $3.0 million and immaterial for the three months ended June 30, 2025 and 2024, respectively. Proceeds from the sale of equity securities were $4.6 million and immaterial for the three months ended June 30, 2025 and 2024, respectively.</w:t>
      </w:r>
    </w:p>
    <w:p>
      <w:pPr>
        <w:spacing w:after="0" w:line="135"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Proceeds from the sale of fixed maturity securities were $8.8 million and $2.2 million for the six months ended June 30, 2025 and 2024, respectively. Proceeds from the sale of equity securities were $6.4 million and immaterial for the six months ended June 30, 2025 and 2024, respectively.</w:t>
      </w:r>
    </w:p>
    <w:p>
      <w:pPr>
        <w:spacing w:after="0" w:line="135" w:lineRule="exact"/>
        <w:rPr>
          <w:sz w:val="20"/>
          <w:szCs w:val="20"/>
          <w:color w:val="auto"/>
        </w:rPr>
      </w:pPr>
    </w:p>
    <w:p>
      <w:pPr>
        <w:ind w:right="40" w:firstLine="749"/>
        <w:spacing w:after="0" w:line="214"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balance sheet. As of June 30, 2025 and December 31, 2024, the carrying value of securities on deposit with state regulatory authorities was $12.4 million and $9.9 million, respectively.</w:t>
      </w:r>
    </w:p>
    <w:p>
      <w:pPr>
        <w:spacing w:after="0" w:line="157"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June 30, 2025, the Company had unfunded commitments to invest an additional $74.4 million in these limited partnerships.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9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18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35"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3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50"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5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June 30, 2025 and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3"/>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20,338</w:t>
            </w:r>
          </w:p>
        </w:tc>
        <w:tc>
          <w:tcPr>
            <w:tcW w:w="1060" w:type="dxa"/>
            <w:vAlign w:val="bottom"/>
            <w:gridSpan w:val="2"/>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20,338</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18,372</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18,372</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16,973</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16,973</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582,835</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582,835</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49,222</w:t>
            </w:r>
          </w:p>
        </w:tc>
      </w:tr>
      <w:tr>
        <w:trPr>
          <w:trHeight w:val="189"/>
        </w:trPr>
        <w:tc>
          <w:tcPr>
            <w:tcW w:w="5520" w:type="dxa"/>
            <w:vAlign w:val="bottom"/>
            <w:tcBorders>
              <w:bottom w:val="single" w:sz="8" w:color="CFF0FC"/>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81,315</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81,315</w:t>
            </w:r>
          </w:p>
        </w:tc>
      </w:tr>
      <w:tr>
        <w:trPr>
          <w:trHeight w:val="183"/>
        </w:trPr>
        <w:tc>
          <w:tcPr>
            <w:tcW w:w="5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130,537</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c>
          <w:tcPr>
            <w:tcW w:w="1060" w:type="dxa"/>
            <w:vAlign w:val="bottom"/>
            <w:gridSpan w:val="2"/>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1,243,903</w:t>
            </w: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-153670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-153670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3"/>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1060" w:type="dxa"/>
            <w:vAlign w:val="bottom"/>
            <w:gridSpan w:val="2"/>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r>
      <w:tr>
        <w:trPr>
          <w:trHeight w:val="189"/>
        </w:trPr>
        <w:tc>
          <w:tcPr>
            <w:tcW w:w="5520" w:type="dxa"/>
            <w:vAlign w:val="bottom"/>
            <w:tcBorders>
              <w:bottom w:val="single" w:sz="8" w:color="CFF0FC"/>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r>
      <w:tr>
        <w:trPr>
          <w:trHeight w:val="183"/>
        </w:trPr>
        <w:tc>
          <w:tcPr>
            <w:tcW w:w="5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121,068</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060" w:type="dxa"/>
            <w:vAlign w:val="bottom"/>
            <w:gridSpan w:val="2"/>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1,060,114</w:t>
            </w: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552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49"/>
        </w:trPr>
        <w:tc>
          <w:tcPr>
            <w:tcW w:w="5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-1070610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-1070610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-1070610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20" w:firstLine="749"/>
        <w:spacing w:after="0" w:line="214" w:lineRule="exact"/>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The carrying amount of any borrowings under the Federal Home Loan Bank (“FHLB”) line of credit and U.S. Bank credit agreement (the “Credit Agreement”) approximate fair value as the credit agreements have variable rates which frequently reprice at market rates.</w:t>
      </w:r>
    </w:p>
    <w:p>
      <w:pPr>
        <w:spacing w:after="0" w:line="147" w:lineRule="exact"/>
        <w:rPr>
          <w:sz w:val="20"/>
          <w:szCs w:val="20"/>
          <w:color w:val="auto"/>
        </w:rPr>
      </w:pPr>
    </w:p>
    <w:p>
      <w:pPr>
        <w:ind w:right="460" w:firstLine="749"/>
        <w:spacing w:after="0" w:line="312" w:lineRule="auto"/>
        <w:rPr>
          <w:sz w:val="20"/>
          <w:szCs w:val="20"/>
          <w:color w:val="auto"/>
        </w:rPr>
      </w:pPr>
      <w:r>
        <w:rPr>
          <w:rFonts w:ascii="Times New Roman" w:cs="Times New Roman" w:eastAsia="Times New Roman" w:hAnsi="Times New Roman"/>
          <w:sz w:val="17"/>
          <w:szCs w:val="17"/>
          <w:color w:val="auto"/>
        </w:rPr>
        <w:t>Transfers between Level 3 and Level 2 securities result from changes in the availability of observable market inputs and are recorded at the beginning of the reporting period. As of June 30, 2025 and December 31, 2024, the Company had no fixed income securities classified as Level 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83"/>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182,661</w:t>
            </w:r>
          </w:p>
        </w:tc>
        <w:tc>
          <w:tcPr>
            <w:tcW w:w="56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110,163</w:t>
            </w:r>
          </w:p>
        </w:tc>
        <w:tc>
          <w:tcPr>
            <w:tcW w:w="3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155,299</w:t>
            </w:r>
          </w:p>
        </w:tc>
        <w:tc>
          <w:tcPr>
            <w:tcW w:w="56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97,653</w:t>
            </w:r>
          </w:p>
        </w:tc>
        <w:tc>
          <w:tcPr>
            <w:tcW w:w="0" w:type="dxa"/>
            <w:vAlign w:val="bottom"/>
          </w:tcPr>
          <w:p>
            <w:pPr>
              <w:spacing w:after="0"/>
              <w:rPr>
                <w:sz w:val="1"/>
                <w:szCs w:val="1"/>
                <w:color w:val="auto"/>
              </w:rPr>
            </w:pPr>
          </w:p>
        </w:tc>
      </w:tr>
      <w:tr>
        <w:trPr>
          <w:trHeight w:val="230"/>
        </w:trPr>
        <w:tc>
          <w:tcPr>
            <w:tcW w:w="5140" w:type="dxa"/>
            <w:vAlign w:val="bottom"/>
          </w:tcPr>
          <w:p>
            <w:pPr>
              <w:ind w:left="100"/>
              <w:spacing w:after="0" w:line="229" w:lineRule="exact"/>
              <w:rPr>
                <w:sz w:val="20"/>
                <w:szCs w:val="20"/>
                <w:color w:val="auto"/>
              </w:rPr>
            </w:pPr>
            <w:r>
              <w:rPr>
                <w:rFonts w:ascii="Times New Roman" w:cs="Times New Roman" w:eastAsia="Times New Roman" w:hAnsi="Times New Roman"/>
                <w:sz w:val="18"/>
                <w:szCs w:val="18"/>
                <w:color w:val="auto"/>
              </w:rPr>
              <w:t>Add: Balance acquired from FIA</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52,698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33,355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95,757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59,688</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(6,515)</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(10,830)</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183"/>
        </w:trPr>
        <w:tc>
          <w:tcPr>
            <w:tcW w:w="51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incurred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46,183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30,431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84,927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57,268</w:t>
            </w: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17,659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22,657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14,972</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25,172</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24,404</w:t>
            </w:r>
          </w:p>
        </w:tc>
        <w:tc>
          <w:tcPr>
            <w:tcW w:w="0" w:type="dxa"/>
            <w:vAlign w:val="bottom"/>
          </w:tcPr>
          <w:p>
            <w:pPr>
              <w:spacing w:after="0"/>
              <w:rPr>
                <w:sz w:val="1"/>
                <w:szCs w:val="1"/>
                <w:color w:val="auto"/>
              </w:rPr>
            </w:pPr>
          </w:p>
        </w:tc>
      </w:tr>
      <w:tr>
        <w:trPr>
          <w:trHeight w:val="183"/>
        </w:trPr>
        <w:tc>
          <w:tcPr>
            <w:tcW w:w="51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payments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29,659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21,833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47,829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36,160</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7"/>
                <w:szCs w:val="17"/>
                <w:color w:val="auto"/>
              </w:rPr>
              <w:t>Reserve for losses and LAE net of reinsurance recoverables at end of</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199,185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118,761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199,185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118,761</w:t>
            </w: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Add: Reinsurance recoverables on unpaid losses and LAE at end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399,471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347,840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399,471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347,840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auto"/>
              </w:rPr>
              <w:t>Reserve for losses and LAE gross of reinsurance recoverables on</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598,656</w:t>
            </w:r>
          </w:p>
        </w:tc>
        <w:tc>
          <w:tcPr>
            <w:tcW w:w="56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466,601</w:t>
            </w:r>
          </w:p>
        </w:tc>
        <w:tc>
          <w:tcPr>
            <w:tcW w:w="3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598,656</w:t>
            </w:r>
          </w:p>
        </w:tc>
        <w:tc>
          <w:tcPr>
            <w:tcW w:w="56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466,601</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unpaid losses and LAE at end of period</w:t>
            </w:r>
          </w:p>
        </w:tc>
        <w:tc>
          <w:tcPr>
            <w:tcW w:w="320" w:type="dxa"/>
            <w:vAlign w:val="bottom"/>
            <w:gridSpan w:val="2"/>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-1336675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-1336675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-848360</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-848360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-848360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left="760" w:right="760" w:hanging="752"/>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recognized in Reserve for losses and LAE net of reinsurance recoverables upon acquisition of FIA on 1/1/2025, in accordance with ASC 805, Business Combinations. See Note 12 for additional information regarding the acquisition.</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50"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$6.5 million and favorable prior year development of $2.9 million during the three months ended June 30, 2025 and 2024, respectively.</w:t>
      </w:r>
    </w:p>
    <w:p>
      <w:pPr>
        <w:spacing w:after="0" w:line="13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$10.8 million and favorable prior year development of $2.4 million during the six months ended June 30, 2025 and 2024, respectively.</w:t>
      </w:r>
    </w:p>
    <w:p>
      <w:pPr>
        <w:spacing w:after="0" w:line="13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June 30, 2025 was primarily due to lower than anticipated severity of attritional losses. Favorable prior year development during the three months ended June 30, 2024 was primarily due to lower than anticipated severity of attritional losses.</w:t>
      </w:r>
    </w:p>
    <w:p>
      <w:pPr>
        <w:spacing w:after="0" w:line="1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Favorable prior year development during the six months ended June 30, 2025 was primarily due to lower than anticipated severity of attritional losses. Favorable prior year development during the six months ended June 30, 2024 was primarily due to lower than anticipated severity of attritional losses.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9"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As of June 30, 2025 and December 31, 2024, the Company had 5,000,000 preferred shares authorized with a par value of $0.0001 and no preferred shares issued and outstanding. As of June 30, 2025 and December 31, 2024, the Company had 500,000,000 common shares authorized and 26,777,198 and 26,529,402 common shares issued and outstanding, respectively, with a par value of $0.0001. Additional paid in capital was $509.2 million</w:t>
      </w:r>
    </w:p>
    <w:p>
      <w:pPr>
        <w:sectPr>
          <w:pgSz w:w="11900" w:h="16838" w:orient="portrait"/>
          <w:cols w:equalWidth="0" w:num="1">
            <w:col w:w="1124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as of June 30, 2025 and $493.7 million as of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as of June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19" w:lineRule="auto"/>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below table summarizes the Company’s stock-based compensation expense for each period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510,444</w:t>
      </w:r>
    </w:p>
    <w:p>
      <w:pPr>
        <w:jc w:val="right"/>
        <w:ind w:right="120"/>
        <w:spacing w:after="0" w:line="221" w:lineRule="auto"/>
        <w:rPr>
          <w:sz w:val="20"/>
          <w:szCs w:val="20"/>
          <w:color w:val="auto"/>
        </w:rPr>
      </w:pPr>
      <w:r>
        <w:rPr>
          <w:rFonts w:ascii="Times New Roman" w:cs="Times New Roman" w:eastAsia="Times New Roman" w:hAnsi="Times New Roman"/>
          <w:sz w:val="18"/>
          <w:szCs w:val="18"/>
          <w:color w:val="auto"/>
        </w:rPr>
        <w:t>314,227</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503,451</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4,225,816</w:t>
      </w:r>
    </w:p>
    <w:p>
      <w:pPr>
        <w:jc w:val="right"/>
        <w:ind w:right="120"/>
        <w:spacing w:after="0" w:line="235" w:lineRule="auto"/>
        <w:rPr>
          <w:sz w:val="20"/>
          <w:szCs w:val="20"/>
          <w:color w:val="auto"/>
        </w:rPr>
      </w:pPr>
      <w:r>
        <w:rPr>
          <w:rFonts w:ascii="Times New Roman" w:cs="Times New Roman" w:eastAsia="Times New Roman" w:hAnsi="Times New Roman"/>
          <w:sz w:val="18"/>
          <w:szCs w:val="18"/>
          <w:color w:val="auto"/>
        </w:rPr>
        <w:t>1,587,360</w:t>
      </w:r>
    </w:p>
    <w:p>
      <w:pPr>
        <w:spacing w:after="0"/>
        <w:rPr>
          <w:sz w:val="20"/>
          <w:szCs w:val="20"/>
          <w:color w:val="auto"/>
        </w:rPr>
      </w:pPr>
      <w:r>
        <w:rPr>
          <w:rFonts w:ascii="Times New Roman" w:cs="Times New Roman" w:eastAsia="Times New Roman" w:hAnsi="Times New Roman"/>
          <w:sz w:val="18"/>
          <w:szCs w:val="18"/>
          <w:color w:val="auto"/>
        </w:rPr>
        <w:t>7,141,298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-3175</wp:posOffset>
            </wp:positionV>
            <wp:extent cx="12255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13335</wp:posOffset>
            </wp:positionV>
            <wp:extent cx="12255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991" w:lineRule="exact"/>
        <w:rPr>
          <w:sz w:val="20"/>
          <w:szCs w:val="20"/>
          <w:color w:val="auto"/>
        </w:rPr>
      </w:pPr>
    </w:p>
    <w:p>
      <w:pPr>
        <w:sectPr>
          <w:pgSz w:w="11900" w:h="16838" w:orient="portrait"/>
          <w:cols w:equalWidth="0" w:num="2">
            <w:col w:w="9680" w:space="720"/>
            <w:col w:w="840"/>
          </w:cols>
          <w:pgMar w:left="320" w:top="117" w:right="3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284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183"/>
        </w:trPr>
        <w:tc>
          <w:tcPr>
            <w:tcW w:w="54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83"/>
        </w:trPr>
        <w:tc>
          <w:tcPr>
            <w:tcW w:w="5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center"/>
              <w:ind w:left="51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5"/>
                <w:szCs w:val="15"/>
                <w:color w:val="auto"/>
              </w:rPr>
            </w:pPr>
          </w:p>
        </w:tc>
      </w:tr>
      <w:tr>
        <w:trPr>
          <w:trHeight w:val="189"/>
        </w:trPr>
        <w:tc>
          <w:tcPr>
            <w:tcW w:w="5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FF0FC"/>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56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10,092</w:t>
            </w:r>
          </w:p>
        </w:tc>
        <w:tc>
          <w:tcPr>
            <w:tcW w:w="56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7,789</w:t>
            </w:r>
          </w:p>
        </w:tc>
      </w:tr>
    </w:tbl>
    <w:p>
      <w:pPr>
        <w:spacing w:after="0" w:line="184"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187"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5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common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7"/>
                <w:szCs w:val="17"/>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6"/>
                <w:szCs w:val="16"/>
                <w:color w:val="auto"/>
              </w:rPr>
            </w:pPr>
          </w:p>
        </w:tc>
        <w:tc>
          <w:tcPr>
            <w:tcW w:w="148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16"/>
                <w:szCs w:val="16"/>
                <w:color w:val="auto"/>
              </w:rPr>
            </w:pPr>
          </w:p>
        </w:tc>
        <w:tc>
          <w:tcPr>
            <w:tcW w:w="1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intrinsic value (in</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18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588,385</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33.76</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34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42,273</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(77,599)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cancelled</w:t>
            </w: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94.38</w:t>
            </w: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June 30, 2025</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510,444</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32.45</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53,407</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June 30, 2025</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510,024</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32.41</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-173990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-156845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-173990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-173990</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-156845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9"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immaterial unrecognized stock-based compensation expense related to stock options expected to be recognized over a weighted-average period of 0.3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87"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six months ended June 30,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320,411</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120,775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115.43</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(122,487)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(4,472)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June 30,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314,227</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85.87</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46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460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4"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approximately $22.2 million of total unrecognized stock-based compensation expense related to RSUs expected to be recognized over a weighted-average period of 1.8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185"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and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June 30, 2025, four stock price milestones have been achieved solely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spacing w:after="0" w:line="155"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pacing w:after="0" w:line="154"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PSU transactions for the six months ended June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460,450</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86,844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(41,400)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(2,443)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June 30,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503,451</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46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460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4"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June 30, 2025, the Company had approximately $13.0 million of total unrecognized stock-based compensation expense related to PSUs expected to be recognized over a weighted-average period of 1.4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187"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54"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6,310 shares pursuant to the ESPP during the six months ended June 30,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Company’s prior share repurchase program ended on March 31, 2024. There were no share repurchases made during the six months ended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Beginning Balance</w:t>
            </w:r>
          </w:p>
        </w:tc>
        <w:tc>
          <w:tcPr>
            <w:tcW w:w="3400" w:type="dxa"/>
            <w:vAlign w:val="bottom"/>
            <w:gridSpan w:val="2"/>
            <w:shd w:val="clear" w:color="auto" w:fill="CFF0FC"/>
          </w:tcPr>
          <w:p>
            <w:pPr>
              <w:jc w:val="right"/>
              <w:ind w:right="8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(26,845)</w:t>
            </w:r>
          </w:p>
        </w:tc>
        <w:tc>
          <w:tcPr>
            <w:tcW w:w="1120" w:type="dxa"/>
            <w:vAlign w:val="bottom"/>
            <w:gridSpan w:val="2"/>
            <w:shd w:val="clear" w:color="auto" w:fill="CFF0FC"/>
          </w:tcPr>
          <w:p>
            <w:pPr>
              <w:jc w:val="right"/>
              <w:ind w:right="7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(23,991)</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2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16,389</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(5,129)</w:t>
            </w:r>
          </w:p>
        </w:tc>
        <w:tc>
          <w:tcPr>
            <w:tcW w:w="0" w:type="dxa"/>
            <w:vAlign w:val="bottom"/>
          </w:tcPr>
          <w:p>
            <w:pPr>
              <w:spacing w:after="0"/>
              <w:rPr>
                <w:sz w:val="1"/>
                <w:szCs w:val="1"/>
                <w:color w:val="auto"/>
              </w:rPr>
            </w:pPr>
          </w:p>
        </w:tc>
      </w:tr>
      <w:tr>
        <w:trPr>
          <w:trHeight w:val="189"/>
        </w:trPr>
        <w:tc>
          <w:tcPr>
            <w:tcW w:w="53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(expense) benefit</w:t>
            </w:r>
          </w:p>
        </w:tc>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(3,432)</w:t>
            </w: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183"/>
        </w:trPr>
        <w:tc>
          <w:tcPr>
            <w:tcW w:w="53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Other comprehensive income (loss) before reclassification, net of tax</w:t>
            </w:r>
          </w:p>
        </w:tc>
        <w:tc>
          <w:tcPr>
            <w:tcW w:w="24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12,957</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Amounts reclassified from AOCI</w:t>
            </w:r>
          </w:p>
        </w:tc>
        <w:tc>
          <w:tcPr>
            <w:tcW w:w="2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9"/>
        </w:trPr>
        <w:tc>
          <w:tcPr>
            <w:tcW w:w="53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(expense) benefit</w:t>
            </w:r>
          </w:p>
        </w:tc>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5320" w:type="dxa"/>
            <w:vAlign w:val="bottom"/>
            <w:tcBorders>
              <w:bottom w:val="single" w:sz="8" w:color="CFF0FC"/>
            </w:tcBorders>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Amounts reclassified from AOCI, net of tax</w:t>
            </w:r>
          </w:p>
        </w:tc>
        <w:tc>
          <w:tcPr>
            <w:tcW w:w="24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4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13,212</w:t>
            </w:r>
          </w:p>
        </w:tc>
        <w:tc>
          <w:tcPr>
            <w:tcW w:w="1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183"/>
        </w:trPr>
        <w:tc>
          <w:tcPr>
            <w:tcW w:w="5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end of period</w:t>
            </w:r>
          </w:p>
        </w:tc>
        <w:tc>
          <w:tcPr>
            <w:tcW w:w="3400" w:type="dxa"/>
            <w:vAlign w:val="bottom"/>
            <w:gridSpan w:val="2"/>
          </w:tcPr>
          <w:p>
            <w:pPr>
              <w:jc w:val="right"/>
              <w:ind w:right="8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(13,633)</w:t>
            </w:r>
          </w:p>
        </w:tc>
        <w:tc>
          <w:tcPr>
            <w:tcW w:w="1120" w:type="dxa"/>
            <w:vAlign w:val="bottom"/>
            <w:gridSpan w:val="2"/>
          </w:tcPr>
          <w:p>
            <w:pPr>
              <w:jc w:val="right"/>
              <w:ind w:right="7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3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-1319530</wp:posOffset>
            </wp:positionV>
            <wp:extent cx="102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-1071245</wp:posOffset>
            </wp:positionV>
            <wp:extent cx="102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175"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6"/>
          </w:tcPr>
          <w:p>
            <w:pPr>
              <w:jc w:val="center"/>
              <w:ind w:right="46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6"/>
          </w:tcPr>
          <w:p>
            <w:pPr>
              <w:jc w:val="center"/>
              <w:ind w:right="48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2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2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147,702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135,029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35.1%</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277,929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29.7%</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240,759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128,222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58,605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238,932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110,539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57"/>
        </w:trPr>
        <w:tc>
          <w:tcPr>
            <w:tcW w:w="2360" w:type="dxa"/>
            <w:vAlign w:val="bottom"/>
          </w:tcPr>
          <w:p>
            <w:pPr>
              <w:ind w:left="40"/>
              <w:spacing w:after="0" w:line="157" w:lineRule="exact"/>
              <w:rPr>
                <w:sz w:val="20"/>
                <w:szCs w:val="20"/>
                <w:color w:val="auto"/>
              </w:rPr>
            </w:pPr>
            <w:r>
              <w:rPr>
                <w:rFonts w:ascii="Times New Roman" w:cs="Times New Roman" w:eastAsia="Times New Roman" w:hAnsi="Times New Roman"/>
                <w:sz w:val="18"/>
                <w:szCs w:val="18"/>
                <w:color w:val="auto"/>
              </w:rPr>
              <w:t>Inland Marine and Other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1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60,869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95,896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114,810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190,727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89"/>
        </w:trPr>
        <w:tc>
          <w:tcPr>
            <w:tcW w:w="23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39,464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87,683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40,908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496,288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385,184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938,452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753,262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7"/>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91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6"/>
          </w:tcPr>
          <w:p>
            <w:pPr>
              <w:jc w:val="center"/>
              <w:ind w:right="48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tcPr>
          <w:p>
            <w:pPr>
              <w:jc w:val="right"/>
              <w:ind w:right="25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2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22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163,814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33.0%</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183,396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47.6%</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303,536</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32.3%</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340,614</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Texas</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35,708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28,600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80,699</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69,396</w:t>
            </w:r>
          </w:p>
        </w:tc>
        <w:tc>
          <w:tcPr>
            <w:tcW w:w="140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Hawaii</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24,544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44,901</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30,751</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Florida</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23,979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29,796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42,621</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43,720</w:t>
            </w:r>
          </w:p>
        </w:tc>
        <w:tc>
          <w:tcPr>
            <w:tcW w:w="140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New York</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32,857</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16,010</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Washington</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17,188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13,063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32,059</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25,066</w:t>
            </w:r>
          </w:p>
        </w:tc>
        <w:tc>
          <w:tcPr>
            <w:tcW w:w="140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18,637</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8,168</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Minnesota</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12,004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13,042</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2,440</w:t>
            </w:r>
          </w:p>
        </w:tc>
        <w:tc>
          <w:tcPr>
            <w:tcW w:w="140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188,541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98,001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370,100</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217,097</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51"/>
        </w:trPr>
        <w:tc>
          <w:tcPr>
            <w:tcW w:w="2220" w:type="dxa"/>
            <w:vAlign w:val="bottom"/>
            <w:shd w:val="clear" w:color="auto" w:fill="CFF0FC"/>
          </w:tcPr>
          <w:p>
            <w:pPr>
              <w:ind w:left="40"/>
              <w:spacing w:after="0" w:line="150" w:lineRule="exact"/>
              <w:rPr>
                <w:sz w:val="20"/>
                <w:szCs w:val="20"/>
                <w:color w:val="auto"/>
              </w:rPr>
            </w:pPr>
            <w:r>
              <w:rPr>
                <w:rFonts w:ascii="Times New Roman" w:cs="Times New Roman" w:eastAsia="Times New Roman" w:hAnsi="Times New Roman"/>
                <w:sz w:val="17"/>
                <w:szCs w:val="17"/>
                <w:color w:val="auto"/>
              </w:rPr>
              <w:t>Total Gross Written</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496,288</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938,452</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753,262</w:t>
            </w:r>
          </w:p>
        </w:tc>
        <w:tc>
          <w:tcPr>
            <w:tcW w:w="14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0"/>
        </w:trPr>
        <w:tc>
          <w:tcPr>
            <w:tcW w:w="222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8"/>
                <w:szCs w:val="18"/>
                <w:color w:val="auto"/>
              </w:rPr>
              <w:t>Premiums</w:t>
            </w:r>
          </w:p>
        </w:tc>
        <w:tc>
          <w:tcPr>
            <w:tcW w:w="100" w:type="dxa"/>
            <w:vAlign w:val="bottom"/>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1400" w:type="dxa"/>
            <w:vAlign w:val="bottom"/>
            <w:gridSpan w:val="3"/>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7"/>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91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tcPr>
          <w:p>
            <w:pPr>
              <w:jc w:val="center"/>
              <w:ind w:right="52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tcPr>
          <w:p>
            <w:pPr>
              <w:jc w:val="right"/>
              <w:ind w:right="25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4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2"/>
        </w:trPr>
        <w:tc>
          <w:tcPr>
            <w:tcW w:w="1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3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232,983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46.9%</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193,709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50.3%</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463,900</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49.4%</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416,366</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89"/>
        </w:trPr>
        <w:tc>
          <w:tcPr>
            <w:tcW w:w="18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237,943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177,109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428,730</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313,603</w:t>
            </w:r>
          </w:p>
        </w:tc>
        <w:tc>
          <w:tcPr>
            <w:tcW w:w="140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89"/>
        </w:trPr>
        <w:tc>
          <w:tcPr>
            <w:tcW w:w="18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14,366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36,171</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23,293</w:t>
            </w:r>
          </w:p>
        </w:tc>
        <w:tc>
          <w:tcPr>
            <w:tcW w:w="1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FF0FC"/>
            </w:tcBorders>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3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9,651</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182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Total Gross Written</w:t>
            </w:r>
          </w:p>
        </w:tc>
        <w:tc>
          <w:tcPr>
            <w:tcW w:w="38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496,288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385,184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938,452</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753,262</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0"/>
        </w:trPr>
        <w:tc>
          <w:tcPr>
            <w:tcW w:w="18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Premiums</w:t>
            </w:r>
          </w:p>
        </w:tc>
        <w:tc>
          <w:tcPr>
            <w:tcW w:w="3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-1165225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-1165225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-1165225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-1165225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-1165225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-1165225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-1165225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89" w:lineRule="exact"/>
        <w:rPr>
          <w:sz w:val="20"/>
          <w:szCs w:val="20"/>
          <w:color w:val="auto"/>
        </w:rPr>
      </w:pPr>
    </w:p>
    <w:p>
      <w:pPr>
        <w:jc w:val="both"/>
        <w:ind w:right="60" w:firstLine="749"/>
        <w:spacing w:after="0" w:line="250"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June 30, 2025 and 2024, the Company’s income tax rates of 22.3% and 22.9%, respectively, were higher than the statutory rate of 21% due primarily to non-deductible executive compensation expense.</w:t>
      </w:r>
    </w:p>
    <w:p>
      <w:pPr>
        <w:spacing w:after="0" w:line="150"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the Company’s income tax rates of 21.3% and 23.1%, respectively, were higher than the statutory rate of 21% due primarily to non-deductible executive compensation expense.</w:t>
      </w:r>
    </w:p>
    <w:p>
      <w:pPr>
        <w:spacing w:after="0" w:line="13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extends or makes permanent various tax provisions that were originally enacted in the 2017 Tax Cuts and Jobs Act and were set to expire at the end of 2025. The Company is currently evaluating the impact of the OBBBA on its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3"/>
        </w:trPr>
        <w:tc>
          <w:tcPr>
            <w:tcW w:w="4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47"/>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20" w:type="dxa"/>
            <w:vAlign w:val="bottom"/>
            <w:gridSpan w:val="5"/>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 except shares and 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4"/>
          </w:tcPr>
          <w:p>
            <w:pPr>
              <w:jc w:val="center"/>
              <w:ind w:right="17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 except shares and</w:t>
            </w:r>
          </w:p>
        </w:tc>
      </w:tr>
      <w:tr>
        <w:trPr>
          <w:trHeight w:val="225"/>
        </w:trPr>
        <w:tc>
          <w:tcPr>
            <w:tcW w:w="4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 data)</w:t>
            </w:r>
          </w:p>
        </w:tc>
      </w:tr>
      <w:tr>
        <w:trPr>
          <w:trHeight w:val="189"/>
        </w:trPr>
        <w:tc>
          <w:tcPr>
            <w:tcW w:w="4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FF0FC"/>
          </w:tcPr>
          <w:p>
            <w:pPr>
              <w:ind w:left="9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50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89,450</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52,111</w:t>
            </w: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4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26,756,095</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24,946,987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26,707,371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24,904,677</w:t>
            </w: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Share equivalents</w:t>
            </w: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872,638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670,929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861,542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649,768</w:t>
            </w:r>
          </w:p>
        </w:tc>
      </w:tr>
      <w:tr>
        <w:trPr>
          <w:trHeight w:val="223"/>
        </w:trPr>
        <w:tc>
          <w:tcPr>
            <w:tcW w:w="43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27,628,733</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25,617,916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27,568,913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25,554,445</w:t>
            </w:r>
          </w:p>
        </w:tc>
      </w:tr>
      <w:tr>
        <w:trPr>
          <w:trHeight w:val="170"/>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4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tcPr>
          <w:p>
            <w:pPr>
              <w:ind w:left="9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5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4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2.09</w:t>
            </w: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3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2"/>
            <w:shd w:val="clear" w:color="auto" w:fill="CFF0FC"/>
          </w:tcPr>
          <w:p>
            <w:pPr>
              <w:ind w:left="9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1.68</w:t>
            </w:r>
          </w:p>
        </w:tc>
        <w:tc>
          <w:tcPr>
            <w:tcW w:w="500" w:type="dxa"/>
            <w:vAlign w:val="bottom"/>
            <w:gridSpan w:val="2"/>
            <w:shd w:val="clear" w:color="auto" w:fill="CFF0FC"/>
          </w:tcPr>
          <w:p>
            <w:pPr>
              <w:jc w:val="right"/>
              <w:ind w:right="2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3.24</w:t>
            </w:r>
          </w:p>
        </w:tc>
        <w:tc>
          <w:tcPr>
            <w:tcW w:w="400" w:type="dxa"/>
            <w:vAlign w:val="bottom"/>
            <w:gridSpan w:val="2"/>
            <w:shd w:val="clear" w:color="auto" w:fill="CFF0FC"/>
          </w:tcPr>
          <w:p>
            <w:pPr>
              <w:jc w:val="right"/>
              <w:ind w:right="18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2.04</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-556895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-539115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-556895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-539115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-556895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-539115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17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08"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As of June 30, 2025, the Company’s catastrophe event retention is $20 million for earthquake events and $11 million for continental hurricane events and all other perils. Laulima maintains Hawaii hurricane reinsurance coverage through a standalone XOL treaty, which provides per-occurrence coverage up to $735 million with a retention of $1.5 million. As of June 30, 2025, the Company’s XOL reinsurance structure provides protection up to $3.53 billion for earthquake events and $100 million for continental U.S. hurricane events.</w:t>
      </w:r>
    </w:p>
    <w:p>
      <w:pPr>
        <w:spacing w:after="0" w:line="15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173"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with U.S. Bank National Association which provides a revolving credit facility of up to $100 million through December 8, 2026. Interest on the credit facility accrues on each Secured Overnight Financing Rate (“SOFR”) rate loan at the applicable SOFR (as defined in the Credit Agreement) plus 1.75% and on each base rate loan at the applicable Alternate Base Rate (as defined in the Credit Agreement) plus 0.75%. A loan may be either a SOFR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pacing w:after="0" w:line="129" w:lineRule="exact"/>
        <w:rPr>
          <w:sz w:val="20"/>
          <w:szCs w:val="20"/>
          <w:color w:val="auto"/>
        </w:rPr>
      </w:pPr>
    </w:p>
    <w:p>
      <w:pPr>
        <w:jc w:val="both"/>
        <w:ind w:right="40" w:firstLine="749"/>
        <w:spacing w:after="0" w:line="247"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risk-based capital ratio and minimum A.M. Best financial strength rating. The Credit Agreement also contains customary events of default, such as non-compliance with financial covenants. If an event of default occurs, any debt may be declared immediately due and payable. As of June 30, 2025, the Company was in compliance with all debt covenants.</w:t>
      </w:r>
    </w:p>
    <w:p>
      <w:pPr>
        <w:spacing w:after="0" w:line="153"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As of June 30, 2025 and December 31, 2024, the Company had no borrowings outstanding on the Credit Agreement. Interest expense on the Credit Agreement was $0.1 million and $0.2 million for the three and six months ended June 30, 2025, respectively. Interest expense on the Credit Agreement was $0.1 million and $0.2 million for the three and six months ended June 30, 2024,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173"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5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no borrowings outstanding through the FHLB. The Company did not incur any interest expense for either the three or six months ended June 30, 2025, respectively. As of December 31, 2024, the Company had no borrowings outstanding through the FHLB. Interest expense on the FHLB Line of Credit was $0.1 million and $0.8 million for the three and six months ended June 30,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Acquisitions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 2025, the Company completed the acquisition of FIA. The acquisition was accounted for as a business combination in accordance with Accounting Standards Codification (ASC) 805, Business Combinations. As the acquisition did not meet the significance thresholds under Rule 3-05 of Regulation S-X, separate financial statements of FIA are not required to be filed.</w:t>
      </w:r>
    </w:p>
    <w:p>
      <w:pPr>
        <w:spacing w:after="0" w:line="12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the Company recognized the acquired assets and assumed liabilities of FIA at their estimated fair values as of the acquisition date. Accordingly, the Company’s previously issued financial statements as of March 31, 2025 reflect adjustments to record opening balances for the assets acquired and liabilities assumed. These adjustments primarily result from purchase accounting fair value measurements and cause some balances as of January 1, 2025 to differ from the amounts reported as of December 31, 2024.</w:t>
      </w:r>
    </w:p>
    <w:p>
      <w:pPr>
        <w:spacing w:after="0" w:line="150"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On April 1, 2025, the Company completed the acquisition of substantially all of the assets and assumed certain liabilities of Advanced AgProtection, LLC (“AAP”). The acquisition was accounted for as a business combination in accordance with Accounting Standards Codification (ASC) 805, Business Combinations. As the acquisition did not meet the significance thresholds under Rule 3-05 of Regulation S-X, separate financial statements of AAP are not required to be filed.</w:t>
      </w:r>
    </w:p>
    <w:p>
      <w:pPr>
        <w:spacing w:after="0" w:line="137" w:lineRule="exact"/>
        <w:rPr>
          <w:sz w:val="20"/>
          <w:szCs w:val="20"/>
          <w:color w:val="auto"/>
        </w:rPr>
      </w:pPr>
    </w:p>
    <w:p>
      <w:pPr>
        <w:jc w:val="both"/>
        <w:ind w:right="18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the Company recognized the acquired assets and assumed liabilities of AAP at their estimated fair values as of the acquisition date. Accordingly, the Company’s financial statements as of June 30, 2025 reflect adjustments to record opening balances for the assets acquired and liabilities assumed. These adjustments primarily result from purchase accounting fair value measurements.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18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i w:val="1"/>
          <w:iCs w:val="1"/>
          <w:color w:val="auto"/>
        </w:rPr>
        <w:t>Forward looking statements within the meaning of Section 27A of the Securities Act of 1933 and Section 21E of the Securities Exchange Act of 1934 appear throughout this report. These forward looking statements generally include words such as “expect,” “predict,” “estimate,” “will,” “should,” “anticipate,” “believe” and similar expressions. Such assumptions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 the year ended December 31, 2024 and Part II within this report. Actual results could differ materially from those expressed in, or implied by, these forward looking statements. Forward looking statements reflect the Company’s expectations, plans or forecasts of future events and views as of the date of this report. While the Company may elect to update these forward looking statements at some point in the future, the Company specifically disclaims any obligation to do so. You should review the various risks, uncertainties and other factors listed from time to time in our Securities and Exchange Commission filings.</w:t>
      </w:r>
    </w:p>
    <w:p>
      <w:pPr>
        <w:spacing w:after="0" w:line="155" w:lineRule="exact"/>
        <w:rPr>
          <w:sz w:val="20"/>
          <w:szCs w:val="20"/>
          <w:color w:val="auto"/>
        </w:rPr>
      </w:pPr>
    </w:p>
    <w:p>
      <w:pPr>
        <w:ind w:right="300"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results of operations for the six months ended June 30,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25, 2025.</w:t>
      </w:r>
    </w:p>
    <w:p>
      <w:pPr>
        <w:spacing w:after="0" w:line="133" w:lineRule="exact"/>
        <w:rPr>
          <w:sz w:val="20"/>
          <w:szCs w:val="20"/>
          <w:color w:val="auto"/>
        </w:rPr>
      </w:pPr>
    </w:p>
    <w:p>
      <w:pPr>
        <w:ind w:right="5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 requires.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and Palomar Excess and Surplus Insurance Company (“PESIC”) carry an “A” rating from A.M. Best Company (“A.M. Best”), a leading rating agency for the insurance industry. First Indemnity of America Insurance Co. (“FIA”) carries an “A-” (Stable) rating from A.M. Best.</w:t>
      </w:r>
    </w:p>
    <w:p>
      <w:pPr>
        <w:spacing w:after="0" w:line="15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5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$1.5 billion for the year ended December 31, 2024, which reflects a compound annual growth rate of approximately 57%. We have also been profitable since 2016 and our net income growth since 2016 reflects a compound annual growth rate of 43%.</w:t>
      </w:r>
    </w:p>
    <w:p>
      <w:pPr>
        <w:spacing w:after="0" w:line="137"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Crop, Environmental Liability, and E&amp;S Casualty. These new products diversify our book of business and broaden our product portfolio. We believe that our market opportunity, distinctive products, and differentiated business model position us to grow our business profitably.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7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29" w:lineRule="exact"/>
        <w:rPr>
          <w:sz w:val="20"/>
          <w:szCs w:val="20"/>
          <w:color w:val="auto"/>
        </w:rPr>
      </w:pPr>
    </w:p>
    <w:p>
      <w:pPr>
        <w:ind w:left="5540" w:right="4380" w:hanging="4783"/>
        <w:spacing w:after="0" w:line="563" w:lineRule="auto"/>
        <w:tabs>
          <w:tab w:leader="none" w:pos="1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171"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17"/>
          <w:szCs w:val="17"/>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55" w:lineRule="exact"/>
        <w:rPr>
          <w:sz w:val="20"/>
          <w:szCs w:val="20"/>
          <w:color w:val="auto"/>
        </w:rPr>
      </w:pPr>
    </w:p>
    <w:p>
      <w:pPr>
        <w:ind w:right="80" w:firstLine="749"/>
        <w:spacing w:after="0" w:line="247"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most of the Crop earned premiums being recognized in the third quarter of each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7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spacing w:after="0" w:line="137" w:lineRule="exact"/>
        <w:rPr>
          <w:sz w:val="20"/>
          <w:szCs w:val="20"/>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43" w:lineRule="exact"/>
        <w:rPr>
          <w:rFonts w:ascii="Times New Roman" w:cs="Times New Roman" w:eastAsia="Times New Roman" w:hAnsi="Times New Roman"/>
          <w:sz w:val="18"/>
          <w:szCs w:val="18"/>
          <w:color w:val="auto"/>
        </w:rPr>
      </w:pPr>
    </w:p>
    <w:p>
      <w:pPr>
        <w:ind w:left="1500" w:hanging="743"/>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18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100" w:firstLine="749"/>
        <w:spacing w:after="0" w:line="212"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75"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89" w:lineRule="exact"/>
        <w:rPr>
          <w:sz w:val="20"/>
          <w:szCs w:val="20"/>
          <w:color w:val="auto"/>
        </w:rPr>
      </w:pPr>
    </w:p>
    <w:p>
      <w:pPr>
        <w:ind w:right="820" w:firstLine="749"/>
        <w:spacing w:after="0" w:line="266"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03" w:lineRule="exact"/>
        <w:rPr>
          <w:sz w:val="20"/>
          <w:szCs w:val="20"/>
          <w:color w:val="auto"/>
        </w:rPr>
      </w:pPr>
    </w:p>
    <w:p>
      <w:pPr>
        <w:ind w:right="24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17" w:lineRule="exact"/>
        <w:rPr>
          <w:sz w:val="20"/>
          <w:szCs w:val="20"/>
          <w:color w:val="auto"/>
        </w:rPr>
      </w:pPr>
    </w:p>
    <w:p>
      <w:pPr>
        <w:ind w:right="80" w:firstLine="749"/>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17" w:lineRule="exact"/>
        <w:rPr>
          <w:sz w:val="20"/>
          <w:szCs w:val="20"/>
          <w:color w:val="auto"/>
        </w:rPr>
      </w:pPr>
    </w:p>
    <w:p>
      <w:pPr>
        <w:ind w:right="46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during the period.</w:t>
      </w:r>
    </w:p>
    <w:p>
      <w:pPr>
        <w:spacing w:after="0" w:line="93" w:lineRule="exact"/>
        <w:rPr>
          <w:sz w:val="20"/>
          <w:szCs w:val="20"/>
          <w:color w:val="auto"/>
        </w:rPr>
      </w:pPr>
    </w:p>
    <w:p>
      <w:pPr>
        <w:ind w:right="30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185"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32" w:lineRule="exact"/>
        <w:rPr>
          <w:sz w:val="20"/>
          <w:szCs w:val="20"/>
          <w:color w:val="auto"/>
        </w:rPr>
      </w:pPr>
    </w:p>
    <w:p>
      <w:pPr>
        <w:ind w:right="18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93" w:lineRule="exact"/>
        <w:rPr>
          <w:sz w:val="20"/>
          <w:szCs w:val="20"/>
          <w:color w:val="auto"/>
        </w:rPr>
      </w:pPr>
    </w:p>
    <w:p>
      <w:pPr>
        <w:jc w:val="both"/>
        <w:ind w:right="26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03"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19" w:lineRule="exact"/>
        <w:rPr>
          <w:sz w:val="20"/>
          <w:szCs w:val="20"/>
          <w:color w:val="auto"/>
        </w:rPr>
      </w:pPr>
    </w:p>
    <w:p>
      <w:pPr>
        <w:ind w:right="160" w:firstLine="749"/>
        <w:spacing w:after="0" w:line="253"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89" w:lineRule="exact"/>
        <w:rPr>
          <w:sz w:val="20"/>
          <w:szCs w:val="20"/>
          <w:color w:val="auto"/>
        </w:rPr>
      </w:pPr>
    </w:p>
    <w:p>
      <w:pPr>
        <w:ind w:firstLine="749"/>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57"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88" w:lineRule="exact"/>
        <w:rPr>
          <w:sz w:val="20"/>
          <w:szCs w:val="20"/>
          <w:color w:val="auto"/>
        </w:rPr>
      </w:pPr>
    </w:p>
    <w:p>
      <w:pPr>
        <w:ind w:right="300" w:firstLine="749"/>
        <w:spacing w:after="0" w:line="259"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June 30, 2025 and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8"/>
          </w:tcPr>
          <w:p>
            <w:pPr>
              <w:ind w:left="94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 except per share data)</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66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496,288</w:t>
            </w:r>
          </w:p>
        </w:tc>
        <w:tc>
          <w:tcPr>
            <w:tcW w:w="400" w:type="dxa"/>
            <w:vAlign w:val="bottom"/>
            <w:gridSpan w:val="2"/>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385,184</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111,104</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(266,506)</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(209,181)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(57,325)</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229,782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176,003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53,779</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Net earned premiums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179,958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122,285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57,673</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and other income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1,677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181,635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123,077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58,558</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46,183</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30,431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15,752</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51,637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35,806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15,831</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underwriting expenses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45,525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31,233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14,292</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Underwriting income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38,290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25,607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12,683</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13,370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8,274</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3"/>
        </w:trPr>
        <w:tc>
          <w:tcPr>
            <w:tcW w:w="52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59,880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33,374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26,506</w:t>
            </w:r>
          </w:p>
        </w:tc>
        <w:tc>
          <w:tcPr>
            <w:tcW w:w="12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13,352</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7,645</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5,707</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183"/>
        </w:trPr>
        <w:tc>
          <w:tcPr>
            <w:tcW w:w="52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gridSpan w:val="2"/>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46,528</w:t>
            </w:r>
          </w:p>
        </w:tc>
        <w:tc>
          <w:tcPr>
            <w:tcW w:w="400" w:type="dxa"/>
            <w:vAlign w:val="bottom"/>
            <w:gridSpan w:val="2"/>
          </w:tcPr>
          <w:p>
            <w:pPr>
              <w:jc w:val="right"/>
              <w:ind w:right="9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25,729</w:t>
            </w:r>
          </w:p>
        </w:tc>
        <w:tc>
          <w:tcPr>
            <w:tcW w:w="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20,799</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(8,274)</w:t>
            </w:r>
          </w:p>
        </w:tc>
        <w:tc>
          <w:tcPr>
            <w:tcW w:w="120" w:type="dxa"/>
            <w:vAlign w:val="bottom"/>
          </w:tcPr>
          <w:p>
            <w:pPr>
              <w:spacing w:after="0"/>
              <w:rPr>
                <w:sz w:val="16"/>
                <w:szCs w:val="16"/>
                <w:color w:val="auto"/>
              </w:rPr>
            </w:pPr>
          </w:p>
        </w:tc>
        <w:tc>
          <w:tcPr>
            <w:tcW w:w="14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Tax impact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4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48,532</w:t>
            </w:r>
          </w:p>
        </w:tc>
        <w:tc>
          <w:tcPr>
            <w:tcW w:w="14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9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31,980</w:t>
            </w: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16,552</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Annualized return on equity</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22.7%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Annualized adjusted return on equity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 ratio</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Combined ratio</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78.8%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Diluted earnings per share</w:t>
            </w:r>
          </w:p>
        </w:tc>
        <w:tc>
          <w:tcPr>
            <w:tcW w:w="660" w:type="dxa"/>
            <w:vAlign w:val="bottom"/>
            <w:gridSpan w:val="2"/>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tcPr>
          <w:p>
            <w:pPr>
              <w:jc w:val="right"/>
              <w:ind w:right="9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2"/>
                <w:szCs w:val="22"/>
                <w:color w:val="auto"/>
                <w:vertAlign w:val="superscript"/>
              </w:rPr>
              <w:t>(1)</w:t>
            </w:r>
          </w:p>
        </w:tc>
        <w:tc>
          <w:tcPr>
            <w:tcW w:w="660" w:type="dxa"/>
            <w:vAlign w:val="bottom"/>
            <w:gridSpan w:val="2"/>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1.76</w:t>
            </w:r>
          </w:p>
        </w:tc>
        <w:tc>
          <w:tcPr>
            <w:tcW w:w="400" w:type="dxa"/>
            <w:vAlign w:val="bottom"/>
            <w:gridSpan w:val="2"/>
          </w:tcPr>
          <w:p>
            <w:pPr>
              <w:jc w:val="right"/>
              <w:ind w:right="9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Catastrophe losses</w:t>
            </w:r>
          </w:p>
        </w:tc>
        <w:tc>
          <w:tcPr>
            <w:tcW w:w="660" w:type="dxa"/>
            <w:vAlign w:val="bottom"/>
            <w:gridSpan w:val="2"/>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tcPr>
          <w:p>
            <w:pPr>
              <w:jc w:val="right"/>
              <w:ind w:right="9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3,441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4"/>
                <w:szCs w:val="24"/>
                <w:color w:val="auto"/>
                <w:vertAlign w:val="superscript"/>
              </w:rPr>
              <w:t>(1)</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48,398</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15,479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1200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-4046855</wp:posOffset>
            </wp:positionV>
            <wp:extent cx="71323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-3557905</wp:posOffset>
            </wp:positionV>
            <wp:extent cx="713232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-2949575</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-2949575</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-2949575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-2700655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-2700655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-2700655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5" w:lineRule="exact"/>
        <w:rPr>
          <w:sz w:val="20"/>
          <w:szCs w:val="20"/>
          <w:color w:val="auto"/>
        </w:rPr>
      </w:pPr>
    </w:p>
    <w:p>
      <w:pPr>
        <w:ind w:left="1500" w:right="20" w:hanging="743"/>
        <w:spacing w:after="0" w:line="245" w:lineRule="exact"/>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8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Gross written premiums increased $111.1 million, or 28.8%, to $496.3 million for the three months ended June 30, 2025 compared to $385.2 million for the three months ended June 30, 2024. Premium growth was primarily due to an increased volume of policies in the majority of our lines of business which was driven by new business generated with existing partners, strong premium retention rates for existing business, expansion of our distribution footprint, and new partnerships, partially offset by a decrease in our Fronting line. The following table summarizes our gross written premiums by line of business and shows each line’s percentage of total gross written premiums for each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89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jc w:val="right"/>
              <w:ind w:right="18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9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2"/>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147,702</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135,029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35.1%</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12,673</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128,222</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58,605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69,617</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Inland Marine and Other Property</w:t>
            </w:r>
          </w:p>
        </w:tc>
        <w:tc>
          <w:tcPr>
            <w:tcW w:w="160" w:type="dxa"/>
            <w:vAlign w:val="bottom"/>
          </w:tcPr>
          <w:p>
            <w:pPr>
              <w:spacing w:after="0"/>
              <w:rPr>
                <w:sz w:val="16"/>
                <w:szCs w:val="16"/>
                <w:color w:val="auto"/>
              </w:rPr>
            </w:pPr>
          </w:p>
        </w:tc>
        <w:tc>
          <w:tcPr>
            <w:tcW w:w="7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120,031</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93,453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26,578</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60,869</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95,896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(35,027)</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39,464</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37,263</w:t>
            </w:r>
          </w:p>
        </w:tc>
        <w:tc>
          <w:tcPr>
            <w:tcW w:w="100" w:type="dxa"/>
            <w:vAlign w:val="bottom"/>
          </w:tcPr>
          <w:p>
            <w:pPr>
              <w:spacing w:after="0"/>
              <w:rPr>
                <w:sz w:val="16"/>
                <w:szCs w:val="16"/>
                <w:color w:val="auto"/>
              </w:rPr>
            </w:pPr>
          </w:p>
        </w:tc>
        <w:tc>
          <w:tcPr>
            <w:tcW w:w="116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496,288</w:t>
            </w:r>
          </w:p>
        </w:tc>
        <w:tc>
          <w:tcPr>
            <w:tcW w:w="1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385,184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111,104</w:t>
            </w:r>
          </w:p>
        </w:tc>
        <w:tc>
          <w:tcPr>
            <w:tcW w:w="12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5"/>
        </w:trPr>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-173990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-156845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-173990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-156845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-173990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-156845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-173990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-156845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-173990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-156845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 A large fronting partnership terminated in the third quarter of 2024, causing the decline in fronting premiums shown above.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91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jc w:val="right"/>
              <w:ind w:right="20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45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232,983</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46.9%</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193,709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50.3%</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39,274</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237,943</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177,109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60,834</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89"/>
        </w:trPr>
        <w:tc>
          <w:tcPr>
            <w:tcW w:w="45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20,134</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14,366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5,768</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5,228</w:t>
            </w:r>
          </w:p>
        </w:tc>
        <w:tc>
          <w:tcPr>
            <w:tcW w:w="1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496,288</w:t>
            </w:r>
          </w:p>
        </w:tc>
        <w:tc>
          <w:tcPr>
            <w:tcW w:w="12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385,184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111,104</w:t>
            </w:r>
          </w:p>
        </w:tc>
        <w:tc>
          <w:tcPr>
            <w:tcW w:w="12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-153670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-153670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-153670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-153670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$57.3 million, or 27.4%, to $266.5 million for the three months ended June 30, 2025 from $209.2 million for the three months ended June 30, 2024. The increase in ceded written premium was primarily driven by growth in written premiums subject to quota share arrangements, such as those in casualty and crop lines, as well as elevated exposure leading to higher XOL reinsurance expense.</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53.7% for the three months ended June 30, 2025 from 54.3% for the three months ended June 30, 2024. This percentage decrease was driven by changes in</w:t>
      </w:r>
    </w:p>
    <w:p>
      <w:pPr>
        <w:spacing w:after="0" w:line="234" w:lineRule="auto"/>
        <w:rPr>
          <w:sz w:val="20"/>
          <w:szCs w:val="20"/>
          <w:color w:val="auto"/>
        </w:rPr>
      </w:pPr>
      <w:r>
        <w:rPr>
          <w:rFonts w:ascii="Times New Roman" w:cs="Times New Roman" w:eastAsia="Times New Roman" w:hAnsi="Times New Roman"/>
          <w:sz w:val="18"/>
          <w:szCs w:val="18"/>
          <w:color w:val="auto"/>
        </w:rPr>
        <w:t>our composition of business whereby premiums written in the current period were subject to lower quota share or XOL cession percentages compared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written in the prior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89"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Net written premiums increased $53.8 million, or 30.6%, to $229.8 million for the three months ended June 30, 2025 from $176.0 million for the three months ended June 30, 2024. The increase was primarily due to an increase in gross written premiums, primarily in our Casualty and Crop lines, partially offset by increased ceded written premiums.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Net earned premiums increased $57.7 million, or 47.2%, to $180.0 million for the three months ended June 30, 2025 from $122.3 million for the three months ended June 30, 2024 due primarily to the earning of increased gross written premiums partially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408,764</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326,964</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81,800</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Ceded earned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(228,806)</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(204,679)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(24,127)</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179,958</w:t>
            </w:r>
          </w:p>
        </w:tc>
        <w:tc>
          <w:tcPr>
            <w:tcW w:w="400" w:type="dxa"/>
            <w:vAlign w:val="bottom"/>
            <w:gridSpan w:val="2"/>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122,285</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57,673</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170"/>
        </w:trPr>
        <w:tc>
          <w:tcPr>
            <w:tcW w:w="57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earned premium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-264795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-247650</wp:posOffset>
            </wp:positionV>
            <wp:extent cx="85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-264795</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ind w:right="260" w:firstLine="749"/>
        <w:spacing w:after="0" w:line="296" w:lineRule="auto"/>
        <w:rPr>
          <w:sz w:val="20"/>
          <w:szCs w:val="20"/>
          <w:color w:val="auto"/>
        </w:rPr>
      </w:pPr>
      <w:r>
        <w:rPr>
          <w:rFonts w:ascii="Times New Roman" w:cs="Times New Roman" w:eastAsia="Times New Roman" w:hAnsi="Times New Roman"/>
          <w:sz w:val="17"/>
          <w:szCs w:val="17"/>
          <w:color w:val="auto"/>
        </w:rPr>
        <w:t>Commission and other income increased $0.9 million to $1.7 million for the three months ended June 30, 2025 from $0.8 million for the three months ended June 30, 2024. The balance increased due to an increase in commissions and policy related fees driven by increased premiums written.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$15.8 million, or 51.8% to $46.2 million for the three months ended June 30, 2025 from $30.4 million for the three months ended June 30, 2024. Losses and loss adjustment expenses consisted of the following elements during the respective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156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3,441</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(3,463)</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losses</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46,205</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26,990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19,215</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losses and loss adjustment expenses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46,183</w:t>
            </w:r>
          </w:p>
        </w:tc>
        <w:tc>
          <w:tcPr>
            <w:tcW w:w="400" w:type="dxa"/>
            <w:vAlign w:val="bottom"/>
            <w:gridSpan w:val="2"/>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30,431</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15,752</w:t>
            </w:r>
          </w:p>
        </w:tc>
        <w:tc>
          <w:tcPr>
            <w:tcW w:w="15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40" w:type="dxa"/>
            <w:vAlign w:val="bottom"/>
            <w:shd w:val="clear" w:color="auto" w:fill="CFF0FC"/>
          </w:tcPr>
          <w:p>
            <w:pPr>
              <w:spacing w:after="0"/>
              <w:rPr>
                <w:sz w:val="18"/>
                <w:szCs w:val="18"/>
                <w:color w:val="auto"/>
              </w:rPr>
            </w:pP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 ratio</w:t>
            </w: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2840" w:type="dxa"/>
            <w:vAlign w:val="bottom"/>
          </w:tcPr>
          <w:p>
            <w:pPr>
              <w:spacing w:after="0"/>
              <w:rPr>
                <w:sz w:val="16"/>
                <w:szCs w:val="16"/>
                <w:color w:val="auto"/>
              </w:rPr>
            </w:pPr>
          </w:p>
        </w:tc>
      </w:tr>
      <w:tr>
        <w:trPr>
          <w:trHeight w:val="223"/>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loss ratio</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24.9%</w:t>
            </w:r>
          </w:p>
        </w:tc>
        <w:tc>
          <w:tcPr>
            <w:tcW w:w="28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quarter ended June 30, 2025 was minimal and related to favorable development on prior period catastrophe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quarter ended June 30, 2024 was primarily related to severe convective storms.</w:t>
      </w:r>
    </w:p>
    <w:p>
      <w:pPr>
        <w:spacing w:after="0" w:line="185" w:lineRule="exact"/>
        <w:rPr>
          <w:sz w:val="20"/>
          <w:szCs w:val="20"/>
          <w:color w:val="auto"/>
        </w:rPr>
      </w:pPr>
    </w:p>
    <w:p>
      <w:pPr>
        <w:jc w:val="both"/>
        <w:ind w:right="280" w:firstLine="749"/>
        <w:spacing w:after="0" w:line="250" w:lineRule="auto"/>
        <w:rPr>
          <w:sz w:val="20"/>
          <w:szCs w:val="20"/>
          <w:color w:val="auto"/>
        </w:rPr>
      </w:pPr>
      <w:r>
        <w:rPr>
          <w:rFonts w:ascii="Times New Roman" w:cs="Times New Roman" w:eastAsia="Times New Roman" w:hAnsi="Times New Roman"/>
          <w:sz w:val="18"/>
          <w:szCs w:val="18"/>
          <w:color w:val="auto"/>
        </w:rPr>
        <w:t>Non-catastrophe losses increased for the three months ended June 30, 2025 compared to the three months ended June 30, 2024 due mainly to higher attritional losses driven by premium growth on lines of business subject to attritional losses such as Casualty, Crop, and Inland Marine and Other Property.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Acquisition expenses increased $15.8 million, or 44.2%, to $51.6 million for the three months ended June 30, 2025 from $35.8 million for the three months ended June 30, 2024. The increase was primarily due to higher commissions and premium-related taxes resulting from higher gross earned premiums. Acquisition expenses as a percentage of gross earned premiums were 12.6% for the three months ended June 30, 2025 compared to 11.0% for the three months ended June 30, 2024. Acquisition expenses as a percentage of gross earned premiums increased due to higher commissions and premium-related taxes as a percentage of gross earned premiums and lower ceded commissions and fronting fees as a percentage of gross earned premiums due to changes in the composition of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increased $14.3 million, or 45.8%, to $45.5 million for the three months ended June 30, 2025 from $31.2 million for the three months ended June 30, 2024. The increase was primarily due to the Company incurring higher payroll, technology, and stock-based compensation expenses associated with growth of the Company.</w:t>
      </w:r>
    </w:p>
    <w:p>
      <w:pPr>
        <w:spacing w:after="0" w:line="150"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11.1% for the three months ended June 30, 2025 compared to 9.6% for the three months ended June 30, 2024. Excluding the impact of expenses relating to transactions, stock-based compensation, and amortization of intangibles, other underwriting expenses as a percentage of gross earned premiums were 8.7% for the three months ended June 30, 2025 compared to 7.3% for the three months ended June 30, 2024. Other underwriting expenses as a percentage of gross earned premiums fluctuates period over period based on timing of certain expenses relative to premium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17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Net investment income increased $5.4 million, or 68.0%, to $13.4 million for the three months ended June 30, 2025 from $8.0 million for the three months ended June 30, 2024. The increase was primarily due to a higher average balance of investments during the three months ended June 30, 2025 due to the investing of cash generated from operations and the proceeds from our August 2024 secondary offering as well as higher yields on invested assets versus the prior year.</w:t>
      </w:r>
    </w:p>
    <w:p>
      <w:pPr>
        <w:spacing w:after="0" w:line="150" w:lineRule="exact"/>
        <w:rPr>
          <w:sz w:val="20"/>
          <w:szCs w:val="20"/>
          <w:color w:val="auto"/>
        </w:rPr>
      </w:pPr>
    </w:p>
    <w:p>
      <w:pPr>
        <w:jc w:val="both"/>
        <w:ind w:right="180" w:firstLine="749"/>
        <w:spacing w:after="0" w:line="250" w:lineRule="auto"/>
        <w:rPr>
          <w:sz w:val="20"/>
          <w:szCs w:val="20"/>
          <w:color w:val="auto"/>
        </w:rPr>
      </w:pPr>
      <w:r>
        <w:rPr>
          <w:rFonts w:ascii="Times New Roman" w:cs="Times New Roman" w:eastAsia="Times New Roman" w:hAnsi="Times New Roman"/>
          <w:sz w:val="18"/>
          <w:szCs w:val="18"/>
          <w:color w:val="auto"/>
        </w:rPr>
        <w:t>The Company incurred $8.3 million of net realized and unrealized gains on investments for the three months ended June 30, 2025 compared to an immaterial amount of net realized and unrealized gains for the three months ended June 30, 2024.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4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13,344</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7,626</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5,718</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89"/>
        </w:trPr>
        <w:tc>
          <w:tcPr>
            <w:tcW w:w="46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management fees and expenses</w:t>
            </w:r>
          </w:p>
        </w:tc>
        <w:tc>
          <w:tcPr>
            <w:tcW w:w="1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3"/>
        </w:trPr>
        <w:tc>
          <w:tcPr>
            <w:tcW w:w="4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13,370</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7,960</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5,410</w:t>
            </w:r>
          </w:p>
        </w:tc>
        <w:tc>
          <w:tcPr>
            <w:tcW w:w="15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83"/>
        </w:trPr>
        <w:tc>
          <w:tcPr>
            <w:tcW w:w="46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8,274</w:t>
            </w:r>
          </w:p>
        </w:tc>
        <w:tc>
          <w:tcPr>
            <w:tcW w:w="1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3"/>
        </w:trPr>
        <w:tc>
          <w:tcPr>
            <w:tcW w:w="46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21,676</w:t>
            </w:r>
          </w:p>
        </w:tc>
        <w:tc>
          <w:tcPr>
            <w:tcW w:w="42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7,992</w:t>
            </w:r>
          </w:p>
        </w:tc>
        <w:tc>
          <w:tcPr>
            <w:tcW w:w="32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13,684</w:t>
            </w:r>
          </w:p>
        </w:tc>
        <w:tc>
          <w:tcPr>
            <w:tcW w:w="15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-539750</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-539750</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-539750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-282575</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-282575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-282575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Income tax expense increased $5.7 million to $13.4 million for the three months ended June 30, 2025 from $7.6 million for the three months ended June 30, 2024 due to higher pre-tax income for the period ended June 30, 2025. During the three months ended June 30, 2025 and 2024, the Company’s income tax rates of 22.3% and 22.9%, respectively, were higher than the statutory rate of 21% due primarily to non-deductible executive compensation expense.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for the six months ended June 30, 2025 and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left="830"/>
              <w:spacing w:after="0" w:line="182" w:lineRule="exact"/>
              <w:rPr>
                <w:sz w:val="20"/>
                <w:szCs w:val="20"/>
                <w:color w:val="auto"/>
              </w:rPr>
            </w:pPr>
            <w:r>
              <w:rPr>
                <w:rFonts w:ascii="Times New Roman" w:cs="Times New Roman" w:eastAsia="Times New Roman" w:hAnsi="Times New Roman"/>
                <w:sz w:val="18"/>
                <w:szCs w:val="18"/>
                <w:b w:val="1"/>
                <w:bCs w:val="1"/>
                <w:color w:val="auto"/>
                <w:w w:val="93"/>
              </w:rPr>
              <w:t>($</w:t>
            </w:r>
          </w:p>
        </w:tc>
        <w:tc>
          <w:tcPr>
            <w:tcW w:w="2880" w:type="dxa"/>
            <w:vAlign w:val="bottom"/>
            <w:gridSpan w:val="7"/>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938,452</w:t>
            </w:r>
          </w:p>
        </w:tc>
        <w:tc>
          <w:tcPr>
            <w:tcW w:w="400" w:type="dxa"/>
            <w:vAlign w:val="bottom"/>
            <w:gridSpan w:val="2"/>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753,262</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185,190</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(497,251)</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(437,352)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(59,899)</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441,201</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315,910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125,291</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57"/>
        </w:trPr>
        <w:tc>
          <w:tcPr>
            <w:tcW w:w="56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Net earned premiums</w:t>
            </w:r>
          </w:p>
        </w:tc>
        <w:tc>
          <w:tcPr>
            <w:tcW w:w="280" w:type="dxa"/>
            <w:vAlign w:val="bottom"/>
          </w:tcPr>
          <w:p>
            <w:pPr>
              <w:spacing w:after="0"/>
              <w:rPr>
                <w:sz w:val="13"/>
                <w:szCs w:val="13"/>
                <w:color w:val="auto"/>
              </w:rPr>
            </w:pPr>
          </w:p>
        </w:tc>
        <w:tc>
          <w:tcPr>
            <w:tcW w:w="106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8"/>
                <w:szCs w:val="18"/>
                <w:color w:val="auto"/>
              </w:rPr>
              <w:t>344,029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230,151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113,878</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80" w:type="dxa"/>
            <w:vAlign w:val="bottom"/>
          </w:tcPr>
          <w:p>
            <w:pPr>
              <w:spacing w:after="0"/>
              <w:rPr>
                <w:sz w:val="16"/>
                <w:szCs w:val="16"/>
                <w:color w:val="auto"/>
              </w:rPr>
            </w:pPr>
          </w:p>
        </w:tc>
        <w:tc>
          <w:tcPr>
            <w:tcW w:w="106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2,507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346,536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231,471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115,065</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84,927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57,268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27,659</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157"/>
        </w:trPr>
        <w:tc>
          <w:tcPr>
            <w:tcW w:w="56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80" w:type="dxa"/>
            <w:vAlign w:val="bottom"/>
          </w:tcPr>
          <w:p>
            <w:pPr>
              <w:spacing w:after="0"/>
              <w:rPr>
                <w:sz w:val="13"/>
                <w:szCs w:val="13"/>
                <w:color w:val="auto"/>
              </w:rPr>
            </w:pPr>
          </w:p>
        </w:tc>
        <w:tc>
          <w:tcPr>
            <w:tcW w:w="106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8"/>
                <w:szCs w:val="18"/>
                <w:color w:val="auto"/>
              </w:rPr>
              <w:t>97,996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67,604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30,392</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80" w:type="dxa"/>
            <w:vAlign w:val="bottom"/>
          </w:tcPr>
          <w:p>
            <w:pPr>
              <w:spacing w:after="0"/>
              <w:rPr>
                <w:sz w:val="16"/>
                <w:szCs w:val="16"/>
                <w:color w:val="auto"/>
              </w:rPr>
            </w:pPr>
          </w:p>
        </w:tc>
        <w:tc>
          <w:tcPr>
            <w:tcW w:w="106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81,258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56,036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25,222</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Underwriting income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82,355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50,563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31,792</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6"/>
                <w:szCs w:val="16"/>
                <w:color w:val="auto"/>
              </w:rPr>
            </w:pPr>
          </w:p>
        </w:tc>
        <w:tc>
          <w:tcPr>
            <w:tcW w:w="106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25,441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15,098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10,343</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183"/>
        </w:trPr>
        <w:tc>
          <w:tcPr>
            <w:tcW w:w="5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5"/>
                <w:szCs w:val="15"/>
                <w:color w:val="auto"/>
              </w:rPr>
            </w:pPr>
          </w:p>
        </w:tc>
        <w:tc>
          <w:tcPr>
            <w:tcW w:w="10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113,593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67,730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45,863</w:t>
            </w:r>
          </w:p>
        </w:tc>
        <w:tc>
          <w:tcPr>
            <w:tcW w:w="12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24,143</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15,619</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8,524</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183"/>
        </w:trPr>
        <w:tc>
          <w:tcPr>
            <w:tcW w:w="56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89,450</w:t>
            </w:r>
          </w:p>
        </w:tc>
        <w:tc>
          <w:tcPr>
            <w:tcW w:w="400" w:type="dxa"/>
            <w:vAlign w:val="bottom"/>
            <w:gridSpan w:val="2"/>
          </w:tcPr>
          <w:p>
            <w:pPr>
              <w:jc w:val="right"/>
              <w:ind w:right="9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52,111</w:t>
            </w:r>
          </w:p>
        </w:tc>
        <w:tc>
          <w:tcPr>
            <w:tcW w:w="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37,339</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80" w:type="dxa"/>
            <w:vAlign w:val="bottom"/>
          </w:tcPr>
          <w:p>
            <w:pPr>
              <w:spacing w:after="0"/>
              <w:rPr>
                <w:sz w:val="16"/>
                <w:szCs w:val="16"/>
                <w:color w:val="auto"/>
              </w:rPr>
            </w:pPr>
          </w:p>
        </w:tc>
        <w:tc>
          <w:tcPr>
            <w:tcW w:w="10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(2,934)</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2,841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6"/>
                <w:szCs w:val="16"/>
                <w:color w:val="auto"/>
              </w:rPr>
            </w:pPr>
          </w:p>
        </w:tc>
        <w:tc>
          <w:tcPr>
            <w:tcW w:w="106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10,092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2,303</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2,054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157"/>
        </w:trPr>
        <w:tc>
          <w:tcPr>
            <w:tcW w:w="56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280" w:type="dxa"/>
            <w:vAlign w:val="bottom"/>
          </w:tcPr>
          <w:p>
            <w:pPr>
              <w:spacing w:after="0"/>
              <w:rPr>
                <w:sz w:val="13"/>
                <w:szCs w:val="13"/>
                <w:color w:val="auto"/>
              </w:rPr>
            </w:pPr>
          </w:p>
        </w:tc>
        <w:tc>
          <w:tcPr>
            <w:tcW w:w="1060" w:type="dxa"/>
            <w:vAlign w:val="bottom"/>
          </w:tcPr>
          <w:p>
            <w:pPr>
              <w:jc w:val="right"/>
              <w:ind w:right="150"/>
              <w:spacing w:after="0" w:line="157"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Tax impact</w:t>
            </w:r>
          </w:p>
        </w:tc>
        <w:tc>
          <w:tcPr>
            <w:tcW w:w="280" w:type="dxa"/>
            <w:vAlign w:val="bottom"/>
          </w:tcPr>
          <w:p>
            <w:pPr>
              <w:spacing w:after="0"/>
              <w:rPr>
                <w:sz w:val="16"/>
                <w:szCs w:val="16"/>
                <w:color w:val="auto"/>
              </w:rPr>
            </w:pPr>
          </w:p>
        </w:tc>
        <w:tc>
          <w:tcPr>
            <w:tcW w:w="106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ind w:left="10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99,837</w:t>
            </w:r>
          </w:p>
        </w:tc>
        <w:tc>
          <w:tcPr>
            <w:tcW w:w="14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9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59,775</w:t>
            </w: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40,062</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Annualized return on equity</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22.7%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Annualized adjusted return on equity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 ratio</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Combined ratio</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76.1%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3.24</w:t>
            </w:r>
          </w:p>
        </w:tc>
        <w:tc>
          <w:tcPr>
            <w:tcW w:w="400" w:type="dxa"/>
            <w:vAlign w:val="bottom"/>
            <w:gridSpan w:val="2"/>
          </w:tcPr>
          <w:p>
            <w:pPr>
              <w:jc w:val="right"/>
              <w:ind w:right="9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3.62</w:t>
            </w:r>
          </w:p>
        </w:tc>
        <w:tc>
          <w:tcPr>
            <w:tcW w:w="400" w:type="dxa"/>
            <w:vAlign w:val="bottom"/>
            <w:gridSpan w:val="2"/>
          </w:tcPr>
          <w:p>
            <w:pPr>
              <w:jc w:val="right"/>
              <w:ind w:right="9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Catastrophe losses</w:t>
            </w:r>
          </w:p>
        </w:tc>
        <w:tc>
          <w:tcPr>
            <w:tcW w:w="28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(565)</w:t>
            </w:r>
          </w:p>
        </w:tc>
        <w:tc>
          <w:tcPr>
            <w:tcW w:w="400" w:type="dxa"/>
            <w:vAlign w:val="bottom"/>
            <w:gridSpan w:val="2"/>
          </w:tcPr>
          <w:p>
            <w:pPr>
              <w:jc w:val="right"/>
              <w:ind w:right="9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6,800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20" w:type="dxa"/>
            <w:vAlign w:val="bottom"/>
            <w:gridSpan w:val="2"/>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100,003</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62,086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37,917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1200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-4046855</wp:posOffset>
            </wp:positionV>
            <wp:extent cx="713232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-3557905</wp:posOffset>
            </wp:positionV>
            <wp:extent cx="71323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-2949575</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-2949575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-2949575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-2700655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-2700655</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-2700655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13232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51" w:lineRule="exact"/>
        <w:rPr>
          <w:sz w:val="20"/>
          <w:szCs w:val="20"/>
          <w:color w:val="auto"/>
        </w:rPr>
      </w:pPr>
    </w:p>
    <w:p>
      <w:pPr>
        <w:ind w:left="1500" w:right="20" w:hanging="743"/>
        <w:spacing w:after="0" w:line="245" w:lineRule="exact"/>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89" w:lineRule="exact"/>
        <w:rPr>
          <w:sz w:val="20"/>
          <w:szCs w:val="20"/>
          <w:color w:val="auto"/>
        </w:rPr>
      </w:pPr>
    </w:p>
    <w:p>
      <w:pPr>
        <w:jc w:val="both"/>
        <w:ind w:right="480" w:firstLine="749"/>
        <w:spacing w:after="0" w:line="250" w:lineRule="auto"/>
        <w:rPr>
          <w:sz w:val="20"/>
          <w:szCs w:val="20"/>
          <w:color w:val="auto"/>
        </w:rPr>
      </w:pPr>
      <w:r>
        <w:rPr>
          <w:rFonts w:ascii="Times New Roman" w:cs="Times New Roman" w:eastAsia="Times New Roman" w:hAnsi="Times New Roman"/>
          <w:sz w:val="18"/>
          <w:szCs w:val="18"/>
          <w:color w:val="auto"/>
        </w:rPr>
        <w:t>Gross written premiums increased $185.2 million, or 24.6%, to $938.5 million for the six months ended June 30, 2025 compared to $753.3 million for the six months ended June 30, 2024. Premium growth was primarily due to an increased volume of policies in the majority of our lines of business which was driven by new business generated with existing partners, strong premium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retention rates for existing business, expansion of our distribution footprint, and new partnerships, partially offset by a decrease in our Fronting line. The following table summarizes our gross written premiums by line of business and shows each line’s percentage of total gross written premiums for each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89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jc w:val="center"/>
              <w:ind w:left="751"/>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9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277,929</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29.7%</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240,759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32.0%</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37,170</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114,810</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190,727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(75,917)</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Inland Marine and Other Property</w:t>
            </w:r>
          </w:p>
        </w:tc>
        <w:tc>
          <w:tcPr>
            <w:tcW w:w="160" w:type="dxa"/>
            <w:vAlign w:val="bottom"/>
          </w:tcPr>
          <w:p>
            <w:pPr>
              <w:spacing w:after="0"/>
              <w:rPr>
                <w:sz w:val="16"/>
                <w:szCs w:val="16"/>
                <w:color w:val="auto"/>
              </w:rPr>
            </w:pPr>
          </w:p>
        </w:tc>
        <w:tc>
          <w:tcPr>
            <w:tcW w:w="7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219,098</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170,329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48,769</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238,932</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110,539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128,393</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87,683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40,908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46,775</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938,452</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753,262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185,190</w:t>
            </w:r>
          </w:p>
        </w:tc>
        <w:tc>
          <w:tcPr>
            <w:tcW w:w="12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 A large fronting partnership terminated in the third quarter of 2024, causing the decline in fronting premiums shown above.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91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jc w:val="center"/>
              <w:ind w:left="711"/>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6"/>
                <w:szCs w:val="16"/>
                <w:color w:val="auto"/>
              </w:rPr>
            </w:pPr>
          </w:p>
        </w:tc>
        <w:tc>
          <w:tcPr>
            <w:tcW w:w="11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45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463,900</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49.4%</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416,366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47,534</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428,730</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313,603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115,127</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89"/>
        </w:trPr>
        <w:tc>
          <w:tcPr>
            <w:tcW w:w="45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36,171</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23,293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12,878</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9,651</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9,651</w:t>
            </w:r>
          </w:p>
        </w:tc>
        <w:tc>
          <w:tcPr>
            <w:tcW w:w="1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938,452</w:t>
            </w:r>
          </w:p>
        </w:tc>
        <w:tc>
          <w:tcPr>
            <w:tcW w:w="12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753,262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185,190</w:t>
            </w:r>
          </w:p>
        </w:tc>
        <w:tc>
          <w:tcPr>
            <w:tcW w:w="12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-153670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-153670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-153670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-153670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jc w:val="both"/>
        <w:ind w:right="260" w:firstLine="749"/>
        <w:spacing w:after="0" w:line="250" w:lineRule="auto"/>
        <w:rPr>
          <w:sz w:val="20"/>
          <w:szCs w:val="20"/>
          <w:color w:val="auto"/>
        </w:rPr>
      </w:pPr>
      <w:r>
        <w:rPr>
          <w:rFonts w:ascii="Times New Roman" w:cs="Times New Roman" w:eastAsia="Times New Roman" w:hAnsi="Times New Roman"/>
          <w:sz w:val="18"/>
          <w:szCs w:val="18"/>
          <w:color w:val="auto"/>
        </w:rPr>
        <w:t>Ceded written premiums increased $59.9 million, or 13.7%, to $497.3 million for the six months ended June 30, 2025 from $437.4 million for the six months ended June 30, 2024. The increase in ceded written premium was primarily driven by growth in written premiums subject to quota share arrangements, such as those in casualty and crop lines, as well as elevated exposure leading to higher XOL reinsurance expense.</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53.0% for the six months ended June 30, 2025 from 58.1% for the six months ended June 30, 2024. This percentage decrease was driven by changes in our composition of business whereby premiums written in the current period were subject to lower quota share or XOL cession percentages compared to premiums written in the prior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7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Net written premiums increased $125.3 million, or 39.7%, to $441.2 million for the six months ended June 30, 2025 from $315.9 million for the six months ended June 30, 2024. The increase was primarily due to an increase in gross written premiums, primarily in our Casualty and Inland Marine and Other Property lines, partially offset by increased ceded written premiums.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7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Net earned premiums increased $113.9 million, or 49.5%, to $344.0 million for the six months ended June 30, 2025 from $230.2 million for the six months ended June 30, 2024 due primarily to the earning of increased gross written premiums offset by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earning of ceded written premiums under reinsurance agreements. The table below shows the amount of premiums we earned on a gross and net basis and net earned premiums as a percentage of gross earned premiums in each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784,540</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629,835</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154,705</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Ceded earned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(440,511)</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(399,684)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(40,827)</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344,029</w:t>
            </w:r>
          </w:p>
        </w:tc>
        <w:tc>
          <w:tcPr>
            <w:tcW w:w="400" w:type="dxa"/>
            <w:vAlign w:val="bottom"/>
            <w:gridSpan w:val="2"/>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230,151</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113,878</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69"/>
        </w:trPr>
        <w:tc>
          <w:tcPr>
            <w:tcW w:w="57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earned premium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-264795</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-248285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-264795</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-248285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-248285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89" w:lineRule="exact"/>
        <w:rPr>
          <w:sz w:val="20"/>
          <w:szCs w:val="20"/>
          <w:color w:val="auto"/>
        </w:rPr>
      </w:pPr>
    </w:p>
    <w:p>
      <w:pPr>
        <w:jc w:val="both"/>
        <w:ind w:right="500" w:firstLine="749"/>
        <w:spacing w:after="0" w:line="296" w:lineRule="auto"/>
        <w:rPr>
          <w:sz w:val="20"/>
          <w:szCs w:val="20"/>
          <w:color w:val="auto"/>
        </w:rPr>
      </w:pPr>
      <w:r>
        <w:rPr>
          <w:rFonts w:ascii="Times New Roman" w:cs="Times New Roman" w:eastAsia="Times New Roman" w:hAnsi="Times New Roman"/>
          <w:sz w:val="17"/>
          <w:szCs w:val="17"/>
          <w:color w:val="auto"/>
        </w:rPr>
        <w:t>Commission and other income increased $1.2 million to $2.5 million for the six months ended June 30, 2025 from $1.3 million for the six months ended June 30, 2024. The balance increased due to an increase in commissions and policy related fees driven by increased premiums written.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7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increased $27.7 million, or 48.3% to $84.9 million for the six months ended June 30, 2025 from $57.3 million for the six months ended June 30, 2024. Losses and loss adjustment expenses consisted of the following elements during the respective periods: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15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(565)</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6,800</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(7,365)</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losses</w:t>
            </w: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85,492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50,468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35,024</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losses and loss adjustment expenses</w:t>
            </w:r>
          </w:p>
        </w:tc>
        <w:tc>
          <w:tcPr>
            <w:tcW w:w="154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84,927</w:t>
            </w:r>
          </w:p>
        </w:tc>
        <w:tc>
          <w:tcPr>
            <w:tcW w:w="380" w:type="dxa"/>
            <w:vAlign w:val="bottom"/>
            <w:gridSpan w:val="2"/>
            <w:shd w:val="clear" w:color="auto" w:fill="CFF0FC"/>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57,268</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27,659</w:t>
            </w:r>
          </w:p>
        </w:tc>
        <w:tc>
          <w:tcPr>
            <w:tcW w:w="15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85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857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857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40" w:type="dxa"/>
            <w:vAlign w:val="bottom"/>
            <w:shd w:val="clear" w:color="auto" w:fill="CFF0FC"/>
          </w:tcPr>
          <w:p>
            <w:pPr>
              <w:spacing w:after="0"/>
              <w:rPr>
                <w:sz w:val="18"/>
                <w:szCs w:val="18"/>
                <w:color w:val="auto"/>
              </w:rPr>
            </w:pPr>
          </w:p>
        </w:tc>
      </w:tr>
      <w:tr>
        <w:trPr>
          <w:trHeight w:val="189"/>
        </w:trPr>
        <w:tc>
          <w:tcPr>
            <w:tcW w:w="5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 ratio</w:t>
            </w: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21.9%</w:t>
            </w:r>
          </w:p>
        </w:tc>
        <w:tc>
          <w:tcPr>
            <w:tcW w:w="2840" w:type="dxa"/>
            <w:vAlign w:val="bottom"/>
          </w:tcPr>
          <w:p>
            <w:pPr>
              <w:spacing w:after="0"/>
              <w:rPr>
                <w:sz w:val="16"/>
                <w:szCs w:val="16"/>
                <w:color w:val="auto"/>
              </w:rPr>
            </w:pPr>
          </w:p>
        </w:tc>
      </w:tr>
      <w:tr>
        <w:trPr>
          <w:trHeight w:val="223"/>
        </w:trPr>
        <w:tc>
          <w:tcPr>
            <w:tcW w:w="56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loss ratio</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24.9%</w:t>
            </w:r>
          </w:p>
        </w:tc>
        <w:tc>
          <w:tcPr>
            <w:tcW w:w="28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six months ended June 30, 2025 was related to favorable development on prior period catastrophe events.</w:t>
      </w:r>
    </w:p>
    <w:p>
      <w:pPr>
        <w:spacing w:after="0" w:line="17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Catastrophe loss activity for the six months ended June 30, 2024 was primarily related to flood losses in the first quarter and severe convective storms in the second quarter.</w:t>
      </w:r>
    </w:p>
    <w:p>
      <w:pPr>
        <w:spacing w:after="0" w:line="10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Non-catastrophe losses increased for the six months ended June 30, 2025 compared to the six months ended June 30, 2024 due mainly to higher attritional losses driven by premium growth on lines of business subject to attritional losses such as Casualty and Inland Marine and Other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18"/>
          <w:szCs w:val="18"/>
          <w:color w:val="auto"/>
        </w:rPr>
        <w:t>Acquisition expenses increased $30.4 million, or 45.0%, to $98.0 million for the six months ended June 30, 2025 from $67.6 million for the six months ended June 30, 2024. The increase was primarily due to higher commissions and premium-related taxes resulting from higher gross earned premiums. Acquisition expenses as a percentage of gross earned premiums were 12.5% for the six months ended June 30, 2025 compared to 10.7% for the six months ended June 30, 2024. Acquisition expenses as a percentage of gross earned premiums increased due to higher commissions and premium-related taxes as a percentage of gross earned premiums and lower ceded commissions and fronting fees as a percentage of gross earned premiums due to changes in the composition of our business.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increased $25.2 million, or 45.0%, to $81.3 million for the six months ended June 30, 2025 from $56.0 million for the six months ended June 30, 2024. The increase was primarily due to the Company incurring higher payroll, technology, and stock-based compensation expenses associated with growth of the Company.</w:t>
      </w:r>
    </w:p>
    <w:p>
      <w:pPr>
        <w:spacing w:after="0" w:line="150"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10.4% for the six months ended June 30, 2025 compared to 8.9% for the six months ended June 30, 2024. Excluding the impact of expenses relating to transactions, stock-based compensation, and amortization of intangibles, other underwriting expenses as a percentage of gross earned premiums were 8.1% for the six months ended June 30, 2025 compared to 7.1% for the six months ended June 30, 2024. Other underwriting expenses as a percentage of gross earned premiums fluctuates period over period based on timing of certain expenses relative to premium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1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Net investment income increased $10.3 million, or 68.5%, to $25.4 million for the six months ended June 30, 2025 from $15.1 million for the six months ended June 30, 2024. The increase was primarily due to a higher average balance of investments during the six months ended June 30, 2025 due primarily to the investing of proceeds from our August 2024 secondary offering and also due to higher yields on invested assets versus the prior year.</w:t>
      </w:r>
    </w:p>
    <w:p>
      <w:pPr>
        <w:spacing w:after="0" w:line="142"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The Company incurred $6.0 million of net realized and unrealized gains on investments for the six months ended June 30, 2025 compared to $3.0 million of net realized and unrealized gains for the six months ended June 30, 2024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25,308</w:t>
            </w:r>
          </w:p>
        </w:tc>
        <w:tc>
          <w:tcPr>
            <w:tcW w:w="4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14,952</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10,356</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189"/>
        </w:trPr>
        <w:tc>
          <w:tcPr>
            <w:tcW w:w="5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(117)</w:t>
            </w:r>
          </w:p>
        </w:tc>
        <w:tc>
          <w:tcPr>
            <w:tcW w:w="148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83"/>
        </w:trPr>
        <w:tc>
          <w:tcPr>
            <w:tcW w:w="5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25,441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15,098</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10,343</w:t>
            </w:r>
          </w:p>
        </w:tc>
        <w:tc>
          <w:tcPr>
            <w:tcW w:w="14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2,934</w:t>
            </w:r>
          </w:p>
        </w:tc>
        <w:tc>
          <w:tcPr>
            <w:tcW w:w="14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183"/>
        </w:trPr>
        <w:tc>
          <w:tcPr>
            <w:tcW w:w="5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31,409</w:t>
            </w:r>
          </w:p>
        </w:tc>
        <w:tc>
          <w:tcPr>
            <w:tcW w:w="42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18,132</w:t>
            </w:r>
          </w:p>
        </w:tc>
        <w:tc>
          <w:tcPr>
            <w:tcW w:w="30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13,277</w:t>
            </w:r>
          </w:p>
        </w:tc>
        <w:tc>
          <w:tcPr>
            <w:tcW w:w="1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-410845</wp:posOffset>
            </wp:positionV>
            <wp:extent cx="857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-410845</wp:posOffset>
            </wp:positionV>
            <wp:extent cx="857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-410845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-153670</wp:posOffset>
            </wp:positionV>
            <wp:extent cx="857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-153670</wp:posOffset>
            </wp:positionV>
            <wp:extent cx="857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-153670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Income tax expense increased $8.5 million to $24.1 million for the six months ended June 30, 2025 from $15.6 million for the six months ended June 30, 2024 due to higher pre-tax income for the period ended June 30, 2025. For the six months ended June 30, 2025 and 2024, the Company’s income tax rates of 21.3% and 23.1%, respectively, were higher than the statutory rate of 21% due primarily to non-deductible executive compensation expense.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17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5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19"/>
                <w:szCs w:val="19"/>
                <w:color w:val="auto"/>
              </w:rPr>
            </w:pPr>
          </w:p>
        </w:tc>
      </w:tr>
      <w:tr>
        <w:trPr>
          <w:trHeight w:val="18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5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203,311</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131,069</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377,945</w:t>
            </w:r>
          </w:p>
        </w:tc>
        <w:tc>
          <w:tcPr>
            <w:tcW w:w="4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249,603</w:t>
            </w:r>
          </w:p>
        </w:tc>
      </w:tr>
      <w:tr>
        <w:trPr>
          <w:trHeight w:val="189"/>
        </w:trPr>
        <w:tc>
          <w:tcPr>
            <w:tcW w:w="5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(7,960)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(25,441)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(15,098)</w:t>
            </w:r>
          </w:p>
        </w:tc>
      </w:tr>
      <w:tr>
        <w:trPr>
          <w:trHeight w:val="189"/>
        </w:trPr>
        <w:tc>
          <w:tcPr>
            <w:tcW w:w="58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(3,034)</w:t>
            </w:r>
          </w:p>
        </w:tc>
      </w:tr>
      <w:tr>
        <w:trPr>
          <w:trHeight w:val="183"/>
        </w:trPr>
        <w:tc>
          <w:tcPr>
            <w:tcW w:w="5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Underwriting revenue</w:t>
            </w:r>
          </w:p>
        </w:tc>
        <w:tc>
          <w:tcPr>
            <w:tcW w:w="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181,635</w:t>
            </w:r>
          </w:p>
        </w:tc>
        <w:tc>
          <w:tcPr>
            <w:tcW w:w="4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123,077</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346,536</w:t>
            </w:r>
          </w:p>
        </w:tc>
        <w:tc>
          <w:tcPr>
            <w:tcW w:w="4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231,471</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-153670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-153670</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189" w:lineRule="exact"/>
        <w:rPr>
          <w:sz w:val="20"/>
          <w:szCs w:val="20"/>
          <w:color w:val="auto"/>
        </w:rPr>
      </w:pPr>
    </w:p>
    <w:p>
      <w:pPr>
        <w:ind w:right="40" w:firstLine="749"/>
        <w:spacing w:after="0" w:line="212"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159" w:lineRule="exact"/>
        <w:rPr>
          <w:sz w:val="20"/>
          <w:szCs w:val="20"/>
          <w:color w:val="auto"/>
        </w:rPr>
      </w:pPr>
    </w:p>
    <w:p>
      <w:pPr>
        <w:jc w:val="both"/>
        <w:ind w:right="100" w:firstLine="749"/>
        <w:spacing w:after="0" w:line="214"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Income before income taxes calculated in accordance with GAAP reconciles to underwriting income and adjusted underwriting income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59,880</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33,374</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113,593</w:t>
            </w:r>
          </w:p>
        </w:tc>
        <w:tc>
          <w:tcPr>
            <w:tcW w:w="4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67,730</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(7,960)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(25,441)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(15,098)</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Underwriting income</w:t>
            </w:r>
          </w:p>
        </w:tc>
        <w:tc>
          <w:tcPr>
            <w:tcW w:w="152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38,290</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25,607</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82,355</w:t>
            </w:r>
          </w:p>
        </w:tc>
        <w:tc>
          <w:tcPr>
            <w:tcW w:w="42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50,563</w:t>
            </w:r>
          </w:p>
        </w:tc>
        <w:tc>
          <w:tcPr>
            <w:tcW w:w="0" w:type="dxa"/>
            <w:vAlign w:val="bottom"/>
          </w:tcPr>
          <w:p>
            <w:pPr>
              <w:spacing w:after="0"/>
              <w:rPr>
                <w:sz w:val="1"/>
                <w:szCs w:val="1"/>
                <w:color w:val="auto"/>
              </w:rPr>
            </w:pPr>
          </w:p>
        </w:tc>
      </w:tr>
      <w:tr>
        <w:trPr>
          <w:trHeight w:val="169"/>
        </w:trPr>
        <w:tc>
          <w:tcPr>
            <w:tcW w:w="454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12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754</w:t>
            </w:r>
          </w:p>
        </w:tc>
        <w:tc>
          <w:tcPr>
            <w:tcW w:w="1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472</w:t>
            </w: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2,841</w:t>
            </w:r>
          </w:p>
        </w:tc>
        <w:tc>
          <w:tcPr>
            <w:tcW w:w="1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10,092</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7,789</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2,054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1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183"/>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underwriting income</w:t>
            </w:r>
          </w:p>
        </w:tc>
        <w:tc>
          <w:tcPr>
            <w:tcW w:w="15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48,398</w:t>
            </w:r>
          </w:p>
        </w:tc>
        <w:tc>
          <w:tcPr>
            <w:tcW w:w="4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32,919</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100,003</w:t>
            </w:r>
          </w:p>
        </w:tc>
        <w:tc>
          <w:tcPr>
            <w:tcW w:w="42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62,086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-1576705</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-1559560</wp:posOffset>
            </wp:positionV>
            <wp:extent cx="857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-1576705</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-1559560</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-1576705</wp:posOffset>
            </wp:positionV>
            <wp:extent cx="857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-1559560</wp:posOffset>
            </wp:positionV>
            <wp:extent cx="85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-1071245</wp:posOffset>
            </wp:positionV>
            <wp:extent cx="857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-1071245</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-1071245</wp:posOffset>
            </wp:positionV>
            <wp:extent cx="857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7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4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19"/>
                <w:szCs w:val="19"/>
                <w:color w:val="auto"/>
              </w:rPr>
            </w:pPr>
          </w:p>
        </w:tc>
      </w:tr>
      <w:tr>
        <w:trPr>
          <w:trHeight w:val="18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420" w:type="dxa"/>
            <w:vAlign w:val="bottom"/>
            <w:gridSpan w:val="2"/>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38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89,450</w:t>
            </w:r>
          </w:p>
        </w:tc>
        <w:tc>
          <w:tcPr>
            <w:tcW w:w="4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52,111</w:t>
            </w:r>
          </w:p>
        </w:tc>
      </w:tr>
      <w:tr>
        <w:trPr>
          <w:trHeight w:val="203"/>
        </w:trPr>
        <w:tc>
          <w:tcPr>
            <w:tcW w:w="4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(8,306)</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(5,968)</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(3,034)</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472</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10,092</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7,789</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2,054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779</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2,483</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Tax impact</w:t>
            </w: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(825)</w:t>
            </w:r>
          </w:p>
        </w:tc>
      </w:tr>
      <w:tr>
        <w:trPr>
          <w:trHeight w:val="203"/>
        </w:trPr>
        <w:tc>
          <w:tcPr>
            <w:tcW w:w="46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net income</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48,532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31,980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99,837</w:t>
            </w:r>
          </w:p>
        </w:tc>
        <w:tc>
          <w:tcPr>
            <w:tcW w:w="42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59,775</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189"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6"/>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183"/>
        </w:trPr>
        <w:tc>
          <w:tcPr>
            <w:tcW w:w="5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Annualized adjusted net income</w:t>
            </w:r>
          </w:p>
        </w:tc>
        <w:tc>
          <w:tcPr>
            <w:tcW w:w="22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194,128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127,920</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199,674</w:t>
            </w:r>
          </w:p>
        </w:tc>
        <w:tc>
          <w:tcPr>
            <w:tcW w:w="42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119,550</w:t>
            </w: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Average stockholders’ equity</w:t>
            </w:r>
          </w:p>
        </w:tc>
        <w:tc>
          <w:tcPr>
            <w:tcW w:w="220" w:type="dxa"/>
            <w:vAlign w:val="bottom"/>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818,823</w:t>
            </w:r>
          </w:p>
        </w:tc>
        <w:tc>
          <w:tcPr>
            <w:tcW w:w="14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517,131</w:t>
            </w:r>
          </w:p>
        </w:tc>
        <w:tc>
          <w:tcPr>
            <w:tcW w:w="3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788,114</w:t>
            </w:r>
          </w:p>
        </w:tc>
        <w:tc>
          <w:tcPr>
            <w:tcW w:w="4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501,928</w:t>
            </w:r>
          </w:p>
        </w:tc>
      </w:tr>
      <w:tr>
        <w:trPr>
          <w:trHeight w:val="183"/>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Annualized adjusted return on equity</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-265430</wp:posOffset>
            </wp:positionV>
            <wp:extent cx="857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-265430</wp:posOffset>
            </wp:positionV>
            <wp:extent cx="857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-265430</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85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18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57"/>
        </w:trPr>
        <w:tc>
          <w:tcPr>
            <w:tcW w:w="5660" w:type="dxa"/>
            <w:vAlign w:val="bottom"/>
            <w:gridSpan w:val="2"/>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and other underwriting expenses, net of commission and other</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141,668</w:t>
            </w:r>
          </w:p>
        </w:tc>
        <w:tc>
          <w:tcPr>
            <w:tcW w:w="14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96,678</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261,674</w:t>
            </w:r>
          </w:p>
        </w:tc>
        <w:tc>
          <w:tcPr>
            <w:tcW w:w="4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179,588</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179,958</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122,285</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344,029</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230,151</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Adjustments to numerator: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(754)</w:t>
            </w:r>
          </w:p>
        </w:tc>
        <w:tc>
          <w:tcPr>
            <w:tcW w:w="40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(472)</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(2,841)</w:t>
            </w:r>
          </w:p>
        </w:tc>
        <w:tc>
          <w:tcPr>
            <w:tcW w:w="42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(5,347)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(10,092)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(7,789)</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(2,054)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combined ratio</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-1071245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-1071245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-796290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183"/>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47"/>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3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w:t>
            </w:r>
          </w:p>
        </w:tc>
        <w:tc>
          <w:tcPr>
            <w:tcW w:w="1380" w:type="dxa"/>
            <w:vAlign w:val="bottom"/>
            <w:gridSpan w:val="3"/>
          </w:tcPr>
          <w:p>
            <w:pPr>
              <w:jc w:val="right"/>
              <w:ind w:right="110"/>
              <w:spacing w:after="0" w:line="147" w:lineRule="exact"/>
              <w:rPr>
                <w:sz w:val="20"/>
                <w:szCs w:val="20"/>
                <w:color w:val="auto"/>
              </w:rPr>
            </w:pPr>
            <w:r>
              <w:rPr>
                <w:rFonts w:ascii="Times New Roman" w:cs="Times New Roman" w:eastAsia="Times New Roman" w:hAnsi="Times New Roman"/>
                <w:sz w:val="17"/>
                <w:szCs w:val="17"/>
                <w:b w:val="1"/>
                <w:bCs w:val="1"/>
                <w:color w:val="auto"/>
                <w:w w:val="97"/>
              </w:rPr>
              <w:t>except per share</w:t>
            </w:r>
          </w:p>
        </w:tc>
        <w:tc>
          <w:tcPr>
            <w:tcW w:w="140" w:type="dxa"/>
            <w:vAlign w:val="bottom"/>
          </w:tcPr>
          <w:p>
            <w:pPr>
              <w:spacing w:after="0"/>
              <w:rPr>
                <w:sz w:val="12"/>
                <w:szCs w:val="12"/>
                <w:color w:val="auto"/>
              </w:rPr>
            </w:pPr>
          </w:p>
        </w:tc>
        <w:tc>
          <w:tcPr>
            <w:tcW w:w="1260" w:type="dxa"/>
            <w:vAlign w:val="bottom"/>
            <w:gridSpan w:val="2"/>
          </w:tcPr>
          <w:p>
            <w:pPr>
              <w:jc w:val="right"/>
              <w:ind w:right="5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w:t>
            </w:r>
          </w:p>
        </w:tc>
        <w:tc>
          <w:tcPr>
            <w:tcW w:w="1400" w:type="dxa"/>
            <w:vAlign w:val="bottom"/>
            <w:gridSpan w:val="3"/>
          </w:tcPr>
          <w:p>
            <w:pPr>
              <w:jc w:val="right"/>
              <w:ind w:right="130"/>
              <w:spacing w:after="0" w:line="147" w:lineRule="exact"/>
              <w:rPr>
                <w:sz w:val="20"/>
                <w:szCs w:val="20"/>
                <w:color w:val="auto"/>
              </w:rPr>
            </w:pPr>
            <w:r>
              <w:rPr>
                <w:rFonts w:ascii="Times New Roman" w:cs="Times New Roman" w:eastAsia="Times New Roman" w:hAnsi="Times New Roman"/>
                <w:sz w:val="17"/>
                <w:szCs w:val="17"/>
                <w:b w:val="1"/>
                <w:bCs w:val="1"/>
                <w:color w:val="auto"/>
                <w:w w:val="97"/>
              </w:rPr>
              <w:t>except per share</w:t>
            </w:r>
          </w:p>
        </w:tc>
      </w:tr>
      <w:tr>
        <w:trPr>
          <w:trHeight w:val="225"/>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20" w:type="dxa"/>
            <w:vAlign w:val="bottom"/>
          </w:tcPr>
          <w:p>
            <w:pPr>
              <w:spacing w:after="0"/>
              <w:rPr>
                <w:sz w:val="19"/>
                <w:szCs w:val="19"/>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Adjusted net income</w:t>
            </w:r>
          </w:p>
        </w:tc>
        <w:tc>
          <w:tcPr>
            <w:tcW w:w="580" w:type="dxa"/>
            <w:vAlign w:val="bottom"/>
            <w:gridSpan w:val="2"/>
            <w:shd w:val="clear" w:color="auto" w:fill="CFF0FC"/>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48,532</w:t>
            </w:r>
          </w:p>
        </w:tc>
        <w:tc>
          <w:tcPr>
            <w:tcW w:w="40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31,980</w:t>
            </w:r>
          </w:p>
        </w:tc>
        <w:tc>
          <w:tcPr>
            <w:tcW w:w="340" w:type="dxa"/>
            <w:vAlign w:val="bottom"/>
            <w:gridSpan w:val="2"/>
            <w:shd w:val="clear" w:color="auto" w:fill="CFF0FC"/>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99,837</w:t>
            </w:r>
          </w:p>
        </w:tc>
        <w:tc>
          <w:tcPr>
            <w:tcW w:w="380" w:type="dxa"/>
            <w:vAlign w:val="bottom"/>
            <w:gridSpan w:val="2"/>
            <w:shd w:val="clear" w:color="auto" w:fill="CFF0FC"/>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59,775</w:t>
            </w:r>
          </w:p>
        </w:tc>
      </w:tr>
      <w:tr>
        <w:trPr>
          <w:trHeight w:val="196"/>
        </w:trPr>
        <w:tc>
          <w:tcPr>
            <w:tcW w:w="54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27,628,733</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25,617,916</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27,568,913</w:t>
            </w: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25,554,445</w:t>
            </w:r>
          </w:p>
        </w:tc>
      </w:tr>
      <w:tr>
        <w:trPr>
          <w:trHeight w:val="196"/>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adjusted earnings per share</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2.34</w:t>
            </w: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-281940</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-281940</wp:posOffset>
            </wp:positionV>
            <wp:extent cx="857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175"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25"/>
        </w:trPr>
        <w:tc>
          <w:tcPr>
            <w:tcW w:w="56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6"/>
        </w:trPr>
        <w:tc>
          <w:tcPr>
            <w:tcW w:w="1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1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center"/>
              <w:ind w:left="41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15"/>
                <w:szCs w:val="15"/>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2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46,183</w:t>
            </w:r>
          </w:p>
        </w:tc>
        <w:tc>
          <w:tcPr>
            <w:tcW w:w="40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30,431</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84,927</w:t>
            </w:r>
          </w:p>
        </w:tc>
        <w:tc>
          <w:tcPr>
            <w:tcW w:w="520" w:type="dxa"/>
            <w:vAlign w:val="bottom"/>
            <w:gridSpan w:val="2"/>
            <w:shd w:val="clear" w:color="auto" w:fill="CFF0FC"/>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57,268</w:t>
            </w:r>
          </w:p>
        </w:tc>
      </w:tr>
      <w:tr>
        <w:trPr>
          <w:trHeight w:val="20"/>
        </w:trPr>
        <w:tc>
          <w:tcPr>
            <w:tcW w:w="1380" w:type="dxa"/>
            <w:vAlign w:val="bottom"/>
            <w:shd w:val="clear" w:color="auto" w:fill="CFF0FC"/>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96"/>
        </w:trPr>
        <w:tc>
          <w:tcPr>
            <w:tcW w:w="5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179,958</w:t>
            </w:r>
          </w:p>
        </w:tc>
        <w:tc>
          <w:tcPr>
            <w:tcW w:w="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122,285</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344,029</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230,151</w:t>
            </w:r>
          </w:p>
        </w:tc>
      </w:tr>
      <w:tr>
        <w:trPr>
          <w:trHeight w:val="196"/>
        </w:trPr>
        <w:tc>
          <w:tcPr>
            <w:tcW w:w="562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r>
      <w:tr>
        <w:trPr>
          <w:trHeight w:val="196"/>
        </w:trPr>
        <w:tc>
          <w:tcPr>
            <w:tcW w:w="56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Numerator: Catastrophe losses</w:t>
            </w:r>
          </w:p>
        </w:tc>
        <w:tc>
          <w:tcPr>
            <w:tcW w:w="2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3,441</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(565)</w:t>
            </w:r>
          </w:p>
        </w:tc>
        <w:tc>
          <w:tcPr>
            <w:tcW w:w="520" w:type="dxa"/>
            <w:vAlign w:val="bottom"/>
            <w:gridSpan w:val="2"/>
            <w:shd w:val="clear" w:color="auto" w:fill="CFF0FC"/>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6,800</w:t>
            </w:r>
          </w:p>
        </w:tc>
      </w:tr>
      <w:tr>
        <w:trPr>
          <w:trHeight w:val="20"/>
        </w:trPr>
        <w:tc>
          <w:tcPr>
            <w:tcW w:w="1380" w:type="dxa"/>
            <w:vAlign w:val="bottom"/>
            <w:shd w:val="clear" w:color="auto" w:fill="CFF0FC"/>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96"/>
        </w:trPr>
        <w:tc>
          <w:tcPr>
            <w:tcW w:w="5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179,958</w:t>
            </w:r>
          </w:p>
        </w:tc>
        <w:tc>
          <w:tcPr>
            <w:tcW w:w="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122,285</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344,029</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230,151</w:t>
            </w:r>
          </w:p>
        </w:tc>
      </w:tr>
      <w:tr>
        <w:trPr>
          <w:trHeight w:val="196"/>
        </w:trPr>
        <w:tc>
          <w:tcPr>
            <w:tcW w:w="562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Catastrophe loss ratio</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-822325</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-822325</wp:posOffset>
            </wp:positionV>
            <wp:extent cx="857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-822325</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-548005</wp:posOffset>
            </wp:positionV>
            <wp:extent cx="857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-548005</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-548005</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-281940</wp:posOffset>
            </wp:positionV>
            <wp:extent cx="857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-281940</wp:posOffset>
            </wp:positionV>
            <wp:extent cx="857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-281940</wp:posOffset>
            </wp:positionV>
            <wp:extent cx="857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center"/>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57"/>
        </w:trPr>
        <w:tc>
          <w:tcPr>
            <w:tcW w:w="566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and other underwriting expenses, net of commission and other</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141,668</w:t>
            </w:r>
          </w:p>
        </w:tc>
        <w:tc>
          <w:tcPr>
            <w:tcW w:w="14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96,678</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261,674</w:t>
            </w:r>
          </w:p>
        </w:tc>
        <w:tc>
          <w:tcPr>
            <w:tcW w:w="4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179,588</w:t>
            </w:r>
          </w:p>
        </w:tc>
        <w:tc>
          <w:tcPr>
            <w:tcW w:w="0" w:type="dxa"/>
            <w:vAlign w:val="bottom"/>
          </w:tcPr>
          <w:p>
            <w:pPr>
              <w:spacing w:after="0"/>
              <w:rPr>
                <w:sz w:val="1"/>
                <w:szCs w:val="1"/>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179,958</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122,285</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344,029</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230,151</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Adjustments to numerator: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(754)</w:t>
            </w:r>
          </w:p>
        </w:tc>
        <w:tc>
          <w:tcPr>
            <w:tcW w:w="40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(472)</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(2,841)</w:t>
            </w:r>
          </w:p>
        </w:tc>
        <w:tc>
          <w:tcPr>
            <w:tcW w:w="42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(5,347)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(10,092)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(7,789)</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(2,054)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Catastrophe losses</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(3,441)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565</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-1199515</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-1199515</wp:posOffset>
            </wp:positionV>
            <wp:extent cx="857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-1199515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-925195</wp:posOffset>
            </wp:positionV>
            <wp:extent cx="857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857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-925195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-145415</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-145415</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857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jc w:val="right"/>
              <w:ind w:right="9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5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316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847,197</w:t>
            </w:r>
          </w:p>
        </w:tc>
        <w:tc>
          <w:tcPr>
            <w:tcW w:w="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729,030</w:t>
            </w:r>
          </w:p>
        </w:tc>
      </w:tr>
      <w:tr>
        <w:trPr>
          <w:trHeight w:val="189"/>
        </w:trPr>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(62,837)</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(13,242)</w:t>
            </w:r>
          </w:p>
        </w:tc>
      </w:tr>
      <w:tr>
        <w:trPr>
          <w:trHeight w:val="203"/>
        </w:trPr>
        <w:tc>
          <w:tcPr>
            <w:tcW w:w="5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Tangible stockholders’ equity</w:t>
            </w:r>
          </w:p>
        </w:tc>
        <w:tc>
          <w:tcPr>
            <w:tcW w:w="29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784,360</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715,788</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-25400</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028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75" w:lineRule="exact"/>
        <w:rPr>
          <w:sz w:val="20"/>
          <w:szCs w:val="20"/>
          <w:color w:val="auto"/>
        </w:rPr>
      </w:pPr>
    </w:p>
    <w:p>
      <w:pPr>
        <w:jc w:val="both"/>
        <w:ind w:right="260" w:firstLine="749"/>
        <w:spacing w:after="0" w:line="258"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4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Company’s U.S. insurance company subsidiaries, PSIC, PESIC and FIA, are restricted by the statutes as to the amount of dividends that they may pay without prior approval by state insurance commissioners.</w:t>
      </w:r>
    </w:p>
    <w:p>
      <w:pPr>
        <w:spacing w:after="0" w:line="122"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18"/>
          <w:szCs w:val="18"/>
          <w:color w:val="auto"/>
        </w:rPr>
        <w:t>Under California and Oregon statutes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$99.6 million in 2025 without approval by the California and Oregon Insurance Commissioners.</w:t>
      </w:r>
    </w:p>
    <w:p>
      <w:pPr>
        <w:spacing w:after="0" w:line="153"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$4.2 million in 2025 without approval of the Arizona Insurance Commissioner.</w:t>
      </w:r>
    </w:p>
    <w:p>
      <w:pPr>
        <w:spacing w:after="0" w:line="13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Company is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$2.3 million in 2025, conditional upon the Commissioner’s approval.</w:t>
      </w:r>
    </w:p>
    <w:p>
      <w:pPr>
        <w:spacing w:after="0" w:line="137"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2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such dividend has not caused the insurer to fail to meet its relevant margins.</w:t>
      </w:r>
    </w:p>
    <w:p>
      <w:pPr>
        <w:spacing w:after="0" w:line="15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Further, under the Companies Act (as defined below),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2025 is calculated to be approximately $4.2 million. However, this dividend amount is subject to annual enhanced solvency requirement calculations.</w:t>
      </w:r>
    </w:p>
    <w:p>
      <w:pPr>
        <w:spacing w:after="0" w:line="1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15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2"/>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19"/>
                <w:szCs w:val="19"/>
                <w:color w:val="auto"/>
              </w:rPr>
            </w:pPr>
          </w:p>
        </w:tc>
      </w:tr>
      <w:tr>
        <w:trPr>
          <w:trHeight w:val="183"/>
        </w:trPr>
        <w:tc>
          <w:tcPr>
            <w:tcW w:w="8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8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4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60" w:type="dxa"/>
            <w:vAlign w:val="bottom"/>
          </w:tcPr>
          <w:p>
            <w:pPr>
              <w:spacing w:after="0"/>
              <w:rPr>
                <w:sz w:val="15"/>
                <w:szCs w:val="15"/>
                <w:color w:val="auto"/>
              </w:rPr>
            </w:pPr>
          </w:p>
        </w:tc>
      </w:tr>
      <w:tr>
        <w:trPr>
          <w:trHeight w:val="189"/>
        </w:trPr>
        <w:tc>
          <w:tcPr>
            <w:tcW w:w="8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provided by (used in):</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89"/>
        </w:trPr>
        <w:tc>
          <w:tcPr>
            <w:tcW w:w="8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208,061</w:t>
            </w:r>
          </w:p>
        </w:tc>
        <w:tc>
          <w:tcPr>
            <w:tcW w:w="640" w:type="dxa"/>
            <w:vAlign w:val="bottom"/>
            <w:gridSpan w:val="2"/>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88,252</w:t>
            </w:r>
          </w:p>
        </w:tc>
      </w:tr>
      <w:tr>
        <w:trPr>
          <w:trHeight w:val="189"/>
        </w:trPr>
        <w:tc>
          <w:tcPr>
            <w:tcW w:w="8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(212,698)</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(45,003)</w:t>
            </w:r>
          </w:p>
        </w:tc>
      </w:tr>
      <w:tr>
        <w:trPr>
          <w:trHeight w:val="189"/>
        </w:trPr>
        <w:tc>
          <w:tcPr>
            <w:tcW w:w="8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5,413</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(47,082)</w:t>
            </w:r>
          </w:p>
        </w:tc>
      </w:tr>
      <w:tr>
        <w:trPr>
          <w:trHeight w:val="223"/>
        </w:trPr>
        <w:tc>
          <w:tcPr>
            <w:tcW w:w="80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776</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-25400</wp:posOffset>
            </wp:positionV>
            <wp:extent cx="1028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028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six months ended June 30, 2025 and 2024 due to net income and a decrease in net operating assets in each period.</w:t>
      </w:r>
    </w:p>
    <w:p>
      <w:pPr>
        <w:spacing w:after="0" w:line="122"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4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and 2024 related primarily to purchases of fixed maturity securities in excess of sales and maturities and acquisitions occurring in each period.</w:t>
      </w:r>
    </w:p>
    <w:p>
      <w:pPr>
        <w:spacing w:after="0" w:line="13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2025 was related to the receipt of $3.3 million in proceeds from stock option exercises, the receipt of $0.5 million in proceeds from our employee stock purchase plan and the receipt of $1.8 million in proceeds from policy holder contributions of surplus, offset by $0.1 million in offering costs from the August 2024 Secondary Offering. Cash used in financing activities for six months ended June 30, 2024 was related to $52.6 million in payments on our FHLB line of credit, offset by the receipt of $4.0 million in proceeds from stock option exercises, the receipt of $0.4 million in proceeds from our employee stock purchase plan and the receipt of $1.1 million in proceeds from policy holder contributions of surplus.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firstLine="749"/>
        <w:spacing w:after="0" w:line="217"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$1.3 billion in cash and investment securities available at June 30, 2025.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Our prior share repurchase program expired on March 31, 2024 and we did not make any share repurchases during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65"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On July 31, 2025, the Company’s Board of Directors approved a share repurchase program authorizing the repurchase of up to $150 million of the Company's outstanding common stock through July 31,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18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Secured Overnight Financing Rate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$5.6 million of the borrowing capacity of the Credit Agreement is pledged as collateral and not able to be utilized.</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2025, we had no borrowings outstanding through the Credit Agreement.</w:t>
      </w:r>
    </w:p>
    <w:p>
      <w:pPr>
        <w:spacing w:after="0" w:line="18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2025, we had no borrowings outstanding through the FHLB line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At June 30, 2025 total stockholders’ equity was $847.2 million and tangible stockholders’ equity was $784.4 million, compared to total stockholders’ equity of $729.0 million and tangible stockholders’ equity of $715.8 million as of December 31, 2024. Stockholders’ equity increased due to net income earned for the period, activity related to stock-based compensation, and unrealized gains on fixed maturity securities.</w:t>
      </w:r>
    </w:p>
    <w:p>
      <w:pPr>
        <w:spacing w:after="0" w:line="102" w:lineRule="exact"/>
        <w:rPr>
          <w:sz w:val="20"/>
          <w:szCs w:val="20"/>
          <w:color w:val="auto"/>
        </w:rPr>
      </w:pPr>
    </w:p>
    <w:p>
      <w:pPr>
        <w:ind w:right="60" w:firstLine="749"/>
        <w:spacing w:after="0" w:line="239"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75" w:lineRule="exact"/>
        <w:rPr>
          <w:sz w:val="20"/>
          <w:szCs w:val="20"/>
          <w:color w:val="auto"/>
        </w:rPr>
      </w:pPr>
    </w:p>
    <w:p>
      <w:pPr>
        <w:ind w:right="20" w:firstLine="749"/>
        <w:spacing w:after="0" w:line="209" w:lineRule="exact"/>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Investment Committee reviews and recommends investment guidelines, which are subject to approval by our Board of Directors in accordance with applicable regulatory restrictions on asset type, quality and concentration. Our current 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fixed maturities, as well as publicly traded mutual funds and common stock of individual companies. Our cash and invested assets consist of cash and cash equivalents, fixed maturity securities, and equity securities. As of June 30, 2025, the majority of our investment portfolio, or $1.1 billion,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fair value with unrealized gains and losses on these securities, net of applicable taxes, reported as a separate component of accumulated other comprehensive income. Also included in our investment portfolio were $49.2 million of equity securities, and $12.4 million of investments in limited partnerships.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$81.3 million at June 30, 2025. Our fixed maturity securities, including cash equivalents, had a weighted average effective duration of 4.13 and 4.04 years and an average rating of “A1/A” and “A1/A+” at June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30, 2025 and December 31, 2024, respectively. Our fixed income investment portfolio had a book yield of 4.81% as of June 30, 2025, compared to 4.59% as of December 31, 2024.</w:t>
      </w:r>
    </w:p>
    <w:p>
      <w:pPr>
        <w:spacing w:after="0" w:line="9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At June 30, 2025 and December 31, 2024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20,635</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20,338</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19,832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18,372</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19,406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16,973</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588,794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582,835</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482,070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1,130,737</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946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946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33,449</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10,606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30,283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492,395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406,597</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973,330</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946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946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148,575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330,543</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299,362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288,510</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40,663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2,992</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CCC &amp; Below</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768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40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130,161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305,267</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254,890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236,855</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10,614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CCC &amp; Below</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19"/>
                <w:szCs w:val="19"/>
                <w:color w:val="auto"/>
              </w:rPr>
            </w:pPr>
          </w:p>
        </w:tc>
        <w:tc>
          <w:tcPr>
            <w:tcW w:w="4400" w:type="dxa"/>
            <w:vAlign w:val="bottom"/>
            <w:gridSpan w:val="3"/>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55"/>
        </w:trPr>
        <w:tc>
          <w:tcPr>
            <w:tcW w:w="350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5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-942340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-925195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69,498</w:t>
            </w:r>
          </w:p>
        </w:tc>
        <w:tc>
          <w:tcPr>
            <w:tcW w:w="420" w:type="dxa"/>
            <w:vAlign w:val="bottom"/>
            <w:gridSpan w:val="2"/>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69,428</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250,894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248,447</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214,429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213,039</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113,846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107,604</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482,070</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474,848</w:t>
            </w:r>
          </w:p>
        </w:tc>
        <w:tc>
          <w:tcPr>
            <w:tcW w:w="10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3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1,130,737</w:t>
            </w:r>
          </w:p>
        </w:tc>
        <w:tc>
          <w:tcPr>
            <w:tcW w:w="420" w:type="dxa"/>
            <w:vAlign w:val="bottom"/>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1,113,366</w:t>
            </w:r>
          </w:p>
        </w:tc>
        <w:tc>
          <w:tcPr>
            <w:tcW w:w="16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-153670</wp:posOffset>
            </wp:positionV>
            <wp:extent cx="946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360" w:firstLine="749"/>
        <w:spacing w:after="0" w:line="446" w:lineRule="auto"/>
        <w:rPr>
          <w:sz w:val="20"/>
          <w:szCs w:val="20"/>
          <w:color w:val="auto"/>
        </w:rPr>
      </w:pPr>
      <w:r>
        <w:rPr>
          <w:rFonts w:ascii="Times New Roman" w:cs="Times New Roman" w:eastAsia="Times New Roman" w:hAnsi="Times New Roman"/>
          <w:sz w:val="18"/>
          <w:szCs w:val="18"/>
          <w:color w:val="auto"/>
        </w:rPr>
        <w:t xml:space="preserve">Expected maturities may differ from contractual maturities because borrowers may have the right to call or prepay obligations. </w:t>
      </w:r>
      <w:r>
        <w:rPr>
          <w:rFonts w:ascii="Times New Roman" w:cs="Times New Roman" w:eastAsia="Times New Roman" w:hAnsi="Times New Roman"/>
          <w:sz w:val="18"/>
          <w:szCs w:val="18"/>
          <w:b w:val="1"/>
          <w:bCs w:val="1"/>
          <w:i w:val="1"/>
          <w:iCs w:val="1"/>
          <w:color w:val="auto"/>
        </w:rPr>
        <w:t>Reinsurance</w:t>
      </w: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54"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45"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50"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addition to reinsurance from traditional reinsurers, we utilize collateralized protection via catastrophe bonds. We currently have $1.2 billion of multi-year indemnity-based reinsurance coverage for earthquake events, all issued through Torrey Pines Re Ltd, a Bermuda-domiciled special purpose insurer.</w:t>
      </w:r>
    </w:p>
    <w:p>
      <w:pPr>
        <w:spacing w:after="0" w:line="150"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$11 million for hurricane events and all other perils. Laulima maintains Hawaii hurricane reinsurance coverage through a standalone XOL treaty, which provides per-occurrence coverage up to $735 million with a retention of $1.5 million. Our reinsurance coverage exhausts at $3.53 billion for earthquake events and $100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5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2024 Annual Report on Form 10-K.</w:t>
      </w:r>
    </w:p>
    <w:p>
      <w:pPr>
        <w:spacing w:after="0" w:line="159" w:lineRule="exact"/>
        <w:rPr>
          <w:sz w:val="20"/>
          <w:szCs w:val="20"/>
          <w:color w:val="auto"/>
        </w:rPr>
      </w:pPr>
    </w:p>
    <w:p>
      <w:pPr>
        <w:ind w:right="160" w:firstLine="749"/>
        <w:spacing w:after="0" w:line="296" w:lineRule="auto"/>
        <w:rPr>
          <w:sz w:val="20"/>
          <w:szCs w:val="20"/>
          <w:color w:val="auto"/>
        </w:rPr>
      </w:pPr>
      <w:r>
        <w:rPr>
          <w:rFonts w:ascii="Times New Roman" w:cs="Times New Roman" w:eastAsia="Times New Roman" w:hAnsi="Times New Roman"/>
          <w:sz w:val="17"/>
          <w:szCs w:val="17"/>
          <w:color w:val="auto"/>
        </w:rPr>
        <w:t>There have been no material changes in our critical accounting policies and estimates as compared to the critical accounting policies and estimates disclosed in Management’s Discussion and Analysis of Financial Condition and Operations included in our 2024 Annual Report on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08"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69.9% rated “A−” or better. At June 30, 2025, 4.2%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96" w:lineRule="exact"/>
        <w:rPr>
          <w:sz w:val="20"/>
          <w:szCs w:val="20"/>
          <w:color w:val="auto"/>
        </w:rPr>
      </w:pPr>
    </w:p>
    <w:p>
      <w:pPr>
        <w:ind w:right="200" w:firstLine="749"/>
        <w:spacing w:after="0" w:line="224"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9" w:lineRule="exact"/>
        <w:rPr>
          <w:sz w:val="20"/>
          <w:szCs w:val="20"/>
          <w:color w:val="auto"/>
        </w:rPr>
      </w:pPr>
    </w:p>
    <w:p>
      <w:pPr>
        <w:jc w:val="both"/>
        <w:ind w:right="40" w:firstLine="749"/>
        <w:spacing w:after="0" w:line="250" w:lineRule="auto"/>
        <w:rPr>
          <w:sz w:val="20"/>
          <w:szCs w:val="20"/>
          <w:color w:val="auto"/>
        </w:rPr>
      </w:pPr>
      <w:r>
        <w:rPr>
          <w:rFonts w:ascii="Times New Roman" w:cs="Times New Roman" w:eastAsia="Times New Roman" w:hAnsi="Times New Roman"/>
          <w:sz w:val="18"/>
          <w:szCs w:val="18"/>
          <w:color w:val="auto"/>
        </w:rPr>
        <w:t>During the first half of 2025, we completed the acquisitions of FIA and AAP. In accordance with SEC guidance, we have elected to exclude the operations of the acquired entities from our assessment of internal control over financial reporting for the quarter. We are in the process of integrating these entities and expect to include them in the scope of our internal control assessment in future periods.</w:t>
      </w:r>
    </w:p>
    <w:p>
      <w:pPr>
        <w:spacing w:after="0" w:line="109" w:lineRule="exact"/>
        <w:rPr>
          <w:sz w:val="20"/>
          <w:szCs w:val="20"/>
          <w:color w:val="auto"/>
        </w:rPr>
      </w:pPr>
    </w:p>
    <w:p>
      <w:pPr>
        <w:ind w:right="100" w:firstLine="749"/>
        <w:spacing w:after="0" w:line="226" w:lineRule="exact"/>
        <w:rPr>
          <w:sz w:val="20"/>
          <w:szCs w:val="20"/>
          <w:color w:val="auto"/>
        </w:rPr>
      </w:pPr>
      <w:r>
        <w:rPr>
          <w:rFonts w:ascii="Times New Roman" w:cs="Times New Roman" w:eastAsia="Times New Roman" w:hAnsi="Times New Roman"/>
          <w:sz w:val="18"/>
          <w:szCs w:val="18"/>
          <w:color w:val="auto"/>
        </w:rPr>
        <w:t>No other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June 30, 2025 that have materially affected, or are reasonably likely to materially affect, our internal control over financial reporting.</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106" w:lineRule="exact"/>
        <w:rPr>
          <w:sz w:val="20"/>
          <w:szCs w:val="20"/>
          <w:color w:val="auto"/>
        </w:rPr>
      </w:pPr>
    </w:p>
    <w:p>
      <w:pPr>
        <w:ind w:left="1500" w:right="22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40"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500" w:right="56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54" w:lineRule="exact"/>
        <w:rPr>
          <w:rFonts w:ascii="Times New Roman" w:cs="Times New Roman" w:eastAsia="Times New Roman" w:hAnsi="Times New Roman"/>
          <w:sz w:val="18"/>
          <w:szCs w:val="18"/>
          <w:color w:val="auto"/>
        </w:rPr>
      </w:pPr>
    </w:p>
    <w:p>
      <w:pPr>
        <w:ind w:left="1500" w:right="60" w:hanging="743"/>
        <w:spacing w:after="0" w:line="258"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40" w:lineRule="exact"/>
        <w:rPr>
          <w:rFonts w:ascii="Times New Roman" w:cs="Times New Roman" w:eastAsia="Times New Roman" w:hAnsi="Times New Roman"/>
          <w:sz w:val="18"/>
          <w:szCs w:val="18"/>
          <w:color w:val="auto"/>
        </w:rPr>
      </w:pPr>
    </w:p>
    <w:p>
      <w:pPr>
        <w:ind w:left="1500" w:right="86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5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10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crop prices, as a result of weather conditions or other events, could adversely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106" w:lineRule="exact"/>
        <w:rPr>
          <w:sz w:val="20"/>
          <w:szCs w:val="20"/>
          <w:color w:val="auto"/>
        </w:rPr>
      </w:pPr>
    </w:p>
    <w:p>
      <w:pPr>
        <w:ind w:left="1500" w:right="120" w:hanging="743"/>
        <w:spacing w:after="0" w:line="266"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spacing w:after="0" w:line="67" w:lineRule="exact"/>
        <w:rPr>
          <w:rFonts w:ascii="Times New Roman" w:cs="Times New Roman" w:eastAsia="Times New Roman" w:hAnsi="Times New Roman"/>
          <w:sz w:val="18"/>
          <w:szCs w:val="18"/>
          <w:color w:val="auto"/>
        </w:rPr>
      </w:pPr>
    </w:p>
    <w:p>
      <w:pPr>
        <w:ind w:left="1500" w:right="340" w:hanging="743"/>
        <w:spacing w:after="0" w:line="266"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173" w:lineRule="exact"/>
        <w:rPr>
          <w:sz w:val="20"/>
          <w:szCs w:val="20"/>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173" w:lineRule="exact"/>
        <w:rPr>
          <w:sz w:val="20"/>
          <w:szCs w:val="20"/>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right="20" w:hanging="743"/>
        <w:spacing w:after="0" w:line="266" w:lineRule="auto"/>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35" w:lineRule="exact"/>
        <w:rPr>
          <w:rFonts w:ascii="Times New Roman" w:cs="Times New Roman" w:eastAsia="Times New Roman" w:hAnsi="Times New Roman"/>
          <w:sz w:val="18"/>
          <w:szCs w:val="18"/>
          <w:color w:val="auto"/>
        </w:rPr>
      </w:pPr>
    </w:p>
    <w:p>
      <w:pPr>
        <w:ind w:left="1500" w:right="160" w:hanging="743"/>
        <w:spacing w:after="0" w:line="266" w:lineRule="auto"/>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187" w:lineRule="exact"/>
        <w:rPr>
          <w:sz w:val="20"/>
          <w:szCs w:val="20"/>
          <w:color w:val="auto"/>
        </w:rPr>
      </w:pPr>
    </w:p>
    <w:p>
      <w:pPr>
        <w:ind w:left="1500" w:right="420" w:hanging="743"/>
        <w:spacing w:after="0" w:line="266" w:lineRule="auto"/>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3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which could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56"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59" w:lineRule="exact"/>
        <w:rPr>
          <w:sz w:val="20"/>
          <w:szCs w:val="20"/>
          <w:color w:val="auto"/>
        </w:rPr>
      </w:pPr>
    </w:p>
    <w:p>
      <w:pPr>
        <w:ind w:right="80" w:firstLine="749"/>
        <w:spacing w:after="0" w:line="241" w:lineRule="auto"/>
        <w:rPr>
          <w:sz w:val="20"/>
          <w:szCs w:val="20"/>
          <w:color w:val="auto"/>
        </w:rPr>
      </w:pPr>
      <w:r>
        <w:rPr>
          <w:rFonts w:ascii="Times New Roman" w:cs="Times New Roman" w:eastAsia="Times New Roman" w:hAnsi="Times New Roman"/>
          <w:sz w:val="18"/>
          <w:szCs w:val="18"/>
          <w:color w:val="auto"/>
        </w:rPr>
        <w:t>Our reinsurance coverage currently exhausts at $3.53 billion for earthquake events and $100 million for continental U.S. hurricane events, with coverage in excess of our estimated peak zone 1 in 250 year PML event and in excess of our A.M. Best threshold. Laulima maintains Hawaii hurricane reinsurance coverage through a standalone XOL treaty, which provides per-occurrence coverage up to $735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5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3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program is designed to limit our risk retention, in the event of a major catastrophe, our reinsurers may not pay claims made by us on a timely basis, or they may not pay some or all these claims.</w:t>
      </w:r>
    </w:p>
    <w:p>
      <w:pPr>
        <w:spacing w:after="0" w:line="135"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June 30, 2025, we had $436.9 million of aggregate reinsurance recoverables.</w:t>
      </w:r>
    </w:p>
    <w:p>
      <w:pPr>
        <w:spacing w:after="0" w:line="1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1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42"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37"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the claim to become inadequate.</w:t>
      </w:r>
    </w:p>
    <w:p>
      <w:pPr>
        <w:spacing w:after="0" w:line="137"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3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42"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2024 Annual Report on Form 10-K.</w:t>
      </w:r>
    </w:p>
    <w:p>
      <w:pPr>
        <w:spacing w:after="0" w:line="1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4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29"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5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utilize collateralized protection from the insurance-linked securities market through catastrophe bonds issued via Torrey Pines Re Ltd., a Bermuda-domiciled special purpose insurer. We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155"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50"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3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38"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48"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41" w:lineRule="exact"/>
        <w:rPr>
          <w:sz w:val="20"/>
          <w:szCs w:val="20"/>
          <w:color w:val="auto"/>
        </w:rPr>
      </w:pPr>
    </w:p>
    <w:p>
      <w:pPr>
        <w:ind w:right="160" w:firstLine="749"/>
        <w:spacing w:after="0" w:line="24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50" w:lineRule="exact"/>
        <w:rPr>
          <w:sz w:val="20"/>
          <w:szCs w:val="20"/>
          <w:color w:val="auto"/>
        </w:rPr>
      </w:pPr>
    </w:p>
    <w:p>
      <w:pPr>
        <w:ind w:left="1500" w:right="460" w:hanging="743"/>
        <w:spacing w:after="0" w:line="266"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184" w:lineRule="exact"/>
        <w:rPr>
          <w:rFonts w:ascii="Times New Roman" w:cs="Times New Roman" w:eastAsia="Times New Roman" w:hAnsi="Times New Roman"/>
          <w:sz w:val="18"/>
          <w:szCs w:val="18"/>
          <w:color w:val="auto"/>
        </w:rPr>
      </w:pPr>
    </w:p>
    <w:p>
      <w:pPr>
        <w:ind w:left="1500" w:right="80" w:hanging="743"/>
        <w:spacing w:after="0" w:line="266"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2025, A.M. Best has assigned a financial strength rating of “A” (Excellent) (Outlook Stable) to our insurance company subsidiaries, Palomar Specialty Insurance Company (“PSIC”) and Palomar Excess and Surplus Insurance Company (“PESIC”). First Indemnity of America Insurance Co. (“FIA”) carries an “A-” (Stable) rating from A.M. Best.</w:t>
      </w:r>
    </w:p>
    <w:p>
      <w:pPr>
        <w:spacing w:after="0" w:line="155"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55" w:lineRule="exact"/>
        <w:rPr>
          <w:sz w:val="20"/>
          <w:szCs w:val="20"/>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35" w:lineRule="exact"/>
        <w:rPr>
          <w:sz w:val="20"/>
          <w:szCs w:val="20"/>
          <w:color w:val="auto"/>
        </w:rPr>
      </w:pPr>
    </w:p>
    <w:p>
      <w:pPr>
        <w:ind w:left="1500" w:hanging="743"/>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185"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w:t>
      </w:r>
    </w:p>
    <w:p>
      <w:pPr>
        <w:spacing w:after="0" w:line="189"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4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189"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43% of our gross written premiums for the year ended December 31, 2024 and 32% for the six months ended June 30, 2025.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17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our Chief Financial Officer, Christopher Uchida and our President, Jon Christianson.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175"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 ended December 31, 2024, our largest program administrator distributed $403.4 million or 26.2% of our gross written premiums.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program administrators which distributed greater than 10% of our gross written premiums for the year ended December 31, 2024.</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six months ended June 30, 2025, our largest program administrator distributed $202.1 million or 21.5% of our gross written premiums.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program administrators which distributed greater than 10% of our gross written premiums for the six months ended June 30, 2025.</w:t>
      </w:r>
    </w:p>
    <w:p>
      <w:pPr>
        <w:spacing w:after="0" w:line="153"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96" w:lineRule="exact"/>
        <w:rPr>
          <w:sz w:val="20"/>
          <w:szCs w:val="20"/>
          <w:color w:val="auto"/>
        </w:rPr>
      </w:pPr>
    </w:p>
    <w:p>
      <w:pPr>
        <w:ind w:right="6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4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5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3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45" w:lineRule="exact"/>
        <w:rPr>
          <w:sz w:val="20"/>
          <w:szCs w:val="20"/>
          <w:color w:val="auto"/>
        </w:rPr>
      </w:pPr>
    </w:p>
    <w:p>
      <w:pPr>
        <w:ind w:right="20" w:firstLine="749"/>
        <w:spacing w:after="0" w:line="214" w:lineRule="exact"/>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189"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41"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50" w:lineRule="exact"/>
        <w:rPr>
          <w:sz w:val="20"/>
          <w:szCs w:val="20"/>
          <w:color w:val="auto"/>
        </w:rPr>
      </w:pPr>
    </w:p>
    <w:p>
      <w:pPr>
        <w:ind w:right="460" w:firstLine="749"/>
        <w:spacing w:after="0" w:line="250"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5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64" w:lineRule="exact"/>
        <w:rPr>
          <w:sz w:val="20"/>
          <w:szCs w:val="20"/>
          <w:color w:val="auto"/>
        </w:rPr>
      </w:pPr>
    </w:p>
    <w:p>
      <w:pPr>
        <w:ind w:right="100" w:firstLine="749"/>
        <w:spacing w:after="0" w:line="222"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43"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31" w:lineRule="exact"/>
        <w:rPr>
          <w:sz w:val="20"/>
          <w:szCs w:val="20"/>
          <w:color w:val="auto"/>
        </w:rPr>
      </w:pPr>
    </w:p>
    <w:p>
      <w:pPr>
        <w:jc w:val="both"/>
        <w:ind w:right="40" w:firstLine="749"/>
        <w:spacing w:after="0" w:line="247"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w:t>
      </w:r>
    </w:p>
    <w:p>
      <w:pPr>
        <w:spacing w:after="0" w:line="2"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18"/>
          <w:szCs w:val="18"/>
          <w:color w:val="auto"/>
        </w:rPr>
        <w:t>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55"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18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18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7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89"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37" w:lineRule="exact"/>
        <w:rPr>
          <w:sz w:val="20"/>
          <w:szCs w:val="20"/>
          <w:color w:val="auto"/>
        </w:rPr>
      </w:pPr>
    </w:p>
    <w:p>
      <w:pPr>
        <w:ind w:left="200" w:right="380" w:hanging="1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05"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For example, we recently completed the acquisition of FIA in January 2025 and the acquisition of substantially all of the assets acquired and assumed certain liabilities of AAP in April 2025.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 We may not realize the anticipated benefits of acquisitions we have completed or may complete in the future, and we may not be able to incorporate any acquired lines of business with our existing operations, or integrate personnel from the acquired businesses, in which case our business, financial condition and results of operations could be harmed.</w:t>
      </w:r>
    </w:p>
    <w:p>
      <w:pPr>
        <w:spacing w:after="0" w:line="154"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our growth continues, it may place a significant strain on our management team and on our operational and financial systems, procedures, and controls.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54"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54"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1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3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42" w:lineRule="exact"/>
        <w:rPr>
          <w:sz w:val="20"/>
          <w:szCs w:val="20"/>
          <w:color w:val="auto"/>
        </w:rPr>
      </w:pPr>
    </w:p>
    <w:p>
      <w:pPr>
        <w:ind w:right="380" w:firstLine="749"/>
        <w:spacing w:after="0" w:line="221"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1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3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35" w:lineRule="exact"/>
        <w:rPr>
          <w:sz w:val="20"/>
          <w:szCs w:val="20"/>
          <w:color w:val="auto"/>
        </w:rPr>
      </w:pPr>
    </w:p>
    <w:p>
      <w:pPr>
        <w:ind w:left="1500" w:right="160" w:hanging="743"/>
        <w:spacing w:after="0" w:line="266" w:lineRule="auto"/>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185"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crop prices, as a result of weather conditions or other events, could adversely impact our results of operations.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Weather conditions, including too much moisture (flooding or excessive rain), not enough moisture (droughts), and the level of crop prices in the commodities market heavily impact our crop insurance products. These factors are inherently unpredictable and could result in significant volatility in our operating results from one year to the next. Our results could also be negatively impacted by pests and plant disease. A large decline in the commodity prices of one or more of the major crops that we insure could have a material adverse effect on our results of operations or financial condition.</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Instability in the surety market, resulting from construction defaults, contractual disputes, or evolving regulatory requirements, could negatively impact the performance of our surety products;</w:t>
      </w:r>
    </w:p>
    <w:p>
      <w:pPr>
        <w:spacing w:after="0" w:line="105"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Fluctuations in construction industry performance, defaults on bonded projects, contractual disagreements and regulatory changes are inherent risks in the surety insurance industry. These events may lead to significant challenges in underwriting, claims management, and regulatory compliance. Depending on our ability to effectively manage the impact of these risks, we could face increased loss reserves, higher underwriting losses, and rising operational costs, all of which could materially affect our financial performance and overall profitability.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17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4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5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0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Together, these developments could adversely affect our financial results, capital position, and ability to execute our long-term business strategy.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Investment Committee. Our investments are subject to general economic conditions and market risks as well as risks inherent to particular securities.</w:t>
      </w:r>
    </w:p>
    <w:p>
      <w:pPr>
        <w:spacing w:after="0" w:line="129" w:lineRule="exact"/>
        <w:rPr>
          <w:sz w:val="20"/>
          <w:szCs w:val="20"/>
          <w:color w:val="auto"/>
        </w:rPr>
      </w:pPr>
    </w:p>
    <w:p>
      <w:pPr>
        <w:ind w:right="80" w:firstLine="749"/>
        <w:spacing w:after="0" w:line="217"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securities totaled $49.2 million as of June 30, 2025.</w:t>
      </w:r>
    </w:p>
    <w:p>
      <w:pPr>
        <w:spacing w:after="0" w:line="108"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5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75"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189" w:lineRule="exact"/>
        <w:rPr>
          <w:sz w:val="20"/>
          <w:szCs w:val="20"/>
          <w:color w:val="auto"/>
        </w:rPr>
      </w:pPr>
    </w:p>
    <w:p>
      <w:pPr>
        <w:ind w:firstLine="749"/>
        <w:spacing w:after="0" w:line="210" w:lineRule="exact"/>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4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175" w:lineRule="exact"/>
        <w:rPr>
          <w:sz w:val="20"/>
          <w:szCs w:val="20"/>
          <w:color w:val="auto"/>
        </w:rPr>
      </w:pPr>
    </w:p>
    <w:p>
      <w:pPr>
        <w:ind w:right="340" w:firstLine="749"/>
        <w:spacing w:after="0" w:line="218"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18"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45"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47" w:lineRule="exact"/>
        <w:rPr>
          <w:sz w:val="20"/>
          <w:szCs w:val="20"/>
          <w:color w:val="auto"/>
        </w:rPr>
      </w:pPr>
    </w:p>
    <w:p>
      <w:pPr>
        <w:ind w:right="160" w:firstLine="749"/>
        <w:spacing w:after="0" w:line="203" w:lineRule="exact"/>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120" w:lineRule="exact"/>
        <w:rPr>
          <w:sz w:val="20"/>
          <w:szCs w:val="20"/>
          <w:color w:val="auto"/>
        </w:rPr>
      </w:pPr>
    </w:p>
    <w:p>
      <w:pPr>
        <w:ind w:right="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91" w:lineRule="exact"/>
        <w:rPr>
          <w:sz w:val="20"/>
          <w:szCs w:val="20"/>
          <w:color w:val="auto"/>
        </w:rPr>
      </w:pPr>
    </w:p>
    <w:p>
      <w:pPr>
        <w:ind w:firstLine="749"/>
        <w:spacing w:after="0" w:line="215"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We anticipate that we will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17" w:lineRule="exact"/>
        <w:rPr>
          <w:sz w:val="20"/>
          <w:szCs w:val="20"/>
          <w:color w:val="auto"/>
        </w:rPr>
      </w:pPr>
    </w:p>
    <w:p>
      <w:pPr>
        <w:ind w:right="180" w:firstLine="749"/>
        <w:spacing w:after="0" w:line="203"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175"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may impact our business and operations</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increasingly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85"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49"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Our insurance company subsidiaries, PSIC, PESIC and FIA,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spacing w:after="0" w:line="150"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59"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spacing w:after="0" w:line="14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98" w:lineRule="exact"/>
        <w:rPr>
          <w:sz w:val="20"/>
          <w:szCs w:val="20"/>
          <w:color w:val="auto"/>
        </w:rPr>
      </w:pPr>
    </w:p>
    <w:p>
      <w:pPr>
        <w:ind w:right="140" w:firstLine="749"/>
        <w:spacing w:after="0" w:line="217"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firstLine="749"/>
        <w:spacing w:after="0" w:line="250"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50"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37"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FIA is subject to regulation from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spacing w:after="0" w:line="200" w:lineRule="exact"/>
        <w:rPr>
          <w:sz w:val="20"/>
          <w:szCs w:val="20"/>
          <w:color w:val="auto"/>
        </w:rPr>
      </w:pPr>
    </w:p>
    <w:p>
      <w:pPr>
        <w:spacing w:after="0" w:line="31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31"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45"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Crop insurance premiums subject us to numerous regulations and non-compliance with the regulations or changes in the regulations may adversely impact our business</w:t>
      </w:r>
    </w:p>
    <w:p>
      <w:pPr>
        <w:spacing w:after="0" w:line="10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Palomar Crop Insurance Services, Inc. (“PCIS”) participates in the federal crop insurance program and is impacted by any regulatory and legislative changes affecting that program. For example, the reinsurance levels that the federal government provides to authorized carriers could be reduced by future legislation. Additionally, the United States Department of Agriculture’s Risk Management Agency (“RMA”) sets the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spacing w:after="0" w:line="35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05" w:lineRule="exact"/>
        <w:rPr>
          <w:sz w:val="20"/>
          <w:szCs w:val="20"/>
          <w:color w:val="auto"/>
        </w:rPr>
      </w:pPr>
    </w:p>
    <w:p>
      <w:pPr>
        <w:ind w:right="20" w:firstLine="749"/>
        <w:spacing w:after="0" w:line="210" w:lineRule="exact"/>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2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37"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189"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3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49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4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05" w:lineRule="exact"/>
        <w:rPr>
          <w:sz w:val="20"/>
          <w:szCs w:val="20"/>
          <w:color w:val="auto"/>
        </w:rPr>
      </w:pPr>
    </w:p>
    <w:p>
      <w:pPr>
        <w:ind w:right="240" w:firstLine="749"/>
        <w:spacing w:after="0" w:line="211" w:lineRule="exact"/>
        <w:rPr>
          <w:sz w:val="20"/>
          <w:szCs w:val="20"/>
          <w:color w:val="auto"/>
        </w:rPr>
      </w:pPr>
      <w:r>
        <w:rPr>
          <w:rFonts w:ascii="Times New Roman" w:cs="Times New Roman" w:eastAsia="Times New Roman" w:hAnsi="Times New Roman"/>
          <w:sz w:val="17"/>
          <w:szCs w:val="17"/>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PSRE and FIA. 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disapproval of the insurance regulatory authority in Oregon, California, Arizona, and New Jersey is limited by Oregon law at ORS</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732.576, California law at Cal. Ins. Code 1215.5(g), Arizona Revised Statute 20-481, and New Jersey statute N.J.S.A 17:27A-4.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insurance regulators that have jurisdiction over the payment of dividends by PSIC, PESIC, and FIA may in the future adopt statutory provisions more restrictive than those currently in effect.</w:t>
      </w:r>
    </w:p>
    <w:p>
      <w:pPr>
        <w:spacing w:after="0" w:line="135"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54" w:lineRule="exact"/>
        <w:rPr>
          <w:sz w:val="20"/>
          <w:szCs w:val="20"/>
          <w:color w:val="auto"/>
        </w:rPr>
      </w:pPr>
    </w:p>
    <w:p>
      <w:pPr>
        <w:jc w:val="both"/>
        <w:ind w:right="200" w:firstLine="749"/>
        <w:spacing w:after="0" w:line="250"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89"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3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41"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3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05" w:lineRule="exact"/>
        <w:rPr>
          <w:sz w:val="20"/>
          <w:szCs w:val="20"/>
          <w:color w:val="auto"/>
        </w:rPr>
      </w:pPr>
    </w:p>
    <w:p>
      <w:pPr>
        <w:ind w:right="20" w:firstLine="749"/>
        <w:spacing w:after="0" w:line="211"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160" w:lineRule="exact"/>
        <w:rPr>
          <w:sz w:val="20"/>
          <w:szCs w:val="20"/>
          <w:color w:val="auto"/>
        </w:rPr>
      </w:pPr>
    </w:p>
    <w:p>
      <w:pPr>
        <w:ind w:right="100" w:firstLine="749"/>
        <w:spacing w:after="0" w:line="21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impact of changes in GAAP cannot be predicted but may affect the calculation of net income, stockholders’ equity, and other relevant financial statement line items.</w:t>
      </w:r>
    </w:p>
    <w:p>
      <w:pPr>
        <w:spacing w:after="0" w:line="135" w:lineRule="exact"/>
        <w:rPr>
          <w:sz w:val="20"/>
          <w:szCs w:val="20"/>
          <w:color w:val="auto"/>
        </w:rPr>
      </w:pPr>
    </w:p>
    <w:p>
      <w:pPr>
        <w:ind w:right="180" w:firstLine="749"/>
        <w:spacing w:after="0" w:line="247"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3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05" w:lineRule="exact"/>
        <w:rPr>
          <w:sz w:val="20"/>
          <w:szCs w:val="20"/>
          <w:color w:val="auto"/>
        </w:rPr>
      </w:pPr>
    </w:p>
    <w:p>
      <w:pPr>
        <w:ind w:right="20" w:firstLine="749"/>
        <w:spacing w:after="0" w:line="210"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118" w:lineRule="exact"/>
        <w:rPr>
          <w:sz w:val="20"/>
          <w:szCs w:val="20"/>
          <w:color w:val="auto"/>
        </w:rPr>
      </w:pPr>
    </w:p>
    <w:p>
      <w:pPr>
        <w:ind w:right="460" w:firstLine="749"/>
        <w:spacing w:after="0" w:line="231"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1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54" w:lineRule="exact"/>
        <w:rPr>
          <w:sz w:val="20"/>
          <w:szCs w:val="20"/>
          <w:color w:val="auto"/>
        </w:rPr>
      </w:pPr>
    </w:p>
    <w:p>
      <w:pPr>
        <w:ind w:left="1500" w:right="160" w:hanging="743"/>
        <w:spacing w:after="0" w:line="266"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171" w:lineRule="exact"/>
        <w:rPr>
          <w:rFonts w:ascii="Times New Roman" w:cs="Times New Roman" w:eastAsia="Times New Roman" w:hAnsi="Times New Roman"/>
          <w:sz w:val="18"/>
          <w:szCs w:val="18"/>
          <w:color w:val="auto"/>
        </w:rPr>
      </w:pPr>
    </w:p>
    <w:p>
      <w:pPr>
        <w:ind w:left="1500" w:right="440" w:hanging="743"/>
        <w:spacing w:after="0" w:line="282"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7"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44" w:lineRule="exact"/>
        <w:rPr>
          <w:sz w:val="20"/>
          <w:szCs w:val="20"/>
          <w:color w:val="auto"/>
        </w:rPr>
      </w:pPr>
    </w:p>
    <w:p>
      <w:pPr>
        <w:ind w:right="140" w:firstLine="749"/>
        <w:spacing w:after="0" w:line="214" w:lineRule="exact"/>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202"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235" w:lineRule="auto"/>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89" w:lineRule="exact"/>
        <w:rPr>
          <w:sz w:val="20"/>
          <w:szCs w:val="20"/>
          <w:color w:val="auto"/>
        </w:rPr>
      </w:pPr>
    </w:p>
    <w:p>
      <w:pPr>
        <w:ind w:right="60" w:firstLine="749"/>
        <w:spacing w:after="0" w:line="210" w:lineRule="exact"/>
        <w:rPr>
          <w:sz w:val="20"/>
          <w:szCs w:val="20"/>
          <w:color w:val="auto"/>
        </w:rPr>
      </w:pPr>
      <w:r>
        <w:rPr>
          <w:rFonts w:ascii="Times New Roman" w:cs="Times New Roman" w:eastAsia="Times New Roman" w:hAnsi="Times New Roman"/>
          <w:sz w:val="18"/>
          <w:szCs w:val="18"/>
          <w:color w:val="auto"/>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41" w:lineRule="exact"/>
        <w:rPr>
          <w:sz w:val="20"/>
          <w:szCs w:val="20"/>
          <w:color w:val="auto"/>
        </w:rPr>
      </w:pPr>
    </w:p>
    <w:p>
      <w:pPr>
        <w:ind w:right="3620" w:firstLine="364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w:t>
      </w: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4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3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59" w:lineRule="exact"/>
        <w:rPr>
          <w:sz w:val="20"/>
          <w:szCs w:val="20"/>
          <w:color w:val="auto"/>
        </w:rPr>
      </w:pPr>
    </w:p>
    <w:p>
      <w:pPr>
        <w:ind w:left="1500" w:hanging="743"/>
        <w:spacing w:after="0"/>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171" w:lineRule="exact"/>
        <w:rPr>
          <w:rFonts w:ascii="Times New Roman" w:cs="Times New Roman" w:eastAsia="Times New Roman" w:hAnsi="Times New Roman"/>
          <w:sz w:val="18"/>
          <w:szCs w:val="18"/>
          <w:color w:val="auto"/>
        </w:rPr>
      </w:pPr>
    </w:p>
    <w:p>
      <w:pPr>
        <w:ind w:left="1500" w:right="200" w:hanging="743"/>
        <w:spacing w:after="0" w:line="282"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50"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0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25"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09" w:lineRule="exact"/>
        <w:rPr>
          <w:sz w:val="20"/>
          <w:szCs w:val="20"/>
          <w:color w:val="auto"/>
        </w:rPr>
      </w:pPr>
    </w:p>
    <w:p>
      <w:pPr>
        <w:ind w:right="260" w:firstLine="749"/>
        <w:spacing w:after="0" w:line="253"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84" w:lineRule="exact"/>
        <w:rPr>
          <w:rFonts w:ascii="Times New Roman" w:cs="Times New Roman" w:eastAsia="Times New Roman" w:hAnsi="Times New Roman"/>
          <w:sz w:val="18"/>
          <w:szCs w:val="18"/>
          <w:color w:val="auto"/>
        </w:rPr>
      </w:pPr>
    </w:p>
    <w:p>
      <w:pPr>
        <w:ind w:left="1500" w:right="160" w:hanging="743"/>
        <w:spacing w:after="0" w:line="266"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94" w:lineRule="exact"/>
        <w:rPr>
          <w:rFonts w:ascii="Times New Roman" w:cs="Times New Roman" w:eastAsia="Times New Roman" w:hAnsi="Times New Roman"/>
          <w:sz w:val="18"/>
          <w:szCs w:val="18"/>
          <w:color w:val="auto"/>
        </w:rPr>
      </w:pPr>
    </w:p>
    <w:p>
      <w:pPr>
        <w:ind w:left="1500" w:hanging="743"/>
        <w:spacing w:after="0" w:line="207" w:lineRule="exact"/>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171" w:lineRule="exact"/>
        <w:rPr>
          <w:rFonts w:ascii="Times New Roman" w:cs="Times New Roman" w:eastAsia="Times New Roman" w:hAnsi="Times New Roman"/>
          <w:sz w:val="18"/>
          <w:szCs w:val="18"/>
          <w:color w:val="auto"/>
        </w:rPr>
      </w:pPr>
    </w:p>
    <w:p>
      <w:pPr>
        <w:jc w:val="both"/>
        <w:ind w:left="1500" w:right="220" w:hanging="743"/>
        <w:spacing w:after="0" w:line="232" w:lineRule="exact"/>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5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184"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7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8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4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22"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84"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8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Retirement Policy</w:t>
      </w:r>
    </w:p>
    <w:p>
      <w:pPr>
        <w:spacing w:after="0" w:line="185" w:lineRule="exact"/>
        <w:rPr>
          <w:sz w:val="20"/>
          <w:szCs w:val="20"/>
          <w:color w:val="auto"/>
        </w:rPr>
      </w:pPr>
    </w:p>
    <w:p>
      <w:pPr>
        <w:ind w:right="520" w:firstLine="749"/>
        <w:spacing w:after="0" w:line="268" w:lineRule="auto"/>
        <w:rPr>
          <w:sz w:val="20"/>
          <w:szCs w:val="20"/>
          <w:color w:val="auto"/>
        </w:rPr>
      </w:pPr>
      <w:r>
        <w:rPr>
          <w:rFonts w:ascii="Times New Roman" w:cs="Times New Roman" w:eastAsia="Times New Roman" w:hAnsi="Times New Roman"/>
          <w:sz w:val="18"/>
          <w:szCs w:val="18"/>
          <w:color w:val="auto"/>
        </w:rPr>
        <w:t>On July 31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2025, the Board of Directors of the Company approved the Equity Award Retirement Policy (the “Policy”) pursuant to which employees of the Company meeting the requirements of the Policy will be entitled to certain continued benefits upon a qualified retirement.</w:t>
      </w:r>
    </w:p>
    <w:p>
      <w:pPr>
        <w:spacing w:after="0" w:line="134"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18"/>
          <w:szCs w:val="18"/>
          <w:color w:val="auto"/>
        </w:rPr>
        <w:t>Pursuant to the Policy, a qualified retirement includes, among other things, resignation of employment with the Company in good standing with six months’ notice on or after attainment of age fifty-eight (58) with a minimum of five (5) years of service with the Company, in all instances subject to the sum of the employee’s (i) age and (ii) years of service equating to a total of 65 or higher. In the event of a qualified retirement, an employee will be entitled to continued vesting of his or her RSUs which were outstanding as of the date notice of retirement was provided (the “Notice Date”), prorated continued vesting of his or her PSUs outstanding on the Notice Date based on actual performance and payment of a prorated annual bonus payable in accordance with the Company’s standard practice.</w:t>
      </w:r>
    </w:p>
    <w:p>
      <w:pPr>
        <w:spacing w:after="0" w:line="15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description of the Policy is qualified in its entirety by the text of the Policy, a copy of which will be filed with the Company’s next quarterly report on Form 10-Q.</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73"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On June 12, 2025, Chris Uchida, the Company’s Chief Financial Officer, entered a trading plan intended to satisfy the affirmative defense conditions of Rule 10b5-1c under the Exchange Act, providing for the exercise and sale of up to 3,150 shares of Company stock options and the sale of up to 5,671 shares of the Company’s common stock. Pursuant to this plan, Mr. Uchida may sell shares beginning September 11, 2025 and ending March 31, 2026.</w:t>
      </w:r>
    </w:p>
    <w:p>
      <w:pPr>
        <w:spacing w:after="0" w:line="150"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On June 12, 2025, Jon Christianson, the Company’s President, entered a trading plan intended to satisfy the affirmative defense conditions of Rule 10b5-1c under the Exchange Act, providing for the exercise and sale of up to 18,478 shares of Company stock options. Pursuant to this plan, Mr. Christianson may sell shares beginning September 11, 2025 and ending February 28, 2026.</w:t>
      </w:r>
    </w:p>
    <w:p>
      <w:pPr>
        <w:spacing w:after="0" w:line="1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June 12, 2025, Angela Grant, the Company’s Chief Legal Officer, entered a trading plan intended to satisfy the affirmative defense conditions of Rule 10b5-1c under the Exchange Act, providing for the exercise and sale of up to 1,254 shares of Company stock options. Pursuant to this plan, Mrs. Grant may sell shares beginning September 11, 2025 and ending February 28, 2026.</w:t>
      </w:r>
    </w:p>
    <w:p>
      <w:pPr>
        <w:spacing w:after="0" w:line="167"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color w:val="auto"/>
        </w:rPr>
        <w:t xml:space="preserve">None of our other directors or officers (as defined in Rule </w:t>
      </w:r>
      <w:r>
        <w:rPr>
          <w:rFonts w:ascii="Times New Roman" w:cs="Times New Roman" w:eastAsia="Times New Roman" w:hAnsi="Times New Roman"/>
          <w:sz w:val="18"/>
          <w:szCs w:val="18"/>
          <w:i w:val="1"/>
          <w:iCs w:val="1"/>
          <w:color w:val="auto"/>
        </w:rPr>
        <w:t>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(f) of the Securities Exchange Act of </w:t>
      </w:r>
      <w:r>
        <w:rPr>
          <w:rFonts w:ascii="Times New Roman" w:cs="Times New Roman" w:eastAsia="Times New Roman" w:hAnsi="Times New Roman"/>
          <w:sz w:val="18"/>
          <w:szCs w:val="18"/>
          <w:i w:val="1"/>
          <w:iCs w:val="1"/>
          <w:color w:val="auto"/>
        </w:rPr>
        <w:t>1934</w:t>
      </w:r>
      <w:r>
        <w:rPr>
          <w:rFonts w:ascii="Times New Roman" w:cs="Times New Roman" w:eastAsia="Times New Roman" w:hAnsi="Times New Roman"/>
          <w:sz w:val="18"/>
          <w:szCs w:val="18"/>
          <w:color w:val="auto"/>
        </w:rPr>
        <w:t xml:space="preserve">) adopted, terminated or modified a 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or non-Rule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(as such terms are defined in Item </w:t>
      </w:r>
      <w:r>
        <w:rPr>
          <w:rFonts w:ascii="Times New Roman" w:cs="Times New Roman" w:eastAsia="Times New Roman" w:hAnsi="Times New Roman"/>
          <w:sz w:val="18"/>
          <w:szCs w:val="18"/>
          <w:i w:val="1"/>
          <w:iCs w:val="1"/>
          <w:color w:val="auto"/>
        </w:rPr>
        <w:t>408</w:t>
      </w:r>
      <w:r>
        <w:rPr>
          <w:rFonts w:ascii="Times New Roman" w:cs="Times New Roman" w:eastAsia="Times New Roman" w:hAnsi="Times New Roman"/>
          <w:sz w:val="18"/>
          <w:szCs w:val="18"/>
          <w:color w:val="auto"/>
        </w:rPr>
        <w:t xml:space="preserve"> of Regulation S-K) </w:t>
      </w:r>
      <w:r>
        <w:rPr>
          <w:rFonts w:ascii="Times New Roman" w:cs="Times New Roman" w:eastAsia="Times New Roman" w:hAnsi="Times New Roman"/>
          <w:sz w:val="18"/>
          <w:szCs w:val="18"/>
          <w:color w:val="212529"/>
        </w:rPr>
        <w:t>during the quarter ended</w:t>
      </w:r>
      <w:r>
        <w:rPr>
          <w:rFonts w:ascii="Times New Roman" w:cs="Times New Roman" w:eastAsia="Times New Roman" w:hAnsi="Times New Roman"/>
          <w:sz w:val="18"/>
          <w:szCs w:val="18"/>
          <w:color w:val="auto"/>
        </w:rPr>
        <w:t xml:space="preserve"> June 30, 2025.</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Form Executive Employment Agreement</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29, 2025, the Compensation Committee of the Board of Directors (the “Compensation Committee”) approved an</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updated form of executive employment agreement (the “Form Agreement”) to be entered into by our executive officers (excluding Mr. Armstrong) by September 30, 2025. The updated Form Agreement supersedes the version previously approved on July 28, 2023, and continues to set forth each executive’s annual base salary and target bonus amount, subject to review and adjustment by the Compensation Committee, as well as severance and change in control protections.</w:t>
      </w:r>
    </w:p>
    <w:p>
      <w:pPr>
        <w:spacing w:after="0" w:line="164"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updated Form Agreement includes a new provision addressing potential excise taxes under Sections 280G and 4999 of the Internal Revenue Code. Specifically, if any payments or benefits the executive would receive in connection with a change in control would constitute “parachute payments” and be subject to the excise tax under Section 4999, such payments will be reduced to the extent necessary to avoid the excise tax—but only if doing so would result in a greater after-tax benefit to the executive. The provision outlines the methodology for any such reduction and provides that the related calculations will be performed by a firm selected by the Company after consultation with the executive.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other material terms of the Form Agreement remain unchanged.</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gridSpan w:val="5"/>
            <w:vMerge w:val="restart"/>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3"/>
                <w:szCs w:val="13"/>
                <w:color w:val="auto"/>
              </w:rPr>
            </w:pPr>
          </w:p>
        </w:tc>
        <w:tc>
          <w:tcPr>
            <w:tcW w:w="9880" w:type="dxa"/>
            <w:vAlign w:val="bottom"/>
            <w:tcBorders>
              <w:top w:val="single" w:sz="8" w:color="auto"/>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Form of Executive Employment Agreement (Named Executive Officers)</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52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w:t>
            </w:r>
          </w:p>
        </w:tc>
        <w:tc>
          <w:tcPr>
            <w:tcW w:w="40" w:type="dxa"/>
            <w:vAlign w:val="bottom"/>
          </w:tcPr>
          <w:p>
            <w:pPr>
              <w:spacing w:after="0"/>
              <w:rPr>
                <w:sz w:val="14"/>
                <w:szCs w:val="14"/>
                <w:color w:val="auto"/>
              </w:rPr>
            </w:pPr>
          </w:p>
        </w:tc>
        <w:tc>
          <w:tcPr>
            <w:tcW w:w="46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4"/>
                <w:szCs w:val="14"/>
                <w:color w:val="auto"/>
              </w:rPr>
            </w:pPr>
          </w:p>
        </w:tc>
        <w:tc>
          <w:tcPr>
            <w:tcW w:w="7360" w:type="dxa"/>
            <w:vAlign w:val="bottom"/>
            <w:tcBorders>
              <w:top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4"/>
                <w:szCs w:val="14"/>
                <w:color w:val="auto"/>
              </w:rPr>
            </w:pPr>
          </w:p>
        </w:tc>
        <w:tc>
          <w:tcPr>
            <w:tcW w:w="730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Certifications pursuant to Section 906 of the Sarbanes-Oxley Act of 2002</w:t>
            </w:r>
          </w:p>
        </w:tc>
        <w:tc>
          <w:tcPr>
            <w:tcW w:w="25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w:t>
            </w:r>
          </w:p>
        </w:tc>
        <w:tc>
          <w:tcPr>
            <w:tcW w:w="4600" w:type="dxa"/>
            <w:vAlign w:val="bottom"/>
            <w:gridSpan w:val="3"/>
          </w:tcPr>
          <w:p>
            <w:pPr>
              <w:ind w:left="80"/>
              <w:spacing w:after="0" w:line="164" w:lineRule="exact"/>
              <w:rPr>
                <w:sz w:val="20"/>
                <w:szCs w:val="20"/>
                <w:color w:val="auto"/>
              </w:rPr>
            </w:pPr>
            <w:r>
              <w:rPr>
                <w:rFonts w:ascii="Times New Roman" w:cs="Times New Roman" w:eastAsia="Times New Roman" w:hAnsi="Times New Roman"/>
                <w:sz w:val="18"/>
                <w:szCs w:val="18"/>
                <w:color w:val="auto"/>
              </w:rPr>
              <w:t>in the Interactive Data File as its XBRL tags are embedded</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5000" w:firstLine="8"/>
        <w:spacing w:after="0" w:line="489" w:lineRule="auto"/>
        <w:tabs>
          <w:tab w:leader="none" w:pos="13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Management contract or compensatory plan or arrangement.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175" w:lineRule="exact"/>
        <w:rPr>
          <w:sz w:val="20"/>
          <w:szCs w:val="20"/>
          <w:color w:val="auto"/>
        </w:rPr>
      </w:pPr>
    </w:p>
    <w:p>
      <w:pPr>
        <w:ind w:left="5640" w:right="3720" w:hanging="5972"/>
        <w:spacing w:after="0" w:line="238" w:lineRule="auto"/>
        <w:tabs>
          <w:tab w:leader="none" w:pos="562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 /s/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-120015</wp:posOffset>
            </wp:positionV>
            <wp:extent cx="33515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20" w:lineRule="auto"/>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 /s/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line="237" w:lineRule="auto"/>
        <w:rPr>
          <w:sz w:val="20"/>
          <w:szCs w:val="20"/>
          <w:color w:val="auto"/>
        </w:rPr>
      </w:pPr>
      <w:r>
        <w:rPr>
          <w:rFonts w:ascii="Times New Roman" w:cs="Times New Roman" w:eastAsia="Times New Roman" w:hAnsi="Times New Roman"/>
          <w:sz w:val="18"/>
          <w:szCs w:val="18"/>
          <w:color w:val="auto"/>
        </w:rPr>
        <w:t>T. Christopher Uchida</w:t>
      </w:r>
    </w:p>
    <w:p>
      <w:pPr>
        <w:ind w:left="596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and effective as of ________________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and between ________________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and Palomar Holdings,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Each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Executive are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they are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employ Executive pursuant to the terms of this Agreement, and Executive desires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provide personal services to the Company in return for certain compensation under this Agreement; and</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and intend that this Agreement supersede any and all prior employment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between Executive and the Company or any of its or their subsidiaries or affiliates (which collectively or singularly, as the context requires, is referred to as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or any predecessor to the Company Group and to provide for the employment of Executive upon the terms and conditions set forth herein.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 the Parties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3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color w:val="auto"/>
        </w:rPr>
        <w:t>.</w:t>
        <w:tab/>
        <w:t>Subject to the terms set forth herein, the Company agrees to employ Executive in the position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 and Executive hereby accepts such employment. This is a full-time, exempt position, and Executive will</w:t>
      </w:r>
    </w:p>
    <w:p>
      <w:pPr>
        <w:spacing w:after="0"/>
        <w:rPr>
          <w:sz w:val="20"/>
          <w:szCs w:val="20"/>
          <w:color w:val="auto"/>
        </w:rPr>
      </w:pPr>
      <w:r>
        <w:rPr>
          <w:rFonts w:ascii="Times New Roman" w:cs="Times New Roman" w:eastAsia="Times New Roman" w:hAnsi="Times New Roman"/>
          <w:sz w:val="22"/>
          <w:szCs w:val="22"/>
          <w:color w:val="auto"/>
        </w:rPr>
        <w:t>be expected to work at least 40 hours per week and additional hours as required by Executive’s job duties.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1505"/>
        <w:spacing w:after="0" w:line="239" w:lineRule="auto"/>
        <w:tabs>
          <w:tab w:leader="none" w:pos="20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report to the Chief Executive Officer of the Company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Executive shall faithfully perform all duties related to the position or positions held by Executive, including but not limited to all duties set forth in this Agreement and/or in the Bylaws or operating agreement, as applicable, of the Company Group related to the position or positions held by Executive and all additional duties and authority as are reasonably assigned to Executive, from time to time, by the CEO or designee.</w:t>
      </w:r>
    </w:p>
    <w:p>
      <w:pPr>
        <w:spacing w:after="0" w:line="17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while employed by the Company, Executive will devote Executive’s full business time and Executive’s best efforts and business judgment exclusively to the advancement of the business interests of the Company Group and to the discharge of Executive’s duties and responsibilities for them. Executive will not, while employed by the Company, undertake or engage in any other employment, occupation or business enterprise, except for (i) service on non-for-profit boards, (ii) volunteer service in various civic and charitable activities, and (iii)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7" w:name="page68"/>
    <w:bookmarkEnd w:id="67"/>
    <w:p>
      <w:pPr>
        <w:spacing w:after="0" w:line="258" w:lineRule="auto"/>
        <w:rPr>
          <w:sz w:val="20"/>
          <w:szCs w:val="20"/>
          <w:color w:val="auto"/>
        </w:rPr>
      </w:pPr>
      <w:r>
        <w:rPr>
          <w:rFonts w:ascii="Times New Roman" w:cs="Times New Roman" w:eastAsia="Times New Roman" w:hAnsi="Times New Roman"/>
          <w:sz w:val="22"/>
          <w:szCs w:val="22"/>
          <w:color w:val="auto"/>
        </w:rPr>
        <w:t>activities as may be specifically approved in writing by the CEO, so long as such activities do not, individually or in the aggregate, interfere with the faithful performance of Executive’s duties and obligations hereunder.</w:t>
      </w:r>
    </w:p>
    <w:p>
      <w:pPr>
        <w:spacing w:after="0" w:line="158" w:lineRule="exact"/>
        <w:rPr>
          <w:sz w:val="20"/>
          <w:szCs w:val="20"/>
          <w:color w:val="auto"/>
        </w:rPr>
      </w:pPr>
    </w:p>
    <w:p>
      <w:pPr>
        <w:jc w:val="both"/>
        <w:ind w:firstLine="1505"/>
        <w:spacing w:after="0" w:line="244" w:lineRule="auto"/>
        <w:tabs>
          <w:tab w:leader="none" w:pos="203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Executive’s duties under this Agreement principally out of the Company’s office in ________________. In addition, Executive shall make such business trips to such places as may be reasonably necessary or advisable as part of Executive’s performance of Executive’s duties for the Company Group.</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Company Policies</w:t>
      </w:r>
      <w:r>
        <w:rPr>
          <w:rFonts w:ascii="Times New Roman" w:cs="Times New Roman" w:eastAsia="Times New Roman" w:hAnsi="Times New Roman"/>
          <w:sz w:val="22"/>
          <w:szCs w:val="22"/>
          <w:color w:val="auto"/>
        </w:rPr>
        <w:t>. Executive shall comply with all policies, standards, rules, and regulations, including any code of conduct, code of ethics or compliance manual, of the Company Group (a “</w:t>
      </w:r>
      <w:r>
        <w:rPr>
          <w:rFonts w:ascii="Times New Roman" w:cs="Times New Roman" w:eastAsia="Times New Roman" w:hAnsi="Times New Roman"/>
          <w:sz w:val="22"/>
          <w:szCs w:val="22"/>
          <w:b w:val="1"/>
          <w:bCs w:val="1"/>
          <w:i w:val="1"/>
          <w:iCs w:val="1"/>
          <w:color w:val="auto"/>
        </w:rPr>
        <w:t>Company Policy</w:t>
      </w:r>
      <w:r>
        <w:rPr>
          <w:rFonts w:ascii="Times New Roman" w:cs="Times New Roman" w:eastAsia="Times New Roman" w:hAnsi="Times New Roman"/>
          <w:sz w:val="22"/>
          <w:szCs w:val="22"/>
          <w:color w:val="auto"/>
        </w:rPr>
        <w:t>” or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Policies</w:t>
      </w:r>
      <w:r>
        <w:rPr>
          <w:rFonts w:ascii="Times New Roman" w:cs="Times New Roman" w:eastAsia="Times New Roman" w:hAnsi="Times New Roman"/>
          <w:sz w:val="22"/>
          <w:szCs w:val="22"/>
          <w:color w:val="auto"/>
        </w:rPr>
        <w:t>”) and all applicable government laws, rules, and regulations that are now or hereafter in effect. Executive acknowledges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receipt of copies of all written Company Policies that are in effect as of the date of this Agreement. Notwithstanding the foregoing, in the event that the terms of this Agreement differ from or are in conflict with the Company Policies, this Agreement shall control.</w:t>
      </w:r>
    </w:p>
    <w:p>
      <w:pPr>
        <w:spacing w:after="0" w:line="170"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22"/>
          <w:szCs w:val="22"/>
          <w:b w:val="1"/>
          <w:bCs w:val="1"/>
          <w:u w:val="single" w:color="auto"/>
          <w:color w:val="auto"/>
        </w:rPr>
        <w:t>; B</w:t>
      </w:r>
      <w:r>
        <w:rPr>
          <w:rFonts w:ascii="Times New Roman" w:cs="Times New Roman" w:eastAsia="Times New Roman" w:hAnsi="Times New Roman"/>
          <w:sz w:val="14"/>
          <w:szCs w:val="14"/>
          <w:b w:val="1"/>
          <w:bCs w:val="1"/>
          <w:u w:val="single" w:color="auto"/>
          <w:color w:val="auto"/>
        </w:rPr>
        <w:t>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The Company will pay Executive a base salary of $_______________ on an annualized basis,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-11430</wp:posOffset>
            </wp:positionV>
            <wp:extent cx="431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spacing w:after="0" w:line="248" w:lineRule="auto"/>
        <w:rPr>
          <w:sz w:val="20"/>
          <w:szCs w:val="20"/>
          <w:color w:val="auto"/>
        </w:rPr>
      </w:pPr>
      <w:r>
        <w:rPr>
          <w:rFonts w:ascii="Times New Roman" w:cs="Times New Roman" w:eastAsia="Times New Roman" w:hAnsi="Times New Roman"/>
          <w:sz w:val="22"/>
          <w:szCs w:val="22"/>
          <w:color w:val="auto"/>
        </w:rPr>
        <w:t>review and adjustment by the Company, payable subject to standard federal and state payroll withholding requirements in accordance with the Company’s standard payroll practices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u w:val="single" w:color="auto"/>
          <w:color w:val="auto"/>
        </w:rPr>
        <w:t>Bonuses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During the period Executive is employed with the Company, Executive shall be eligible to earn for Executive’s services to be rendered under this Agreement a discretionary annual cash bonus, targeted at ____% of Base Salary</w:t>
      </w: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Bonus Amount</w:t>
      </w:r>
      <w:r>
        <w:rPr>
          <w:rFonts w:ascii="Times New Roman" w:cs="Times New Roman" w:eastAsia="Times New Roman" w:hAnsi="Times New Roman"/>
          <w:sz w:val="22"/>
          <w:szCs w:val="22"/>
          <w:color w:val="auto"/>
        </w:rPr>
        <w:t>”). The Target Bonus Amount will be subject to review and adjustment by the Compensation Committee of the Board of Directors of the Company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in its sole discretion. Whether or not Executive earns any bonus will be dependent upon (a) Executive ’s continuous performance of services to the Company through the date any bonus is paid; and (b) the actual achievement by Executive and the Company of the applicable performance targets and goals set by the CEO and/or the Compensation Committee in advance of, or within the first quarter of, each bonus year. The annual period over which performance is measured for purposes of this bonus is January 1 through December 31, unless otherwise modified by the Compensation Committee (such period, the “</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The Compensation Committee will determine in its sole discretion the extent to which Executive and the Company have achieved the performance goals upon which the bonus is based and the amount of the bonus. Any bonus shall be subject to the terms of any applicable incentive compensation plan adopted by the Company. Any bonus, if earned, will be paid to Executive subject to standard federal and state payroll withholding requirements within the time period set forth in the incentive compensation plan, or if no such time period was established, in the year following the applicable Performance Period, at the same time and under the same terms and conditions as other employees of the Company, which will generally occur within thirty (30) days after the Company’s receipt of its audited financial statements for the applicable Performance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 w:name="page69"/>
    <w:bookmarkEnd w:id="6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Executive will be eligible to participate on the same basis as other similarly situated employees of the Company in all employee benefit plans from time to time in effect for employees of the Company generally, except to the extent such plans are duplicative of benefits otherwise provided Executive under this Agreement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severance pay plan). All matters of eligibility for coverage or benefits under any benefit plan shall be determined in accordance with the provisions of such plan. The Company Group reserves the right to change, alter, or terminate any benefit plan in its sole discretion.</w:t>
      </w:r>
    </w:p>
    <w:p>
      <w:pPr>
        <w:spacing w:after="0" w:line="17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u w:val="single" w:color="auto"/>
          <w:color w:val="auto"/>
        </w:rPr>
        <w:t>Expense Reimbursement</w:t>
      </w:r>
      <w:r>
        <w:rPr>
          <w:rFonts w:ascii="Times New Roman" w:cs="Times New Roman" w:eastAsia="Times New Roman" w:hAnsi="Times New Roman"/>
          <w:sz w:val="22"/>
          <w:szCs w:val="22"/>
          <w:color w:val="auto"/>
        </w:rPr>
        <w:t>. The Company shall reimburse Executive for all other customary and appropriate business-related expenses actually incurred and documented in accordance with the Company Group’s policies as in effect from time to time. For the avoidance of doubt, to the extent that any reimbursements payable to Executive are subject to the provisions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14"/>
          <w:szCs w:val="14"/>
          <w:b w:val="1"/>
          <w:bCs w:val="1"/>
          <w:u w:val="single" w:color="auto"/>
          <w:color w:val="auto"/>
        </w:rPr>
        <w:t>nformation</w:t>
      </w:r>
      <w:r>
        <w:rPr>
          <w:rFonts w:ascii="Times New Roman" w:cs="Times New Roman" w:eastAsia="Times New Roman" w:hAnsi="Times New Roman"/>
          <w:sz w:val="22"/>
          <w:szCs w:val="22"/>
          <w:b w:val="1"/>
          <w:bCs w:val="1"/>
          <w:u w:val="single" w:color="auto"/>
          <w:color w:val="auto"/>
        </w:rPr>
        <w:t>, I</w:t>
      </w:r>
      <w:r>
        <w:rPr>
          <w:rFonts w:ascii="Times New Roman" w:cs="Times New Roman" w:eastAsia="Times New Roman" w:hAnsi="Times New Roman"/>
          <w:sz w:val="14"/>
          <w:szCs w:val="14"/>
          <w:b w:val="1"/>
          <w:bCs w:val="1"/>
          <w:u w:val="single" w:color="auto"/>
          <w:color w:val="auto"/>
        </w:rPr>
        <w:t>nventions</w:t>
      </w:r>
      <w:r>
        <w:rPr>
          <w:rFonts w:ascii="Times New Roman" w:cs="Times New Roman" w:eastAsia="Times New Roman" w:hAnsi="Times New Roman"/>
          <w:sz w:val="22"/>
          <w:szCs w:val="22"/>
          <w:b w:val="1"/>
          <w:bCs w:val="1"/>
          <w:u w:val="single" w:color="auto"/>
          <w:color w:val="auto"/>
        </w:rPr>
        <w:t>, 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ompetition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olicitation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Arial" w:cs="Arial" w:eastAsia="Arial" w:hAnsi="Arial"/>
          <w:sz w:val="22"/>
          <w:szCs w:val="22"/>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 Executive agrees to execute and abide by a</w:t>
      </w:r>
    </w:p>
    <w:p>
      <w:pPr>
        <w:jc w:val="both"/>
        <w:spacing w:after="0" w:line="239" w:lineRule="auto"/>
        <w:rPr>
          <w:sz w:val="20"/>
          <w:szCs w:val="20"/>
          <w:color w:val="auto"/>
        </w:rPr>
      </w:pPr>
      <w:r>
        <w:rPr>
          <w:rFonts w:ascii="Times New Roman" w:cs="Times New Roman" w:eastAsia="Times New Roman" w:hAnsi="Times New Roman"/>
          <w:sz w:val="22"/>
          <w:szCs w:val="22"/>
          <w:color w:val="auto"/>
        </w:rPr>
        <w:t>Employee Proprietary Information and Inventions Agreement (the “</w:t>
      </w:r>
      <w:r>
        <w:rPr>
          <w:rFonts w:ascii="Times New Roman" w:cs="Times New Roman" w:eastAsia="Times New Roman" w:hAnsi="Times New Roman"/>
          <w:sz w:val="22"/>
          <w:szCs w:val="22"/>
          <w:b w:val="1"/>
          <w:bCs w:val="1"/>
          <w:i w:val="1"/>
          <w:iCs w:val="1"/>
          <w:color w:val="auto"/>
        </w:rPr>
        <w:t>Proprietary Information Agreement</w:t>
      </w:r>
      <w:r>
        <w:rPr>
          <w:rFonts w:ascii="Times New Roman" w:cs="Times New Roman" w:eastAsia="Times New Roman" w:hAnsi="Times New Roman"/>
          <w:sz w:val="22"/>
          <w:szCs w:val="22"/>
          <w:color w:val="auto"/>
        </w:rPr>
        <w:t>”), which may be amended by the Parties from time to time without regard to this Agreement. The Proprietary Information Agreement contains provisions that are intended by the Parties to survive and do survive termination of this Agreement.</w:t>
      </w:r>
    </w:p>
    <w:p>
      <w:pPr>
        <w:spacing w:after="0" w:line="18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estrictive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b w:val="1"/>
          <w:bCs w:val="1"/>
          <w:u w:val="single" w:color="auto"/>
          <w:color w:val="auto"/>
        </w:rPr>
        <w:t>No Conflict with Existing Obligations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represents that Executive’s performance of all the terms of this Agreement and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22"/>
          <w:szCs w:val="22"/>
          <w:b w:val="1"/>
          <w:bCs w:val="1"/>
          <w:u w:val="single" w:color="auto"/>
          <w:color w:val="auto"/>
        </w:rPr>
        <w:t>Non-Solicitation of Customers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acknowledges that non-public information relating to Company Group’s customers and prospects (including their needs or desires with respect to the types of products or services offered by Company Group, proposals, bids, contracts and their contents, the type and quantity of products and services provided or sought to be provided) is confidential and constitutes Proprietary Information (as defined in the Proprietary Information Agreement). Accordingly, to protect such Proprietary Information and Company Group’s customer goodwill, Executive agrees that, during Executive’s employment with the Company and for a period ending eighteen (18) months after the termination of Executive’s employment with the Company for any reason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Executive will not, either directly or indirectly, separately or in association with others: (a) use Proprietary Information to induce any Partner, Customer or Potential Customer to terminate, diminish, or materially alter in a manner harmful to the Company Group its relationship with the Company Group; (b) tortiously interfere with the Company Group’s relationship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9" w:name="page70"/>
    <w:bookmarkEnd w:id="69"/>
    <w:p>
      <w:pPr>
        <w:jc w:val="both"/>
        <w:spacing w:after="0" w:line="234" w:lineRule="auto"/>
        <w:rPr>
          <w:sz w:val="20"/>
          <w:szCs w:val="20"/>
          <w:color w:val="auto"/>
        </w:rPr>
      </w:pPr>
      <w:r>
        <w:rPr>
          <w:rFonts w:ascii="Times New Roman" w:cs="Times New Roman" w:eastAsia="Times New Roman" w:hAnsi="Times New Roman"/>
          <w:sz w:val="22"/>
          <w:szCs w:val="22"/>
          <w:color w:val="auto"/>
        </w:rPr>
        <w:t>with any Partner, Customer or Potential Customer; or (c) use Proprietary Information to sell, offer, or provide any products or services to a Customer or Potential Customer that competes with any products or services offered by a Company Group entity. For purposes of this Agreement, “</w:t>
      </w:r>
      <w:r>
        <w:rPr>
          <w:rFonts w:ascii="Times New Roman" w:cs="Times New Roman" w:eastAsia="Times New Roman" w:hAnsi="Times New Roman"/>
          <w:sz w:val="22"/>
          <w:szCs w:val="22"/>
          <w:b w:val="1"/>
          <w:bCs w:val="1"/>
          <w:i w:val="1"/>
          <w:iCs w:val="1"/>
          <w:color w:val="auto"/>
        </w:rPr>
        <w:t>Customer or Potential Customer</w:t>
      </w:r>
      <w:r>
        <w:rPr>
          <w:rFonts w:ascii="Times New Roman" w:cs="Times New Roman" w:eastAsia="Times New Roman" w:hAnsi="Times New Roman"/>
          <w:sz w:val="22"/>
          <w:szCs w:val="22"/>
          <w:color w:val="auto"/>
        </w:rPr>
        <w:t>” is any person or entity who or which, at any time during the twelve (12) month period prior to the date Executive’s employment with the Company ends: (i) contracted for, was billed for, or received from a Company Group entity any of its products or services; or (ii) was solicited by a Company Group entity for the purpose of offering its products or services in an effort in which Executive was involved. The term “</w:t>
      </w:r>
      <w:r>
        <w:rPr>
          <w:rFonts w:ascii="Times New Roman" w:cs="Times New Roman" w:eastAsia="Times New Roman" w:hAnsi="Times New Roman"/>
          <w:sz w:val="22"/>
          <w:szCs w:val="22"/>
          <w:b w:val="1"/>
          <w:bCs w:val="1"/>
          <w:i w:val="1"/>
          <w:iCs w:val="1"/>
          <w:color w:val="auto"/>
        </w:rPr>
        <w:t>Partner</w:t>
      </w:r>
      <w:r>
        <w:rPr>
          <w:rFonts w:ascii="Times New Roman" w:cs="Times New Roman" w:eastAsia="Times New Roman" w:hAnsi="Times New Roman"/>
          <w:sz w:val="22"/>
          <w:szCs w:val="22"/>
          <w:color w:val="auto"/>
        </w:rPr>
        <w:t>” means any prospective carrier, broker, agent, or other individual, corporation, or business entity that assists the Company Group in selling or offering its products or services or has entered a formal business relationship with the Company Group for the purpose of advancing the Company Group’s business interests.</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4.3</w:t>
      </w:r>
      <w:r>
        <w:rPr>
          <w:rFonts w:ascii="Times New Roman" w:cs="Times New Roman" w:eastAsia="Times New Roman" w:hAnsi="Times New Roman"/>
          <w:sz w:val="21"/>
          <w:szCs w:val="21"/>
          <w:b w:val="1"/>
          <w:bCs w:val="1"/>
          <w:u w:val="single" w:color="auto"/>
          <w:color w:val="auto"/>
        </w:rPr>
        <w:t>Non-Solicitation of Employees or Consultants</w:t>
      </w:r>
      <w:r>
        <w:rPr>
          <w:rFonts w:ascii="Times New Roman" w:cs="Times New Roman" w:eastAsia="Times New Roman" w:hAnsi="Times New Roman"/>
          <w:sz w:val="21"/>
          <w:szCs w:val="21"/>
          <w:color w:val="auto"/>
        </w:rPr>
        <w:t xml:space="preserve"> . Executive agrees that, during the Restricted Period, Executive will not, either directly or indirectly, separately or in association with others: (a) solicit for employment or as a consultant, or induce or attempt to persuade to terminate or significantly reduce his or her employment or consulting relationship with a Company Group entity, any person employed or engaged by a Company Group entity and any former employee, consultant or contractor of a Company Group entity employed or engaged by such entity in the preceding twelve (12) months (each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even if Executive did not initiate the discussion or seek out the contact;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general advertisements for employment which are not specifically targeted at any Covered Person will not alone constitute a violation of this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or (b) hire, employ, or exclusive engage, or attempt to hire, employ, or exclusively engage, any Covered Person to work in any capacity for an entity that competes with the Company Group.</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4.4</w:t>
      </w: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Executive agrees not to disparage, criticize, or make any written or verbal statements that are negative, detrimental, or injurious to the Company Group, or their business, their management or their products, services or other offerings, except (a) as required by applicable law, (b) in connection with reports of possible violations of anti-discrimination laws, labor relations laws, occupational health and safety laws, wage and hour laws, or securities laws to the appropriate government enforcing agency and such other disclosures that are expressly protected under such laws, or (c) in responding truthfully to inquiries from, or otherwise cooperating with, any governmental or regulatory investigation.</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4.5</w:t>
      </w:r>
      <w:r>
        <w:rPr>
          <w:rFonts w:ascii="Times New Roman" w:cs="Times New Roman" w:eastAsia="Times New Roman" w:hAnsi="Times New Roman"/>
          <w:sz w:val="22"/>
          <w:szCs w:val="22"/>
          <w:b w:val="1"/>
          <w:bCs w:val="1"/>
          <w:u w:val="single" w:color="auto"/>
          <w:color w:val="auto"/>
        </w:rPr>
        <w:t>Notification of New Employer</w:t>
      </w:r>
      <w:r>
        <w:rPr>
          <w:rFonts w:ascii="Times New Roman" w:cs="Times New Roman" w:eastAsia="Times New Roman" w:hAnsi="Times New Roman"/>
          <w:sz w:val="22"/>
          <w:szCs w:val="22"/>
          <w:color w:val="auto"/>
        </w:rPr>
        <w:t xml:space="preserve">. In the event that Executive leaves the employ of the Company, Executive hereby grants consent to notification by the Company to Executive’s new employer or business partners about the Executive’s obligations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w:t>
      </w:r>
    </w:p>
    <w:p>
      <w:pPr>
        <w:spacing w:after="0" w:line="16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4.6</w:t>
      </w: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xml:space="preserve">. Executive agrees that the restrictions contained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Agreement are reasonable, proper, and necessitated by the Company’s legitimate business interests. In the event that a court finds any of the restrictions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of this Agreement to be ambiguous, unenforceable, or invalid, Executive and the Company agree that the court will read the Agreement as a whole and interpret the restriction(s) at issue to be enforceable and valid to the maximum extent allowed by law.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4.7</w:t>
      </w: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Executive agrees that, were Executive to breach any of the</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covenants contained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the damage to the Company Group would be irreparable. Executive, therefore, agrees that the Company, in addition to any other remedies available to it, shall be entitled to preliminary and permanent injunctive relief against any breach or threatened breach by Executive of any of those covenants without having to post bond and will additionally be entitled to an award of its attorney’s fees. So that the Company Group may enjoy the full benefit of the covenants contained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Executive further agree that the Restricted Period shall be tolled, and shall not run, during the period of any breach by Executive of any of the covenants contained in </w:t>
      </w:r>
      <w:r>
        <w:rPr>
          <w:rFonts w:ascii="Times New Roman" w:cs="Times New Roman" w:eastAsia="Times New Roman" w:hAnsi="Times New Roman"/>
          <w:sz w:val="21"/>
          <w:szCs w:val="21"/>
          <w:u w:val="single" w:color="auto"/>
          <w:color w:val="auto"/>
        </w:rPr>
        <w:t>Sections 4.2 or 4.3</w:t>
      </w:r>
      <w:r>
        <w:rPr>
          <w:rFonts w:ascii="Times New Roman" w:cs="Times New Roman" w:eastAsia="Times New Roman" w:hAnsi="Times New Roman"/>
          <w:sz w:val="21"/>
          <w:szCs w:val="21"/>
          <w:color w:val="auto"/>
        </w:rPr>
        <w:t xml:space="preserve">. The Parties further agree that each entity within the Company Group shall have the right to enforce all of Executive’s obligations to that entity under this Agreement, including without limitation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Finally, except as otherwise expressly set forth herein, no claimed breach of this Agreement or other violation of law attributed to the Company Group or change in the nature or scope of Executive’s employment shall operate to excuse Executive from the performance of Executive’s obligations under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8"/>
        <w:spacing w:after="0" w:line="242" w:lineRule="auto"/>
        <w:tabs>
          <w:tab w:leader="none" w:pos="5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t</w:t>
      </w:r>
      <w:r>
        <w:rPr>
          <w:rFonts w:ascii="Times New Roman" w:cs="Times New Roman" w:eastAsia="Times New Roman" w:hAnsi="Times New Roman"/>
          <w:sz w:val="22"/>
          <w:szCs w:val="22"/>
          <w:b w:val="1"/>
          <w:bCs w:val="1"/>
          <w:u w:val="single" w:color="auto"/>
          <w:color w:val="auto"/>
        </w:rPr>
        <w:t>-W</w:t>
      </w:r>
      <w:r>
        <w:rPr>
          <w:rFonts w:ascii="Times New Roman" w:cs="Times New Roman" w:eastAsia="Times New Roman" w:hAnsi="Times New Roman"/>
          <w:sz w:val="14"/>
          <w:szCs w:val="14"/>
          <w:b w:val="1"/>
          <w:bCs w:val="1"/>
          <w:u w:val="single" w:color="auto"/>
          <w:color w:val="auto"/>
        </w:rPr>
        <w:t>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employed by the Company on an “at will” basis, meaning either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Executive may terminate Executive’s employment at any time, with or without cause or advance notice.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ffect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ermination</w:t>
      </w:r>
      <w:r>
        <w:rPr>
          <w:rFonts w:ascii="Times New Roman" w:cs="Times New Roman" w:eastAsia="Times New Roman" w:hAnsi="Times New Roman"/>
          <w:sz w:val="22"/>
          <w:szCs w:val="22"/>
          <w:color w:val="auto"/>
        </w:rPr>
        <w:t>. The provisions in this Section govern the amount of compensation, if any, to be provided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upon termination of employment and do not alter the at-will status of Executive’s employment. The effective date on which Executive’s employment with the Company ends for any reason shall be referred to as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In the event Executive’s employment ends for any reason, Executive shall be entitled to the Accrued Obligations. For purposes of this Agreement,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are (i) Executive’s accrued but unpaid salary through the Termination Date,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Executive’s rights to any additional compensation following a termination shall be only as set forth below.</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b w:val="1"/>
          <w:bCs w:val="1"/>
          <w:u w:val="single" w:color="auto"/>
          <w:color w:val="auto"/>
        </w:rPr>
        <w:t>Termination by the Company for Cause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9" w:lineRule="auto"/>
        <w:tabs>
          <w:tab w:leader="none" w:pos="203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have the right to terminate Executive’s employment with the Company at any time for Cause by giving notice as described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of this Agreement. For purposes of this Agreement,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shall mean that the Company has determined in its sole discretion that Executive has engaged in any of the following:</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29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refusal or failure to perform (other than by reason of Disability), or Executive’s material negligence in the performance of Executive’s duties and responsibilities to the Company Group, or Executive’s refusal or failure to follow or carry out any reasonable direction of the CEO, an authorized officer of the Company Group, the Board of Directors of the Company or a committee thereof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which refusal, failure or negligence, if susceptible of cure, remains uncured or continues or recurs ten (10)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21"/>
          <w:szCs w:val="21"/>
          <w:color w:val="auto"/>
        </w:rPr>
        <w:t>days after written notice from the Company specifying in reasonable detail the nature of such breach, (ii) Executive’s material breach of any Company Policy or any provision of any agreement to which Executive and the Company Group are party, which breach, if susceptible of cure, remains uncured or continues or recurs ten (10) days after written notice from the Company specifying in reasonable detail the nature of such breach (provided that any material breach of any of the terms of the Proprietary Information Agreement shall be deemed not susceptible of cure), (iii) commission by Executive of fraud, embezzlement or theft;</w:t>
      </w:r>
    </w:p>
    <w:p>
      <w:pPr>
        <w:spacing w:after="0" w:line="1" w:lineRule="exact"/>
        <w:rPr>
          <w:sz w:val="20"/>
          <w:szCs w:val="20"/>
          <w:color w:val="auto"/>
        </w:rPr>
      </w:pPr>
    </w:p>
    <w:p>
      <w:pPr>
        <w:jc w:val="both"/>
        <w:ind w:firstLine="8"/>
        <w:spacing w:after="0" w:line="231" w:lineRule="auto"/>
        <w:tabs>
          <w:tab w:leader="none" w:pos="38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by Executive of any felony or any other crime involving dishonesty or moral turpitude; (v) any other conduct that involves a breach of fiduciary obligation or otherwise could reasonably be expected to have a material adverse effect upon the business, interests or reputation of the Company Group, which breach, if susceptible of cure, remains uncured or continues or recurs ten (10) days after written notice from the Company specifying in reasonable detail the nature of such breach; (vi) any adverse action or omission by Executive which would be required to be disclosed pursuant to public securities laws or which would limit the ability of the Company Group to sell securities under any Federal or state law or which would disqualify the Company Group from any exemption otherwise available to it; (vii) Executive being prohibited by law or any order from any regulatory body or governmental body from being an employee or director of any company, firm or entity; or (viii) Executive’s willful failure to cooperate with a bona fide internal investigation or an investigation by regulatory or law enforcement authorities, after being instructed by the CEO or the Board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6" w:lineRule="exact"/>
        <w:rPr>
          <w:rFonts w:ascii="Times New Roman" w:cs="Times New Roman" w:eastAsia="Times New Roman" w:hAnsi="Times New Roman"/>
          <w:sz w:val="22"/>
          <w:szCs w:val="22"/>
          <w:color w:val="auto"/>
        </w:rPr>
      </w:pPr>
    </w:p>
    <w:p>
      <w:pPr>
        <w:jc w:val="both"/>
        <w:ind w:firstLine="1505"/>
        <w:spacing w:after="0" w:line="250" w:lineRule="auto"/>
        <w:tabs>
          <w:tab w:leader="none" w:pos="203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Executive’s employment is terminated at any time for Cause, Executive will not receive any severance compensation or benefits, except that, pursuant to the Company’s standard payroll policies, the Company shall pay to Executive the Accrued Obligations.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b w:val="1"/>
          <w:bCs w:val="1"/>
          <w:u w:val="single" w:color="auto"/>
          <w:color w:val="auto"/>
        </w:rPr>
        <w:t>Termination by the Company Without Cause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505"/>
        <w:spacing w:after="0" w:line="239" w:lineRule="auto"/>
        <w:tabs>
          <w:tab w:leader="none" w:pos="20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to terminate Executive’s employment with the Company without Cause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at any time by giving notice as described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this Agreement. A resignation for Good Reason pursuant to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below shall constitute a termination without Cause for purposes of receiving the Severance Pay described in this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In addition, a termination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below and a transfer of Executive’s employment from the Company to another member of the Company Group, and an assignment of this Agreement to such Company Group member, shall not constitute a termination without Cause for purposes of receiving the Severance Pay described in </w:t>
      </w:r>
      <w:r>
        <w:rPr>
          <w:rFonts w:ascii="Times New Roman" w:cs="Times New Roman" w:eastAsia="Times New Roman" w:hAnsi="Times New Roman"/>
          <w:sz w:val="22"/>
          <w:szCs w:val="22"/>
          <w:u w:val="single" w:color="auto"/>
          <w:color w:val="auto"/>
        </w:rPr>
        <w:t>Section 6.2(b).</w:t>
      </w:r>
    </w:p>
    <w:p>
      <w:pPr>
        <w:spacing w:after="0" w:line="180" w:lineRule="exact"/>
        <w:rPr>
          <w:rFonts w:ascii="Times New Roman" w:cs="Times New Roman" w:eastAsia="Times New Roman" w:hAnsi="Times New Roman"/>
          <w:sz w:val="22"/>
          <w:szCs w:val="22"/>
          <w:color w:val="auto"/>
        </w:rPr>
      </w:pPr>
    </w:p>
    <w:p>
      <w:pPr>
        <w:jc w:val="both"/>
        <w:ind w:firstLine="1505"/>
        <w:spacing w:after="0" w:line="242" w:lineRule="auto"/>
        <w:tabs>
          <w:tab w:leader="none" w:pos="20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terminates Executive’s employment without Cause, then Executive shall be entitled to receive the Accrued Obligations and, subject to Executive’s compliance with the obligations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below, Executive shall be eligible to receive, and the Company will provide to Executive (or his or her legal representative or beneficiaries, as applicable) the severance benefits described below: (i) payments of Executive’s then current Base Salary for a period of twelve</w:t>
      </w:r>
    </w:p>
    <w:p>
      <w:pPr>
        <w:spacing w:after="0" w:line="2" w:lineRule="exact"/>
        <w:rPr>
          <w:rFonts w:ascii="Times New Roman" w:cs="Times New Roman" w:eastAsia="Times New Roman" w:hAnsi="Times New Roman"/>
          <w:sz w:val="22"/>
          <w:szCs w:val="22"/>
          <w:color w:val="auto"/>
        </w:rPr>
      </w:pPr>
    </w:p>
    <w:p>
      <w:pPr>
        <w:jc w:val="both"/>
        <w:ind w:firstLine="8"/>
        <w:spacing w:after="0" w:line="237" w:lineRule="auto"/>
        <w:tabs>
          <w:tab w:leader="none" w:pos="46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 xml:space="preserve">”), less all applicable withholdings and deductions, paid in equal installments on the Company’s regularly scheduled payroll dates over the Severance Period, beginning on the Company’s first regularly scheduled payroll date following the Release Effective Date (as defined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below), with the remaining installments occurring on the Company’s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spacing w:after="0" w:line="237" w:lineRule="auto"/>
        <w:rPr>
          <w:sz w:val="20"/>
          <w:szCs w:val="20"/>
          <w:color w:val="auto"/>
        </w:rPr>
      </w:pPr>
      <w:r>
        <w:rPr>
          <w:rFonts w:ascii="Times New Roman" w:cs="Times New Roman" w:eastAsia="Times New Roman" w:hAnsi="Times New Roman"/>
          <w:sz w:val="22"/>
          <w:szCs w:val="22"/>
          <w:color w:val="auto"/>
        </w:rPr>
        <w:t>regularly scheduled payroll dates thereafter; (ii) a prorated amount of Executive’s target annual bonus for the bonus year during which the Termination Date occurs, which shall be calculated based on the month in which the Termination Date occurs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if Executive’s employment terminates in the second month of the bonus year, Executive would be eligible to receive two-twelfths (2/12ths) of Executive’s target annual bonus), less all applicable withholdings and deductions, (iii) payments equal to the monthly premium cost to continue health coverage pursuant to Title X of the Consolidated Omnibus Budget Reconciliation Act of 1985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Executive and Executive’s eligible dependents in the same amount as if Executive were an active employee of the Company, provided that Employee is eligible for and timely elects COBRA coverage and pays Executive’s share of the premium cost, which payments shall continue until the earliest of (A) the end of the Severance Period, (B) the date Executive is no longer eligible to receive continuation health coverage under COBRA, or (C) the date Executive becomes eligible for health coverage with a new employer, plus (iv) if, as of the Termination Date, Executive has been continuously employed by the Company for a minimum of 36 months and the Termination Date occurs outside a Change in Control Period (as defined below), then all unvested shares of equity grants that are subject to vesting based on the passage of time and that would have vested in the 12-month period following the Termination Date had Executive remained continuously employed during such period shall vest on the date the Release (defined below) becomes effective (such payments and benefits described in clauses (i), (ii), (iii) and (iv) collectively the “</w:t>
      </w:r>
      <w:r>
        <w:rPr>
          <w:rFonts w:ascii="Times New Roman" w:cs="Times New Roman" w:eastAsia="Times New Roman" w:hAnsi="Times New Roman"/>
          <w:sz w:val="22"/>
          <w:szCs w:val="22"/>
          <w:b w:val="1"/>
          <w:bCs w:val="1"/>
          <w:i w:val="1"/>
          <w:iCs w:val="1"/>
          <w:color w:val="auto"/>
        </w:rPr>
        <w:t>Severance Pay</w:t>
      </w:r>
      <w:r>
        <w:rPr>
          <w:rFonts w:ascii="Times New Roman" w:cs="Times New Roman" w:eastAsia="Times New Roman" w:hAnsi="Times New Roman"/>
          <w:sz w:val="22"/>
          <w:szCs w:val="22"/>
          <w:color w:val="auto"/>
        </w:rPr>
        <w:t>”). Any forfeiture or lapsing of the shares described in clause (iv) of the preceding sentence shall be delayed until the sixtieth (60th) day after the Termination Date and shall only occur if the Release does not become effective on or before that sixtieth (60th) day.</w:t>
      </w:r>
    </w:p>
    <w:p>
      <w:pPr>
        <w:spacing w:after="0" w:line="195" w:lineRule="exact"/>
        <w:rPr>
          <w:sz w:val="20"/>
          <w:szCs w:val="20"/>
          <w:color w:val="auto"/>
        </w:rPr>
      </w:pPr>
    </w:p>
    <w:p>
      <w:pPr>
        <w:jc w:val="both"/>
        <w:ind w:firstLine="1505"/>
        <w:spacing w:after="0" w:line="251" w:lineRule="auto"/>
        <w:tabs>
          <w:tab w:leader="none" w:pos="203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shall be entitled to the Severance Pay pursuant to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xml:space="preserve"> of this Agreement only if: (i) Executive signs and delivers to the Company an effective, separation agreement and general release of claims in favor of the Company in a form reasonably acceptable to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by the 60th day following the Termination Date or such earlier date as set forth in the Release, which cannot be revoked in whole or part (if applicable) by such date or such earlier date as set forth in the Release (the date that the Release can no longer be revoked is referred to as the “</w:t>
      </w:r>
      <w:r>
        <w:rPr>
          <w:rFonts w:ascii="Times New Roman" w:cs="Times New Roman" w:eastAsia="Times New Roman" w:hAnsi="Times New Roman"/>
          <w:sz w:val="21"/>
          <w:szCs w:val="21"/>
          <w:b w:val="1"/>
          <w:bCs w:val="1"/>
          <w:i w:val="1"/>
          <w:iCs w:val="1"/>
          <w:color w:val="auto"/>
        </w:rPr>
        <w:t>Release Effective Date</w:t>
      </w:r>
      <w:r>
        <w:rPr>
          <w:rFonts w:ascii="Times New Roman" w:cs="Times New Roman" w:eastAsia="Times New Roman" w:hAnsi="Times New Roman"/>
          <w:sz w:val="21"/>
          <w:szCs w:val="21"/>
          <w:color w:val="auto"/>
        </w:rPr>
        <w:t>”);</w:t>
      </w:r>
    </w:p>
    <w:p>
      <w:pPr>
        <w:spacing w:after="0" w:line="3" w:lineRule="exact"/>
        <w:rPr>
          <w:rFonts w:ascii="Times New Roman" w:cs="Times New Roman" w:eastAsia="Times New Roman" w:hAnsi="Times New Roman"/>
          <w:sz w:val="21"/>
          <w:szCs w:val="21"/>
          <w:color w:val="auto"/>
        </w:rPr>
      </w:pPr>
    </w:p>
    <w:p>
      <w:pPr>
        <w:jc w:val="both"/>
        <w:ind w:firstLine="8"/>
        <w:spacing w:after="0" w:line="248" w:lineRule="auto"/>
        <w:tabs>
          <w:tab w:leader="none" w:pos="33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holds any other positions with the Company Group, Executive resigns such position(s) to be effective no later than the Termination Date (or such other date as requested by the CEO); (iii) Executive returns all Company property with all data stored on any electronic devices intact; (iv) Executive complies with all post-termination obligations under this Agreement; and (v) Executive complies with the terms of the Release, including without limitation the non-disparagement and confidentiality provisions contained in the Release. To the extent that the Severance Pay is deferred compensation under Section 409A of the Code, and is not otherwise exempt from the application of Section 409A, then, if the period during which Executive may consider and sign the Release spans two calendar years, the Severance Pay will not be made or begin until the later calendar year.</w:t>
      </w:r>
    </w:p>
    <w:p>
      <w:pPr>
        <w:spacing w:after="0" w:line="173" w:lineRule="exact"/>
        <w:rPr>
          <w:rFonts w:ascii="Times New Roman" w:cs="Times New Roman" w:eastAsia="Times New Roman" w:hAnsi="Times New Roman"/>
          <w:sz w:val="21"/>
          <w:szCs w:val="21"/>
          <w:color w:val="auto"/>
        </w:rPr>
      </w:pPr>
    </w:p>
    <w:p>
      <w:pPr>
        <w:jc w:val="both"/>
        <w:ind w:firstLine="1505"/>
        <w:spacing w:after="0" w:line="250"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Pay provided to Executive pursuant to this Agreement is in lieu of, and not in addition to, any benefits to which Executive may otherwise be entitled under any Company severance plan, policy or program (excluding, however, any Accrued Obligations).</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damages caused by the termination of Executive’s employment without Cause would be difficult to ascertain; therefore, the Severance Pay for which Executive is eligible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above in exchange for the Release is agreed to by the Parties as liquidated damages, to serve as full compensation, and not a penalty.</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b w:val="1"/>
          <w:bCs w:val="1"/>
          <w:u w:val="single" w:color="auto"/>
          <w:color w:val="auto"/>
        </w:rPr>
        <w:t>Resignation by Executive; Resignation by Executive for Good Reason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505"/>
        <w:spacing w:after="0" w:line="243"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resign without Good Reason from Executive’s employment with the Company at any time, although the Company requests at least thirty (30) days’ advance notice of Executive’s desire to resign his or her employment. In the event Executive resigns without Good Reason from Executive’s employment with the Company, Executive will not receive the Severance Pay or any other severance compensation or benefits, except that, pursuant to the Company’s standard payroll policies, the Company shall pay to Executive the Accrued Obligations.</w:t>
      </w:r>
    </w:p>
    <w:p>
      <w:pPr>
        <w:spacing w:after="0" w:line="177"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may terminate Executive’s employment with the Company for Good Reason (as defined below) by (i) providing written notice thereof as described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to the Company no later than (30) days following the initial occurrence of the condition giving rise to Good Reason, which notice shall set forth in reasonable detail the nature of the facts and circumstances which constitute Good Reason, (ii) providing the Company a period of thirty (30) days after receipt of such resignation notice to remedy the condition which constitutes Good Reason and (iii) terminating Executive’s employment for Good Reason within thirty (30) days following the expiration of the period to remedy if the Company fails to remedy the condition. 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shall mean, in each case without Executive’s consent, (i) a material diminution in Executive’s title, duties or responsibilities, provided that such action is not taken in connection with a disciplinary action nor termination of Executive’s employment by the Company and provided, further, that a change in title resulting from a restructuring or reorganization of the Company Group will not by itself result in a diminution of Executive’s title, duties or responsibilities, (ii) a material diminution in Executive’s Base Salary or Target Bonus Amount (unless pursuant to a salary reduction program or compensation change applicable generally to the Company’s similarly situated employees), or (iii) a requirement that Executive relocate Executive’s principal place of employment to a location more than twenty-five (25) miles from Executive’s then-current principal place of employment immediately prior to such relocation.</w:t>
      </w:r>
    </w:p>
    <w:p>
      <w:pPr>
        <w:spacing w:after="0" w:line="20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Executive resigns from Executive’s employment for Good Reason, then subject to Executive’s compliance with the obligations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above, Executive shall be eligible to receive the Severance Pay as described in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and on the same terms and conditions set forth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xml:space="preserve"> as if Executive had been terminated by the Company without Cause.</w:t>
      </w:r>
    </w:p>
    <w:p>
      <w:pPr>
        <w:spacing w:after="0" w:line="172" w:lineRule="exact"/>
        <w:rPr>
          <w:rFonts w:ascii="Times New Roman" w:cs="Times New Roman" w:eastAsia="Times New Roman" w:hAnsi="Times New Roman"/>
          <w:sz w:val="22"/>
          <w:szCs w:val="22"/>
          <w:color w:val="auto"/>
        </w:rPr>
      </w:pPr>
    </w:p>
    <w:p>
      <w:pPr>
        <w:jc w:val="both"/>
        <w:ind w:firstLine="1505"/>
        <w:spacing w:after="0" w:line="250"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damages caused by Executive’s resignation for Good Reason would be difficult to ascertain; therefore, the Severance Pay for which Executive is eligible pursuant to </w:t>
      </w:r>
      <w:r>
        <w:rPr>
          <w:rFonts w:ascii="Times New Roman" w:cs="Times New Roman" w:eastAsia="Times New Roman" w:hAnsi="Times New Roman"/>
          <w:sz w:val="22"/>
          <w:szCs w:val="22"/>
          <w:u w:val="single" w:color="auto"/>
          <w:color w:val="auto"/>
        </w:rPr>
        <w:t>Section 6.3(c)</w:t>
      </w:r>
      <w:r>
        <w:rPr>
          <w:rFonts w:ascii="Times New Roman" w:cs="Times New Roman" w:eastAsia="Times New Roman" w:hAnsi="Times New Roman"/>
          <w:sz w:val="22"/>
          <w:szCs w:val="22"/>
          <w:color w:val="auto"/>
        </w:rPr>
        <w:t xml:space="preserve"> above in exchange for the Release is agreed to by the Parties as liquidated damages, to serve as full compensation, and not a penalty.</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2"/>
          <w:szCs w:val="22"/>
          <w:b w:val="1"/>
          <w:bCs w:val="1"/>
          <w:u w:val="single" w:color="auto"/>
          <w:color w:val="auto"/>
        </w:rPr>
        <w:t>Termination by Virtue of Death, or Disability of Executive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 w:firstLine="1505"/>
        <w:spacing w:after="0" w:line="258"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Executive’s death while employed pursuant to this Agreement, all obligations of the Parties hereunder shall terminate immediately, and the Company shall, pursuant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to the Company’s standard payroll policies, pay to Executive’s legal representatives all Accrued Obligations.</w:t>
      </w:r>
    </w:p>
    <w:p>
      <w:pPr>
        <w:spacing w:after="0" w:line="206" w:lineRule="exact"/>
        <w:rPr>
          <w:sz w:val="20"/>
          <w:szCs w:val="20"/>
          <w:color w:val="auto"/>
        </w:rPr>
      </w:pPr>
    </w:p>
    <w:p>
      <w:pPr>
        <w:jc w:val="both"/>
        <w:ind w:firstLine="1505"/>
        <w:spacing w:after="0" w:line="239"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termination because Executive (i) is unable due to a physical or mental condition to perform the essential functions of Executive’s position with or without reasonable accommodation (as applicable), which lasts or, based on the written certification by two licensed physicians, is expected to last at least 180 days in the aggregate during any twelve (12) month period; or (ii) is determined to be totally disabled by the Social Security Administration or qualifies for disability payments under any long term disability insurance plan. This definition shall be interpreted and applied consistent with the Americans with Disabilities Act and other applicable law. In the event Executive’s employment is terminated based on Executive’s Disability, Executive will not receive any severance compensation or benefit, except that, pursuant to the Company’s standard payroll policies, the Company shall pay to Executive the Accrued Obligations.</w:t>
      </w:r>
    </w:p>
    <w:p>
      <w:pPr>
        <w:spacing w:after="0" w:line="1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6.5</w:t>
      </w:r>
      <w:r>
        <w:rPr>
          <w:rFonts w:ascii="Times New Roman" w:cs="Times New Roman" w:eastAsia="Times New Roman" w:hAnsi="Times New Roman"/>
          <w:sz w:val="21"/>
          <w:szCs w:val="21"/>
          <w:b w:val="1"/>
          <w:bCs w:val="1"/>
          <w:u w:val="single" w:color="auto"/>
          <w:color w:val="auto"/>
        </w:rPr>
        <w:t>Change in Control Benefits.</w:t>
      </w:r>
      <w:r>
        <w:rPr>
          <w:rFonts w:ascii="Times New Roman" w:cs="Times New Roman" w:eastAsia="Times New Roman" w:hAnsi="Times New Roman"/>
          <w:sz w:val="21"/>
          <w:szCs w:val="21"/>
          <w:color w:val="auto"/>
        </w:rPr>
        <w:t xml:space="preserve"> In the event the Company (or any surviving or acquiring corporation) terminates Executive’s employment without Cause or Executive resigns for Good Reason within twelve (12) months following the effective date of a Change in Control (as defined under the Palomar Holdings, Inc. 2019 Equity Incentive Plan, as amended from time to time) (such period the “</w:t>
      </w:r>
      <w:r>
        <w:rPr>
          <w:rFonts w:ascii="Times New Roman" w:cs="Times New Roman" w:eastAsia="Times New Roman" w:hAnsi="Times New Roman"/>
          <w:sz w:val="21"/>
          <w:szCs w:val="21"/>
          <w:b w:val="1"/>
          <w:bCs w:val="1"/>
          <w:i w:val="1"/>
          <w:iCs w:val="1"/>
          <w:color w:val="auto"/>
        </w:rPr>
        <w:t>Change in Control Period</w:t>
      </w:r>
      <w:r>
        <w:rPr>
          <w:rFonts w:ascii="Times New Roman" w:cs="Times New Roman" w:eastAsia="Times New Roman" w:hAnsi="Times New Roman"/>
          <w:sz w:val="21"/>
          <w:szCs w:val="21"/>
          <w:color w:val="auto"/>
        </w:rPr>
        <w:t xml:space="preserve">”), then Executive shall be entitled to the Accrued Obligations, the Severance Pay subject to the terms and conditions set forth in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6.2(e)</w:t>
      </w:r>
      <w:r>
        <w:rPr>
          <w:rFonts w:ascii="Times New Roman" w:cs="Times New Roman" w:eastAsia="Times New Roman" w:hAnsi="Times New Roman"/>
          <w:sz w:val="21"/>
          <w:szCs w:val="21"/>
          <w:color w:val="auto"/>
        </w:rPr>
        <w:t>, and in the event that Executive’s outstanding equity as of the closing of such Change in Control is assumed or continued (in accordance with its terms) by the surviving entity in such Change in Control, then 100% of the unvested portion of such equity shall become vested.</w:t>
      </w:r>
    </w:p>
    <w:p>
      <w:pPr>
        <w:spacing w:after="0" w:line="16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6.6</w:t>
      </w:r>
      <w:r>
        <w:rPr>
          <w:rFonts w:ascii="Times New Roman" w:cs="Times New Roman" w:eastAsia="Times New Roman" w:hAnsi="Times New Roman"/>
          <w:sz w:val="22"/>
          <w:szCs w:val="22"/>
          <w:b w:val="1"/>
          <w:bCs w:val="1"/>
          <w:u w:val="single" w:color="auto"/>
          <w:color w:val="auto"/>
        </w:rPr>
        <w:t>Cooperation With Company After Termination of Employment</w:t>
      </w:r>
      <w:r>
        <w:rPr>
          <w:rFonts w:ascii="Times New Roman" w:cs="Times New Roman" w:eastAsia="Times New Roman" w:hAnsi="Times New Roman"/>
          <w:sz w:val="22"/>
          <w:szCs w:val="22"/>
          <w:color w:val="auto"/>
        </w:rPr>
        <w:t>. Following termination of Executive’s employment for any reason and for a period of two years thereafter, Executive agrees to cooperate (a) with the Company in (i) the defense of any legal matter involving any matter that arose during Executive’s employment with the Company, and (ii) all matters relating to the winding up of Executive’s pending work and the orderly transfer of any such pending work to such other employees as may be designated by the Company; and (b) with all government authorities on matters pertaining to any investigation, litigation or administrative proceeding pertaining to the Company. The Company will reimburse Executive for any reasonable travel and out of pocket expenses incurred by Executive in providing such cooperation.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6.7</w:t>
      </w:r>
      <w:r>
        <w:rPr>
          <w:rFonts w:ascii="Times New Roman" w:cs="Times New Roman" w:eastAsia="Times New Roman" w:hAnsi="Times New Roman"/>
          <w:sz w:val="22"/>
          <w:szCs w:val="22"/>
          <w:b w:val="1"/>
          <w:bCs w:val="1"/>
          <w:u w:val="single" w:color="auto"/>
          <w:color w:val="auto"/>
        </w:rPr>
        <w:t>Tax Provisions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1"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all of the Severance Pay under this Agreement satisfy, to the greatest 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jc w:val="both"/>
        <w:ind w:firstLine="1505"/>
        <w:spacing w:after="0" w:line="24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preceding provisions shall not be construed as a guarantee by the Company of any particular tax effect to Executive under this Agreement. The Company shall not be liable to Executive for any payment made under this Agreement which is determined to result in an additional tax, penalty or interest under Section 409A, nor for reporting in good faith any payment as an amount includible in gross income under Section 409A.</w:t>
      </w:r>
    </w:p>
    <w:p>
      <w:pPr>
        <w:spacing w:after="0" w:line="18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Severance Pay will be made under this Agreement unless Executive’s termination of employment constitutes a “separation from service” (as defined under Treasury Regulation Section 1.409A-1(h) a “</w:t>
      </w:r>
      <w:r>
        <w:rPr>
          <w:rFonts w:ascii="Times New Roman" w:cs="Times New Roman" w:eastAsia="Times New Roman" w:hAnsi="Times New Roman"/>
          <w:sz w:val="22"/>
          <w:szCs w:val="22"/>
          <w:b w:val="1"/>
          <w:bCs w:val="1"/>
          <w:i w:val="1"/>
          <w:iCs w:val="1"/>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determines that the Severance Pay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Pay will be delayed as follows: on the earlier to occur of (i) the date that is six months and one day after Executive’s Separation from Service, and (ii) the date of Executive’s death (such earlier date, the “</w:t>
      </w:r>
      <w:r>
        <w:rPr>
          <w:rFonts w:ascii="Times New Roman" w:cs="Times New Roman" w:eastAsia="Times New Roman" w:hAnsi="Times New Roman"/>
          <w:sz w:val="22"/>
          <w:szCs w:val="22"/>
          <w:b w:val="1"/>
          <w:bCs w:val="1"/>
          <w:i w:val="1"/>
          <w:iCs w:val="1"/>
          <w:color w:val="auto"/>
        </w:rPr>
        <w:t>Delayed Initial Payment Date</w:t>
      </w:r>
      <w:r>
        <w:rPr>
          <w:rFonts w:ascii="Times New Roman" w:cs="Times New Roman" w:eastAsia="Times New Roman" w:hAnsi="Times New Roman"/>
          <w:sz w:val="22"/>
          <w:szCs w:val="22"/>
          <w:color w:val="auto"/>
        </w:rPr>
        <w:t xml:space="preserve">”), the Company will (1) pay to Executive a lump sum amount equal to the sum of the Severance Pay that Executive would otherwise have received through the Delayed Initial Payment Date if the commencement of the payment of the Severance Pay had not been delayed pursuant to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and (2) commence paying the balance of the Severance Pay in accordance with the applicable payment schedule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No interest shall be due on any amounts deferred pursuant to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b w:val="1"/>
          <w:bCs w:val="1"/>
          <w:u w:val="single" w:color="auto"/>
          <w:color w:val="auto"/>
        </w:rPr>
        <w:t>280G</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If any payment or benefit Executive would receive pursuant to this Agreement or otherwise in connection with a change in the ownership or effective control of the Company or change in the ownership of a substantial portion of the assets of the Company (in each case, within the meaning of Section 280G of the Code and regulations promulgated thereunder (“</w:t>
      </w:r>
      <w:r>
        <w:rPr>
          <w:rFonts w:ascii="Times New Roman" w:cs="Times New Roman" w:eastAsia="Times New Roman" w:hAnsi="Times New Roman"/>
          <w:sz w:val="22"/>
          <w:szCs w:val="22"/>
          <w:b w:val="1"/>
          <w:bCs w:val="1"/>
          <w:i w:val="1"/>
          <w:iCs w:val="1"/>
          <w:color w:val="auto"/>
        </w:rPr>
        <w:t>Section 280G</w:t>
      </w:r>
      <w:r>
        <w:rPr>
          <w:rFonts w:ascii="Times New Roman" w:cs="Times New Roman" w:eastAsia="Times New Roman" w:hAnsi="Times New Roman"/>
          <w:sz w:val="22"/>
          <w:szCs w:val="22"/>
          <w:color w:val="auto"/>
        </w:rPr>
        <w:t>”)), whether from the Company or otherwise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(i) constitute a “parachute payment” within the meaning of Section 280G, and (ii) but for this paragraph,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reduced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in each case, in reverse chronological order beginning with the Payments that are to be paid the furthest in time after consummation of the transaction that is subject to Section 280G: (i) cash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jc w:val="both"/>
        <w:spacing w:after="0" w:line="234" w:lineRule="auto"/>
        <w:rPr>
          <w:sz w:val="20"/>
          <w:szCs w:val="20"/>
          <w:color w:val="auto"/>
        </w:rPr>
      </w:pPr>
      <w:r>
        <w:rPr>
          <w:rFonts w:ascii="Times New Roman" w:cs="Times New Roman" w:eastAsia="Times New Roman" w:hAnsi="Times New Roman"/>
          <w:sz w:val="22"/>
          <w:szCs w:val="22"/>
          <w:color w:val="auto"/>
        </w:rPr>
        <w:t>payments not subject to Section 409A of the Code; (ii) cash payments subject to Section 409A of the Code; (iii) equity-based payments and acceleration; and (iv) non-cash forms of benefits; provided that in the case of all the foregoing Payments all amounts or payments that are not subject to calculation under Treas. Reg. §1.280G-1, Q&amp;A-24(b) or (c) shall be reduced before any amounts that are subject to calculation under Treas. Reg. §1.280G-1, Q&amp;A-24(b) or (c). The foregoing calculations will be performed at the expense of the Company by a law, consulting or accounting firm (a “</w:t>
      </w:r>
      <w:r>
        <w:rPr>
          <w:rFonts w:ascii="Times New Roman" w:cs="Times New Roman" w:eastAsia="Times New Roman" w:hAnsi="Times New Roman"/>
          <w:sz w:val="22"/>
          <w:szCs w:val="22"/>
          <w:b w:val="1"/>
          <w:bCs w:val="1"/>
          <w:i w:val="1"/>
          <w:iCs w:val="1"/>
          <w:color w:val="auto"/>
        </w:rPr>
        <w:t>280G Firm</w:t>
      </w:r>
      <w:r>
        <w:rPr>
          <w:rFonts w:ascii="Times New Roman" w:cs="Times New Roman" w:eastAsia="Times New Roman" w:hAnsi="Times New Roman"/>
          <w:sz w:val="22"/>
          <w:szCs w:val="22"/>
          <w:color w:val="auto"/>
        </w:rPr>
        <w:t>”) selected by the Company after reasonable, good-faith consultation with Executive. In preparing such calculations, the 280G Firm shall consider in good faith the input of Executive and his or her advisors regarding such calculation and the parties shall cooperate in good faith to mitigate, to the extent permitted by Section 280G, the extent to which the Payment is treated as an excess parachute payment under Section 280G. Executive shall be entitled to receive and retain a copy of the calculations prepared by the 280G Firm hereunder with respect to Executive for his or her personal records.</w:t>
      </w:r>
    </w:p>
    <w:p>
      <w:pPr>
        <w:spacing w:after="0" w:line="17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14"/>
          <w:szCs w:val="14"/>
          <w:b w:val="1"/>
          <w:bCs w:val="1"/>
          <w:u w:val="single" w:color="auto"/>
          <w:color w:val="auto"/>
        </w:rPr>
        <w:t>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rbitration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7.1</w:t>
      </w:r>
      <w:r>
        <w:rPr>
          <w:rFonts w:ascii="Times New Roman" w:cs="Times New Roman" w:eastAsia="Times New Roman" w:hAnsi="Times New Roman"/>
          <w:sz w:val="21"/>
          <w:szCs w:val="21"/>
          <w:b w:val="1"/>
          <w:bCs w:val="1"/>
          <w:u w:val="single" w:color="auto"/>
          <w:color w:val="auto"/>
        </w:rPr>
        <w:t>Scope of Arbitration</w:t>
      </w:r>
      <w:r>
        <w:rPr>
          <w:rFonts w:ascii="Times New Roman" w:cs="Times New Roman" w:eastAsia="Times New Roman" w:hAnsi="Times New Roman"/>
          <w:sz w:val="21"/>
          <w:szCs w:val="21"/>
          <w:color w:val="auto"/>
        </w:rPr>
        <w:t>. In the event of any dispute, claim, or controversy that could otherwise be raised in court (“</w:t>
      </w:r>
      <w:r>
        <w:rPr>
          <w:rFonts w:ascii="Times New Roman" w:cs="Times New Roman" w:eastAsia="Times New Roman" w:hAnsi="Times New Roman"/>
          <w:sz w:val="21"/>
          <w:szCs w:val="21"/>
          <w:b w:val="1"/>
          <w:bCs w:val="1"/>
          <w:i w:val="1"/>
          <w:iCs w:val="1"/>
          <w:color w:val="auto"/>
        </w:rPr>
        <w:t>Claims</w:t>
      </w:r>
      <w:r>
        <w:rPr>
          <w:rFonts w:ascii="Times New Roman" w:cs="Times New Roman" w:eastAsia="Times New Roman" w:hAnsi="Times New Roman"/>
          <w:sz w:val="21"/>
          <w:szCs w:val="21"/>
          <w:color w:val="auto"/>
        </w:rPr>
        <w:t>”) between Executive and the Company (including all of its current or former officers; directors; members; employees; vendors; clients; agents; parent, subsidiary, and affiliated entities; benefit plans; benefit plans’ sponsors; fiduciaries; administrators; and all successors and assigns of any of them), the Parties jointly agree to submit all such Claims to binding arbitration and waive any right to a jury trial in court. The Claims subject to arbitration include all claims arising from or related to your employment or the termination of Executive’s employment including, but not limited to, claims for wages or other compensation due; claims for breach of any contract or covenant (express or implied); tort claims; claims for misappropriation of trade secrets or unfair competition; claims for wrongful termination or unjustified dismissal; claims for discrimination, harassment or retaliation (including, but not limited to, race, sex, religion, national origin, age, marital status, or medical condition or disability); claims for benefits (except where an employee benefit or pension plan specifies that its claims procedure shall culminate in an arbitration procedure different from this one); and claims for violation of any federal, state, or governmental law, statute, regulation, or ordinance. Claims not covered by this arbitration provision are: claims for workers' compensation or unemployment benefits; petitions or charges filed with the National Labor Relations Board, Equal Employment Opportunity Commission, or a similar government agency; and claims which are not subject to arbitration or pre-dispute arbitration agreements pursuant to federal law. Moreover, any Party may seek provisional relief from a court upon the ground that the award to which the Party may be entitled may be rendered ineffectual without provisional relief. All Claims subject to arbitration must be brought in the party’s individual capacity, and not as a plaintiff or class member in any class, collective, or representative action. Any disputes concerning the validity of this multi-plaintiff, class, collective and representative action waiver will be decided by a court of competent jurisdiction, not by the arbitrator. In the event a court determines this waiver is unenforceable with respect to any Claim, then this waiver shall not apply to that Claim, and that Claim may only proceed in court.</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b w:val="1"/>
          <w:bCs w:val="1"/>
          <w:u w:val="single" w:color="auto"/>
          <w:color w:val="auto"/>
        </w:rPr>
        <w:t>Arbitration Rules and Process</w:t>
      </w:r>
      <w:r>
        <w:rPr>
          <w:rFonts w:ascii="Times New Roman" w:cs="Times New Roman" w:eastAsia="Times New Roman" w:hAnsi="Times New Roman"/>
          <w:sz w:val="22"/>
          <w:szCs w:val="22"/>
          <w:color w:val="auto"/>
        </w:rPr>
        <w:t>. The arbitration (i) shall be conducted pursuant to the JAMS Employment Arbitration Rules &amp; Procedures to the extent they do not conflict with this provision, which are incorporated by reference and may be accessed at https://www.jamsadr.com or by calling JAMS at (800) 352-5267; (ii) shall be heard before a retired State or Federal judge in the county containing the Company office in which Executive was last employed, unless the Parties agree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jc w:val="both"/>
        <w:spacing w:after="0" w:line="233" w:lineRule="auto"/>
        <w:rPr>
          <w:sz w:val="20"/>
          <w:szCs w:val="20"/>
          <w:color w:val="auto"/>
        </w:rPr>
      </w:pPr>
      <w:r>
        <w:rPr>
          <w:rFonts w:ascii="Times New Roman" w:cs="Times New Roman" w:eastAsia="Times New Roman" w:hAnsi="Times New Roman"/>
          <w:sz w:val="22"/>
          <w:szCs w:val="22"/>
          <w:color w:val="auto"/>
        </w:rPr>
        <w:t>otherwise; and (iii) must be initiated within the time period required under the applicable statute of limitations. Each Party shall have the right to conduct discovery adequate to fully and fairly present the claims and defenses consistent with the streamlined nature of arbitration. The arbitrator shall apply the substantive law relating to all claims and defenses to be arbitrated the same as if the matter had been heard in court, including the award of any remedy or relief on an individual basis. The arbitrator’s award shall be in writing, with factual findings, reasons given, and evidence cited to support the award. The arbitrator’s decision or award shall be final and binding and may be filed in any court of competent jurisdiction so that judgment may be entered upon it or it may be corrected, modified, or vacated on any ground permitted by applicable law. The Federal Arbitration Act (9 U.S.C. Sections 1, et seq.) shall govern this arbitration provision and State arbitration statutes shall apply only to the extent they are not preempted. If any part of this arbitration provision is held to be invalid, void, or unenforceable, it shall be interpreted in a manner or modified to make it enforceable. If that is not possible, it shall be severed and the remaining terms shall remain in full force and effect. The Parties shall equally share the cost of the arbitration, including the arbitrator’s fees. Each Party shall pay for its own costs and attorneys’ fees, if any, except as otherwise required by law.</w:t>
      </w:r>
    </w:p>
    <w:p>
      <w:pPr>
        <w:spacing w:after="0" w:line="18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b w:val="1"/>
          <w:bCs w:val="1"/>
          <w:u w:val="single" w:color="auto"/>
          <w:color w:val="auto"/>
        </w:rPr>
        <w:t>Advice of an Attorney.</w:t>
      </w:r>
      <w:r>
        <w:rPr>
          <w:rFonts w:ascii="Times New Roman" w:cs="Times New Roman" w:eastAsia="Times New Roman" w:hAnsi="Times New Roman"/>
          <w:sz w:val="22"/>
          <w:szCs w:val="22"/>
          <w:color w:val="auto"/>
        </w:rPr>
        <w:t xml:space="preserve"> Executive acknowledges that the Company has advised Executive to consult with an attorney.</w:t>
      </w:r>
    </w:p>
    <w:p>
      <w:pPr>
        <w:spacing w:after="0" w:line="16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7.4</w:t>
      </w:r>
      <w:r>
        <w:rPr>
          <w:rFonts w:ascii="Times New Roman" w:cs="Times New Roman" w:eastAsia="Times New Roman" w:hAnsi="Times New Roman"/>
          <w:sz w:val="22"/>
          <w:szCs w:val="22"/>
          <w:b w:val="1"/>
          <w:bCs w:val="1"/>
          <w:u w:val="single" w:color="auto"/>
          <w:color w:val="auto"/>
        </w:rPr>
        <w:t>Voluntary Agreement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Executive represents that Executive has read this Agreement and understands and accepts each of its terms. Executive further represents that no representations, promises, agreements, stipulations, or statements have been made by the Company Group, beyond those contained herein. Executive further represents that Executive voluntarily signs this Agreement as Executive’s own free act, and that Executive is not acting under any coercion or duress.</w:t>
      </w:r>
    </w:p>
    <w:p>
      <w:pPr>
        <w:spacing w:after="0" w:line="16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14"/>
          <w:szCs w:val="14"/>
          <w:b w:val="1"/>
          <w:bCs w:val="1"/>
          <w:u w:val="single" w:color="auto"/>
          <w:color w:val="auto"/>
        </w:rPr>
        <w:t>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notices required hereunder to be in writing shall be deemed effectively given: (a) upon personal delivery to the Party to be notified, (b) when sent by electronic mail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All communications shall be sent to the Company at its primary office location (attention of the Company’s Chief Executive Officer) and to Executive at Executive’s address as listed on the Company’s payroll, or at such other address as the Company or Executive may designate by ten (10) days advance written notice to the other.</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Whenever possible each provision of this Agreement will be interpreted so as to be fully effective and valid under applicable law. In the event that any provision of this Agreement is determined to be unenforceable in any respect as written, such provision of this Agreement is determined to be unenforceable in any respect as written, such provision will be deemed to have been automatically modified to the minimum extent necessary to make it enforceable and the provision will be enforced as so modified. If notwithstanding the preceding sentence, any provision contained in this Agreement is determined to be void or unenforceable in whole or in part or as so modified, it will not be deemed to affect or impair the validity of any other provision contained in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b w:val="1"/>
          <w:bCs w:val="1"/>
          <w:u w:val="single" w:color="auto"/>
          <w:color w:val="auto"/>
        </w:rPr>
        <w:t>Waiver and Amendment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No amendment of any provision of this Agreement shall be valid unless the amendment is in writing and signed by Executive and by the Chief Executive Officer or Chief Financial Officer of the Company (exclusive of Executive himself). No waiver by any party of any default, misrepresentation or breach of warranty or covenant hereunder, whether intentional or not, shall be deemed to extend to any prior or subsequent default, misrepresentation or breach of warranty or covenant hereunder or to affect in any way any rights arising by virtue of any prior or subsequent such occurrence, and no waiver shall be effective unless set forth in writing and signed by the party against whom such waiver is asserted. If the party against whom such waiver is asserted is the Company, no waiver shall be effective unless signed by the Chief Executive Officer or Chief Financial Officer of the Company (exclusive of Executive himself).</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8.4</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The headings contained in this Agreement are inserted for convenience only and do not constitute a part of this Agreement.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8.5</w:t>
      </w: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Agreement embodies the complete agreement and understanding between the parties and supersedes and preempts any prior understandings, agreements or r representations by the parties, written or oral, which may relate to the subject matter hereof.</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8.6</w:t>
      </w: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color w:val="auto"/>
        </w:rPr>
        <w:t>. EXCEPT FOR THE FEDERAL ARBITRATION ACT, WHICH SHALL APPLY TO SECTION 7, the construction, validity and interpretation of this Agreement will be governed by the internal law, and not the law of conflicts, of the State of California.</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8.7</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Provisions of this Agreement which by their terms must survive the termination of this Agreement in order to effectuate the intent of the Parties will survive any such termination, termination of Executive’s employment, or otherwise, for such period as may be appropriate under the circumstances.</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8.8</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Company shall assign this Agreement and its rights and obligations hereunder in whole, but not in part, to any member of the Company Group or any successor. Any such successor will be deemed substituted for the Company under the terms of this Agreement for all purposes. For this purpose, “</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color w:val="auto"/>
        </w:rPr>
        <w:t>” means any person, firm, corporation or other business entity which at any time, whether by purchase, merger or otherwise, directly or indirectly acquires all or substantially all of the assets or business of the Company Group entity that employs Executive. Executive may not assign or transfer this Agreement or any rights or obligations hereunder, other than to Executive’s estate upon death.</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8.9</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amounts payable hereunder shall be subject to applicable tax withholding.</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8.10</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 which need not contain signatures of more than one Party, but all of which taken together will constitute one and the same Agreement. Electronic signatures and signatures transmitted by PDF shall be equivalent to original signatures.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 written above.</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9" w:name="page80"/>
    <w:bookmarkEnd w:id="79"/>
    <w:p>
      <w:pPr>
        <w:ind w:left="416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alomar</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By:</w:t>
      </w:r>
    </w:p>
    <w:p>
      <w:pPr>
        <w:ind w:left="4440"/>
        <w:spacing w:after="0" w:line="238" w:lineRule="auto"/>
        <w:rPr>
          <w:sz w:val="20"/>
          <w:szCs w:val="20"/>
          <w:color w:val="auto"/>
        </w:rPr>
      </w:pPr>
      <w:r>
        <w:rPr>
          <w:rFonts w:ascii="Times New Roman" w:cs="Times New Roman" w:eastAsia="Times New Roman" w:hAnsi="Times New Roman"/>
          <w:sz w:val="22"/>
          <w:szCs w:val="22"/>
          <w:color w:val="auto"/>
        </w:rPr>
        <w:t>Name:</w:t>
      </w:r>
    </w:p>
    <w:p>
      <w:pPr>
        <w:jc w:val="center"/>
        <w:ind w:right="-320"/>
        <w:spacing w:after="0"/>
        <w:rPr>
          <w:sz w:val="20"/>
          <w:szCs w:val="20"/>
          <w:color w:val="auto"/>
        </w:rPr>
      </w:pPr>
      <w:r>
        <w:rPr>
          <w:rFonts w:ascii="Times New Roman" w:cs="Times New Roman" w:eastAsia="Times New Roman" w:hAnsi="Times New Roman"/>
          <w:sz w:val="22"/>
          <w:szCs w:val="22"/>
          <w:color w:val="auto"/>
        </w:rPr>
        <w:t>Title:</w:t>
      </w:r>
    </w:p>
    <w:p>
      <w:pPr>
        <w:spacing w:after="0" w:line="38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915670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171"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Mac Armstrong</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171"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June 30, 2025,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w:t>
      </w:r>
    </w:p>
    <w:p>
      <w:pPr>
        <w:spacing w:after="0"/>
        <w:rPr>
          <w:sz w:val="20"/>
          <w:szCs w:val="20"/>
          <w:color w:val="auto"/>
        </w:rPr>
      </w:pPr>
      <w:r>
        <w:rPr>
          <w:rFonts w:ascii="Times New Roman" w:cs="Times New Roman" w:eastAsia="Times New Roman" w:hAnsi="Times New Roman"/>
          <w:sz w:val="18"/>
          <w:szCs w:val="18"/>
          <w:color w:val="auto"/>
        </w:rPr>
        <w:t>906 of the Sarbanes-Oxley Act of 2002, that to the best of our knowledge: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5, 2025</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7"/>
        </w:trPr>
        <w:tc>
          <w:tcPr>
            <w:tcW w:w="3320" w:type="dxa"/>
            <w:vAlign w:val="bottom"/>
          </w:tcPr>
          <w:p>
            <w:pPr>
              <w:spacing w:after="0"/>
              <w:rPr>
                <w:sz w:val="13"/>
                <w:szCs w:val="13"/>
                <w:color w:val="auto"/>
              </w:rPr>
            </w:pPr>
          </w:p>
        </w:tc>
        <w:tc>
          <w:tcPr>
            <w:tcW w:w="2540" w:type="dxa"/>
            <w:vAlign w:val="bottom"/>
          </w:tcPr>
          <w:p>
            <w:pPr>
              <w:ind w:left="1760"/>
              <w:spacing w:after="0" w:line="157" w:lineRule="exact"/>
              <w:rPr>
                <w:sz w:val="20"/>
                <w:szCs w:val="20"/>
                <w:color w:val="auto"/>
              </w:rPr>
            </w:pPr>
            <w:r>
              <w:rPr>
                <w:rFonts w:ascii="Times New Roman" w:cs="Times New Roman" w:eastAsia="Times New Roman" w:hAnsi="Times New Roman"/>
                <w:sz w:val="18"/>
                <w:szCs w:val="18"/>
                <w:color w:val="auto"/>
              </w:rPr>
              <w:t>Name:</w:t>
            </w:r>
          </w:p>
        </w:tc>
        <w:tc>
          <w:tcPr>
            <w:tcW w:w="536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Mac Armstrong</w:t>
            </w:r>
          </w:p>
        </w:tc>
        <w:tc>
          <w:tcPr>
            <w:tcW w:w="20" w:type="dxa"/>
            <w:vAlign w:val="bottom"/>
          </w:tcPr>
          <w:p>
            <w:pPr>
              <w:spacing w:after="0"/>
              <w:rPr>
                <w:sz w:val="13"/>
                <w:szCs w:val="13"/>
                <w:color w:val="auto"/>
              </w:rPr>
            </w:pPr>
          </w:p>
        </w:tc>
      </w:tr>
      <w:tr>
        <w:trPr>
          <w:trHeight w:val="189"/>
        </w:trPr>
        <w:tc>
          <w:tcPr>
            <w:tcW w:w="3320" w:type="dxa"/>
            <w:vAlign w:val="bottom"/>
          </w:tcPr>
          <w:p>
            <w:pPr>
              <w:spacing w:after="0"/>
              <w:rPr>
                <w:sz w:val="16"/>
                <w:szCs w:val="16"/>
                <w:color w:val="auto"/>
              </w:rPr>
            </w:pPr>
          </w:p>
        </w:tc>
        <w:tc>
          <w:tcPr>
            <w:tcW w:w="2540" w:type="dxa"/>
            <w:vAlign w:val="bottom"/>
          </w:tcPr>
          <w:p>
            <w:pPr>
              <w:ind w:left="176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8"/>
        </w:trPr>
        <w:tc>
          <w:tcPr>
            <w:tcW w:w="3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380" w:type="dxa"/>
            <w:vAlign w:val="bottom"/>
            <w:gridSpan w:val="2"/>
          </w:tcPr>
          <w:p>
            <w:pPr>
              <w:spacing w:after="0"/>
              <w:rPr>
                <w:sz w:val="12"/>
                <w:szCs w:val="12"/>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5, 2025</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3320" w:type="dxa"/>
            <w:vAlign w:val="bottom"/>
          </w:tcPr>
          <w:p>
            <w:pPr>
              <w:spacing w:after="0"/>
              <w:rPr>
                <w:sz w:val="13"/>
                <w:szCs w:val="13"/>
                <w:color w:val="auto"/>
              </w:rPr>
            </w:pPr>
          </w:p>
        </w:tc>
        <w:tc>
          <w:tcPr>
            <w:tcW w:w="2540" w:type="dxa"/>
            <w:vAlign w:val="bottom"/>
          </w:tcPr>
          <w:p>
            <w:pPr>
              <w:ind w:left="1760"/>
              <w:spacing w:after="0" w:line="150" w:lineRule="exact"/>
              <w:rPr>
                <w:sz w:val="20"/>
                <w:szCs w:val="20"/>
                <w:color w:val="auto"/>
              </w:rPr>
            </w:pPr>
            <w:r>
              <w:rPr>
                <w:rFonts w:ascii="Times New Roman" w:cs="Times New Roman" w:eastAsia="Times New Roman" w:hAnsi="Times New Roman"/>
                <w:sz w:val="17"/>
                <w:szCs w:val="17"/>
                <w:color w:val="auto"/>
              </w:rPr>
              <w:t>Name:</w:t>
            </w:r>
          </w:p>
        </w:tc>
        <w:tc>
          <w:tcPr>
            <w:tcW w:w="53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c>
          <w:tcPr>
            <w:tcW w:w="20" w:type="dxa"/>
            <w:vAlign w:val="bottom"/>
          </w:tcPr>
          <w:p>
            <w:pPr>
              <w:spacing w:after="0"/>
              <w:rPr>
                <w:sz w:val="13"/>
                <w:szCs w:val="13"/>
                <w:color w:val="auto"/>
              </w:rPr>
            </w:pPr>
          </w:p>
        </w:tc>
      </w:tr>
      <w:tr>
        <w:trPr>
          <w:trHeight w:val="189"/>
        </w:trPr>
        <w:tc>
          <w:tcPr>
            <w:tcW w:w="3320" w:type="dxa"/>
            <w:vAlign w:val="bottom"/>
          </w:tcPr>
          <w:p>
            <w:pPr>
              <w:spacing w:after="0"/>
              <w:rPr>
                <w:sz w:val="16"/>
                <w:szCs w:val="16"/>
                <w:color w:val="auto"/>
              </w:rPr>
            </w:pPr>
          </w:p>
        </w:tc>
        <w:tc>
          <w:tcPr>
            <w:tcW w:w="2540" w:type="dxa"/>
            <w:vAlign w:val="bottom"/>
          </w:tcPr>
          <w:p>
            <w:pPr>
              <w:ind w:left="176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775"/>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04"/>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3"/>
    </w:lvl>
  </w:abstractNum>
  <w:abstractNum w:abstractNumId="29">
    <w:nsid w:val="51EAD36B"/>
    <w:multiLevelType w:val="hybridMultilevel"/>
    <w:lvl w:ilvl="0">
      <w:lvlJc w:val="left"/>
      <w:lvlText w:val="%1."/>
      <w:numFmt w:val="decimal"/>
      <w:start w:val="2"/>
    </w:lvl>
  </w:abstractNum>
  <w:abstractNum w:abstractNumId="30">
    <w:nsid w:val="2D517796"/>
    <w:multiLevelType w:val="hybridMultilevel"/>
    <w:lvl w:ilvl="0">
      <w:lvlJc w:val="left"/>
      <w:lvlText w:val="%1."/>
      <w:numFmt w:val="decimal"/>
      <w:start w:val="3"/>
    </w:lvl>
  </w:abstractNum>
  <w:abstractNum w:abstractNumId="31">
    <w:nsid w:val="580BD78F"/>
    <w:multiLevelType w:val="hybridMultilevel"/>
    <w:lvl w:ilvl="0">
      <w:lvlJc w:val="left"/>
      <w:lvlText w:val="%1."/>
      <w:numFmt w:val="decimal"/>
      <w:start w:val="4"/>
    </w:lvl>
  </w:abstractNum>
  <w:abstractNum w:abstractNumId="32">
    <w:nsid w:val="153EA438"/>
    <w:multiLevelType w:val="hybridMultilevel"/>
    <w:lvl w:ilvl="0">
      <w:lvlJc w:val="left"/>
      <w:lvlText w:val="%1."/>
      <w:numFmt w:val="decimal"/>
      <w:start w:val="5"/>
    </w:lvl>
  </w:abstractNum>
  <w:abstractNum w:abstractNumId="33">
    <w:nsid w:val="3855585C"/>
    <w:multiLevelType w:val="hybridMultilevel"/>
    <w:lvl w:ilvl="0">
      <w:lvlJc w:val="left"/>
      <w:lvlText w:val="%1"/>
      <w:numFmt w:val="lowerLetter"/>
      <w:start w:val="1"/>
    </w:lvl>
    <w:lvl w:ilvl="1">
      <w:lvlJc w:val="left"/>
      <w:lvlText w:val="(%2)"/>
      <w:numFmt w:val="lowerLetter"/>
      <w:start w:val="1"/>
    </w:lvl>
  </w:abstractNum>
  <w:abstractNum w:abstractNumId="34">
    <w:nsid w:val="70A64E2A"/>
    <w:multiLevelType w:val="hybridMultilevel"/>
    <w:lvl w:ilvl="0">
      <w:lvlJc w:val="left"/>
      <w:lvlText w:val="(%1)"/>
      <w:numFmt w:val="lowerLetter"/>
      <w:start w:val="9"/>
    </w:lvl>
    <w:lvl w:ilvl="1">
      <w:lvlJc w:val="left"/>
      <w:lvlText w:val="%2"/>
      <w:numFmt w:val="lowerLetter"/>
      <w:start w:val="1"/>
    </w:lvl>
  </w:abstractNum>
  <w:abstractNum w:abstractNumId="35">
    <w:nsid w:val="6A2342EC"/>
    <w:multiLevelType w:val="hybridMultilevel"/>
    <w:lvl w:ilvl="0">
      <w:lvlJc w:val="left"/>
      <w:lvlText w:val="(%1)"/>
      <w:numFmt w:val="lowerRoman"/>
      <w:start w:val="4"/>
    </w:lvl>
    <w:lvl w:ilvl="1">
      <w:lvlJc w:val="left"/>
      <w:lvlText w:val="(%2)"/>
      <w:numFmt w:val="lowerLetter"/>
      <w:start w:val="2"/>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decimal"/>
      <w:start w:val="12"/>
    </w:lvl>
    <w:lvl w:ilvl="1">
      <w:lvlJc w:val="left"/>
      <w:lvlText w:val="%2"/>
      <w:numFmt w:val="lowerLetter"/>
      <w:start w:val="1"/>
    </w:lvl>
  </w:abstractNum>
  <w:abstractNum w:abstractNumId="38">
    <w:nsid w:val="725A06FB"/>
    <w:multiLevelType w:val="hybridMultilevel"/>
    <w:lvl w:ilvl="0">
      <w:lvlJc w:val="left"/>
      <w:lvlText w:val="%1"/>
      <w:numFmt w:val="lowerLetter"/>
      <w:start w:val="1"/>
    </w:lvl>
    <w:lvl w:ilvl="1">
      <w:lvlJc w:val="left"/>
      <w:lvlText w:val="(%2)"/>
      <w:numFmt w:val="lowerLetter"/>
      <w:start w:val="3"/>
    </w:lvl>
  </w:abstractNum>
  <w:abstractNum w:abstractNumId="39">
    <w:nsid w:val="2CD89A32"/>
    <w:multiLevelType w:val="hybridMultilevel"/>
    <w:lvl w:ilvl="0">
      <w:lvlJc w:val="left"/>
      <w:lvlText w:val="(%1)"/>
      <w:numFmt w:val="lowerLetter"/>
      <w:start w:val="35"/>
    </w:lvl>
    <w:lvl w:ilvl="1">
      <w:lvlJc w:val="left"/>
      <w:lvlText w:val="(%2)"/>
      <w:numFmt w:val="lowerLetter"/>
      <w:start w:val="4"/>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7"/>
    </w:lvl>
  </w:abstractNum>
  <w:abstractNum w:abstractNumId="46">
    <w:nsid w:val="7644A45C"/>
    <w:multiLevelType w:val="hybridMultilevel"/>
    <w:lvl w:ilvl="0">
      <w:lvlJc w:val="left"/>
      <w:lvlText w:val="%1."/>
      <w:numFmt w:val="decimal"/>
      <w:start w:val="8"/>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2025-08-05T16:34:22Z</dcterms:created>
  <dcterms:modified xsi:type="dcterms:W3CDTF">2025-08-05T16:34:22Z</dcterms:modified>
</cp:coreProperties>
</file>