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820" w:right="2360" w:hanging="488"/>
        <w:spacing w:after="0" w:line="264" w:lineRule="auto"/>
        <w:tabs>
          <w:tab w:leader="none" w:pos="658"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March 31, 2025</w:t>
      </w: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11" w:lineRule="exact"/>
        <w:rPr>
          <w:sz w:val="24"/>
          <w:szCs w:val="24"/>
          <w:color w:val="auto"/>
        </w:rPr>
      </w:pPr>
    </w:p>
    <w:p>
      <w:pPr>
        <w:ind w:left="820" w:right="2340" w:hanging="488"/>
        <w:spacing w:after="0" w:line="301" w:lineRule="auto"/>
        <w:tabs>
          <w:tab w:leader="none" w:pos="65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 to ___________</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40" w:type="dxa"/>
            <w:vAlign w:val="bottom"/>
            <w:gridSpan w:val="6"/>
          </w:tcPr>
          <w:p>
            <w:pPr>
              <w:jc w:val="center"/>
              <w:ind w:right="500"/>
              <w:spacing w:after="0"/>
              <w:rPr>
                <w:sz w:val="20"/>
                <w:szCs w:val="20"/>
                <w:color w:val="auto"/>
              </w:rPr>
            </w:pPr>
            <w:r>
              <w:rPr>
                <w:rFonts w:ascii="Times New Roman" w:cs="Times New Roman" w:eastAsia="Times New Roman" w:hAnsi="Times New Roman"/>
                <w:sz w:val="16"/>
                <w:szCs w:val="16"/>
                <w:color w:val="auto"/>
              </w:rPr>
              <w:t>Commission File Number: 001-38873</w:t>
            </w:r>
          </w:p>
        </w:tc>
        <w:tc>
          <w:tcPr>
            <w:tcW w:w="3800" w:type="dxa"/>
            <w:vAlign w:val="bottom"/>
          </w:tcPr>
          <w:p>
            <w:pPr>
              <w:spacing w:after="0"/>
              <w:rPr>
                <w:sz w:val="18"/>
                <w:szCs w:val="18"/>
                <w:color w:val="auto"/>
              </w:rPr>
            </w:pPr>
          </w:p>
        </w:tc>
      </w:tr>
      <w:tr>
        <w:trPr>
          <w:trHeight w:val="656"/>
        </w:trPr>
        <w:tc>
          <w:tcPr>
            <w:tcW w:w="3800" w:type="dxa"/>
            <w:vAlign w:val="bottom"/>
          </w:tcPr>
          <w:p>
            <w:pPr>
              <w:spacing w:after="0"/>
              <w:rPr>
                <w:sz w:val="24"/>
                <w:szCs w:val="24"/>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36"/>
                <w:szCs w:val="36"/>
                <w:b w:val="1"/>
                <w:bCs w:val="1"/>
                <w:color w:val="auto"/>
                <w:w w:val="99"/>
              </w:rPr>
              <w:t>Palomar Holdings, Inc.</w:t>
            </w:r>
          </w:p>
        </w:tc>
        <w:tc>
          <w:tcPr>
            <w:tcW w:w="3800" w:type="dxa"/>
            <w:vAlign w:val="bottom"/>
          </w:tcPr>
          <w:p>
            <w:pPr>
              <w:spacing w:after="0"/>
              <w:rPr>
                <w:sz w:val="24"/>
                <w:szCs w:val="24"/>
                <w:color w:val="auto"/>
              </w:rPr>
            </w:pPr>
          </w:p>
        </w:tc>
      </w:tr>
      <w:tr>
        <w:trPr>
          <w:trHeight w:val="330"/>
        </w:trPr>
        <w:tc>
          <w:tcPr>
            <w:tcW w:w="3800" w:type="dxa"/>
            <w:vAlign w:val="bottom"/>
          </w:tcPr>
          <w:p>
            <w:pPr>
              <w:spacing w:after="0"/>
              <w:rPr>
                <w:sz w:val="24"/>
                <w:szCs w:val="24"/>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800" w:type="dxa"/>
            <w:vAlign w:val="bottom"/>
          </w:tcPr>
          <w:p>
            <w:pPr>
              <w:spacing w:after="0"/>
              <w:rPr>
                <w:sz w:val="24"/>
                <w:szCs w:val="24"/>
                <w:color w:val="auto"/>
              </w:rPr>
            </w:pPr>
          </w:p>
        </w:tc>
      </w:tr>
      <w:tr>
        <w:trPr>
          <w:trHeight w:val="408"/>
        </w:trPr>
        <w:tc>
          <w:tcPr>
            <w:tcW w:w="3800" w:type="dxa"/>
            <w:vAlign w:val="bottom"/>
            <w:tcBorders>
              <w:bottom w:val="single" w:sz="8" w:color="auto"/>
            </w:tcBorders>
          </w:tcPr>
          <w:p>
            <w:pPr>
              <w:jc w:val="center"/>
              <w:ind w:left="12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right"/>
              <w:ind w:right="2099"/>
              <w:spacing w:after="0"/>
              <w:rPr>
                <w:sz w:val="20"/>
                <w:szCs w:val="20"/>
                <w:color w:val="auto"/>
              </w:rPr>
            </w:pPr>
            <w:r>
              <w:rPr>
                <w:rFonts w:ascii="Times New Roman" w:cs="Times New Roman" w:eastAsia="Times New Roman" w:hAnsi="Times New Roman"/>
                <w:sz w:val="16"/>
                <w:szCs w:val="16"/>
                <w:b w:val="1"/>
                <w:bCs w:val="1"/>
                <w:color w:val="auto"/>
              </w:rPr>
              <w:t>83-3972551</w:t>
            </w:r>
          </w:p>
        </w:tc>
      </w:tr>
      <w:tr>
        <w:trPr>
          <w:trHeight w:val="185"/>
        </w:trPr>
        <w:tc>
          <w:tcPr>
            <w:tcW w:w="38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0" w:type="dxa"/>
            <w:vAlign w:val="bottom"/>
          </w:tcPr>
          <w:p>
            <w:pPr>
              <w:jc w:val="center"/>
              <w:ind w:right="12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800" w:type="dxa"/>
            <w:vAlign w:val="bottom"/>
          </w:tcPr>
          <w:p>
            <w:pPr>
              <w:jc w:val="center"/>
              <w:ind w:left="1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395"/>
        </w:trPr>
        <w:tc>
          <w:tcPr>
            <w:tcW w:w="3800" w:type="dxa"/>
            <w:vAlign w:val="bottom"/>
          </w:tcPr>
          <w:p>
            <w:pPr>
              <w:jc w:val="center"/>
              <w:ind w:left="1299"/>
              <w:spacing w:after="0"/>
              <w:rPr>
                <w:sz w:val="20"/>
                <w:szCs w:val="20"/>
                <w:color w:val="auto"/>
              </w:rPr>
            </w:pPr>
            <w:r>
              <w:rPr>
                <w:rFonts w:ascii="Times New Roman" w:cs="Times New Roman" w:eastAsia="Times New Roman" w:hAnsi="Times New Roman"/>
                <w:sz w:val="16"/>
                <w:szCs w:val="16"/>
                <w:b w:val="1"/>
                <w:bCs w:val="1"/>
                <w:color w:val="auto"/>
              </w:rPr>
              <w:t>7979 Ivanhoe Avenue, Suite 500</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2"/>
        </w:trPr>
        <w:tc>
          <w:tcPr>
            <w:tcW w:w="3800" w:type="dxa"/>
            <w:vAlign w:val="bottom"/>
            <w:tcBorders>
              <w:bottom w:val="single" w:sz="8" w:color="auto"/>
            </w:tcBorders>
          </w:tcPr>
          <w:p>
            <w:pPr>
              <w:jc w:val="center"/>
              <w:ind w:left="1319"/>
              <w:spacing w:after="0"/>
              <w:rPr>
                <w:sz w:val="20"/>
                <w:szCs w:val="20"/>
                <w:color w:val="auto"/>
              </w:rPr>
            </w:pPr>
            <w:r>
              <w:rPr>
                <w:rFonts w:ascii="Times New Roman" w:cs="Times New Roman" w:eastAsia="Times New Roman" w:hAnsi="Times New Roman"/>
                <w:sz w:val="16"/>
                <w:szCs w:val="16"/>
                <w:b w:val="1"/>
                <w:bCs w:val="1"/>
                <w:color w:val="auto"/>
              </w:rPr>
              <w:t>La Jolla, California</w:t>
            </w: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jc w:val="right"/>
              <w:ind w:right="2299"/>
              <w:spacing w:after="0"/>
              <w:rPr>
                <w:sz w:val="20"/>
                <w:szCs w:val="20"/>
                <w:color w:val="auto"/>
              </w:rPr>
            </w:pPr>
            <w:r>
              <w:rPr>
                <w:rFonts w:ascii="Times New Roman" w:cs="Times New Roman" w:eastAsia="Times New Roman" w:hAnsi="Times New Roman"/>
                <w:sz w:val="16"/>
                <w:szCs w:val="16"/>
                <w:b w:val="1"/>
                <w:bCs w:val="1"/>
                <w:color w:val="auto"/>
              </w:rPr>
              <w:t>92037</w:t>
            </w:r>
          </w:p>
        </w:tc>
      </w:tr>
      <w:tr>
        <w:trPr>
          <w:trHeight w:val="210"/>
        </w:trPr>
        <w:tc>
          <w:tcPr>
            <w:tcW w:w="518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0" w:type="dxa"/>
            <w:vAlign w:val="bottom"/>
          </w:tcPr>
          <w:p>
            <w:pPr>
              <w:jc w:val="center"/>
              <w:ind w:right="1279"/>
              <w:spacing w:after="0"/>
              <w:rPr>
                <w:sz w:val="20"/>
                <w:szCs w:val="20"/>
                <w:color w:val="auto"/>
              </w:rPr>
            </w:pPr>
            <w:r>
              <w:rPr>
                <w:rFonts w:ascii="Times New Roman" w:cs="Times New Roman" w:eastAsia="Times New Roman" w:hAnsi="Times New Roman"/>
                <w:sz w:val="16"/>
                <w:szCs w:val="16"/>
                <w:color w:val="auto"/>
              </w:rPr>
              <w:t>(Zip Code)</w:t>
            </w:r>
          </w:p>
        </w:tc>
      </w:tr>
      <w:tr>
        <w:trPr>
          <w:trHeight w:val="597"/>
        </w:trPr>
        <w:tc>
          <w:tcPr>
            <w:tcW w:w="380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(619) 567-5290</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07"/>
        </w:trPr>
        <w:tc>
          <w:tcPr>
            <w:tcW w:w="3800" w:type="dxa"/>
            <w:vAlign w:val="bottom"/>
          </w:tcPr>
          <w:p>
            <w:pPr>
              <w:spacing w:after="0"/>
              <w:rPr>
                <w:sz w:val="17"/>
                <w:szCs w:val="17"/>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800" w:type="dxa"/>
            <w:vAlign w:val="bottom"/>
          </w:tcPr>
          <w:p>
            <w:pPr>
              <w:spacing w:after="0"/>
              <w:rPr>
                <w:sz w:val="17"/>
                <w:szCs w:val="17"/>
                <w:color w:val="auto"/>
              </w:rPr>
            </w:pPr>
          </w:p>
        </w:tc>
      </w:tr>
      <w:tr>
        <w:trPr>
          <w:trHeight w:val="39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25"/>
        </w:trPr>
        <w:tc>
          <w:tcPr>
            <w:tcW w:w="3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r>
      <w:tr>
        <w:trPr>
          <w:trHeight w:val="220"/>
        </w:trPr>
        <w:tc>
          <w:tcPr>
            <w:tcW w:w="3800" w:type="dxa"/>
            <w:vAlign w:val="bottom"/>
            <w:tcBorders>
              <w:left w:val="single" w:sz="8" w:color="auto"/>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Title of each class</w:t>
            </w:r>
          </w:p>
        </w:tc>
        <w:tc>
          <w:tcPr>
            <w:tcW w:w="50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Trading Symbol(s)</w:t>
            </w:r>
          </w:p>
        </w:tc>
        <w:tc>
          <w:tcPr>
            <w:tcW w:w="46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3800" w:type="dxa"/>
            <w:vAlign w:val="bottom"/>
            <w:tcBorders>
              <w:left w:val="single" w:sz="8" w:color="auto"/>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5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gridSpan w:val="3"/>
          </w:tcPr>
          <w:p>
            <w:pPr>
              <w:jc w:val="center"/>
              <w:ind w:right="920"/>
              <w:spacing w:after="0"/>
              <w:rPr>
                <w:sz w:val="20"/>
                <w:szCs w:val="20"/>
                <w:color w:val="auto"/>
              </w:rPr>
            </w:pPr>
            <w:r>
              <w:rPr>
                <w:rFonts w:ascii="Times New Roman" w:cs="Times New Roman" w:eastAsia="Times New Roman" w:hAnsi="Times New Roman"/>
                <w:sz w:val="16"/>
                <w:szCs w:val="16"/>
                <w:color w:val="auto"/>
              </w:rPr>
              <w:t>PLMR</w:t>
            </w:r>
          </w:p>
        </w:tc>
        <w:tc>
          <w:tcPr>
            <w:tcW w:w="460" w:type="dxa"/>
            <w:vAlign w:val="bottom"/>
            <w:tcBorders>
              <w:bottom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91" w:lineRule="exact"/>
        <w:rPr>
          <w:sz w:val="24"/>
          <w:szCs w:val="24"/>
          <w:color w:val="auto"/>
        </w:rPr>
      </w:pPr>
    </w:p>
    <w:p>
      <w:pPr>
        <w:jc w:val="both"/>
        <w:ind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ind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1440" w:gutter="0" w:footer="0" w:header="0"/>
        </w:sectPr>
      </w:pPr>
    </w:p>
    <w:p>
      <w:pPr>
        <w:spacing w:after="0" w:line="16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5560" w:space="720"/>
            <w:col w:w="4960"/>
          </w:cols>
          <w:pgMar w:left="320" w:top="688"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5560" w:space="720"/>
            <w:col w:w="4960"/>
          </w:cols>
          <w:pgMar w:left="320" w:top="688"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688" w:right="339" w:bottom="1440" w:gutter="0" w:footer="0" w:header="0"/>
          <w:type w:val="continuous"/>
        </w:sectPr>
      </w:pPr>
    </w:p>
    <w:p>
      <w:pPr>
        <w:spacing w:after="0" w:line="298" w:lineRule="exact"/>
        <w:rPr>
          <w:sz w:val="24"/>
          <w:szCs w:val="24"/>
          <w:color w:val="auto"/>
        </w:rPr>
      </w:pPr>
    </w:p>
    <w:p>
      <w:pPr>
        <w:ind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4"/>
          <w:szCs w:val="24"/>
          <w:color w:val="auto"/>
        </w:rPr>
      </w:pPr>
    </w:p>
    <w:p>
      <w:pPr>
        <w:ind w:left="340"/>
        <w:spacing w:after="0" w:line="184" w:lineRule="exact"/>
        <w:tabs>
          <w:tab w:leader="none" w:pos="76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5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Number of shares of the registrant’s common shares outstanding at May 1, 2025: 26,742,141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8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40" w:type="dxa"/>
            <w:vAlign w:val="bottom"/>
            <w:gridSpan w:val="9"/>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PALOMAR HOLDINGS, INC.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40" w:type="dxa"/>
            <w:vAlign w:val="bottom"/>
            <w:gridSpan w:val="9"/>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480" w:type="dxa"/>
            <w:vAlign w:val="bottom"/>
            <w:gridSpan w:val="10"/>
            <w:vMerge w:val="restart"/>
          </w:tcPr>
          <w:p>
            <w:pPr>
              <w:spacing w:after="0"/>
              <w:rPr>
                <w:sz w:val="24"/>
                <w:szCs w:val="24"/>
                <w:color w:val="auto"/>
              </w:rPr>
            </w:pPr>
          </w:p>
        </w:tc>
        <w:tc>
          <w:tcPr>
            <w:tcW w:w="6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14"/>
            <w:vMerge w:val="continue"/>
          </w:tcPr>
          <w:p>
            <w:pPr>
              <w:spacing w:after="0"/>
              <w:rPr>
                <w:sz w:val="14"/>
                <w:szCs w:val="14"/>
                <w:color w:val="auto"/>
              </w:rPr>
            </w:pPr>
          </w:p>
        </w:tc>
        <w:tc>
          <w:tcPr>
            <w:tcW w:w="7480" w:type="dxa"/>
            <w:vAlign w:val="bottom"/>
            <w:gridSpan w:val="10"/>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8260" w:type="dxa"/>
            <w:vAlign w:val="bottom"/>
            <w:gridSpan w:val="14"/>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at March 31, 2025 (Unaudited) and December 31, 2024</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Income and Comprehensive Income (Loss) (Unaudited) for the Three Months Ended March 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7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2025 and 2024</w:t>
            </w:r>
          </w:p>
        </w:tc>
        <w:tc>
          <w:tcPr>
            <w:tcW w:w="2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 Months Ended March 31, 2025 and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Three Months Ended March 31, 2025 and 2024</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9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3700" w:type="dxa"/>
            <w:vAlign w:val="bottom"/>
            <w:gridSpan w:val="3"/>
          </w:tcPr>
          <w:p>
            <w:pPr>
              <w:spacing w:after="0"/>
              <w:rPr>
                <w:sz w:val="17"/>
                <w:szCs w:val="17"/>
                <w:color w:val="auto"/>
              </w:rPr>
            </w:pPr>
          </w:p>
        </w:tc>
        <w:tc>
          <w:tcPr>
            <w:tcW w:w="1160" w:type="dxa"/>
            <w:vAlign w:val="bottom"/>
            <w:gridSpan w:val="3"/>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21</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17"/>
                <w:szCs w:val="17"/>
                <w:color w:val="auto"/>
              </w:rPr>
            </w:pPr>
          </w:p>
        </w:tc>
        <w:tc>
          <w:tcPr>
            <w:tcW w:w="332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41</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980" w:type="dxa"/>
            <w:vAlign w:val="bottom"/>
            <w:gridSpan w:val="1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c>
          <w:tcPr>
            <w:tcW w:w="0" w:type="dxa"/>
            <w:vAlign w:val="bottom"/>
          </w:tcPr>
          <w:p>
            <w:pPr>
              <w:spacing w:after="0"/>
              <w:rPr>
                <w:sz w:val="1"/>
                <w:szCs w:val="1"/>
                <w:color w:val="auto"/>
              </w:rPr>
            </w:pPr>
          </w:p>
        </w:tc>
      </w:tr>
      <w:tr>
        <w:trPr>
          <w:trHeight w:val="412"/>
        </w:trPr>
        <w:tc>
          <w:tcPr>
            <w:tcW w:w="27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780" w:type="dxa"/>
            <w:vAlign w:val="bottom"/>
            <w:gridSpan w:val="11"/>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43</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3"/>
          </w:tcPr>
          <w:p>
            <w:pPr>
              <w:spacing w:after="0"/>
              <w:rPr>
                <w:sz w:val="17"/>
                <w:szCs w:val="17"/>
                <w:color w:val="auto"/>
              </w:rPr>
            </w:pPr>
          </w:p>
        </w:tc>
        <w:tc>
          <w:tcPr>
            <w:tcW w:w="8440" w:type="dxa"/>
            <w:vAlign w:val="bottom"/>
            <w:gridSpan w:val="1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43</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42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66</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44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66</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Mine Safety Disclosures</w:t>
            </w:r>
          </w:p>
        </w:tc>
        <w:tc>
          <w:tcPr>
            <w:tcW w:w="800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66</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66</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4"/>
          </w:tcPr>
          <w:p>
            <w:pPr>
              <w:spacing w:after="0"/>
              <w:rPr>
                <w:sz w:val="17"/>
                <w:szCs w:val="17"/>
                <w:color w:val="auto"/>
              </w:rPr>
            </w:pPr>
          </w:p>
        </w:tc>
        <w:tc>
          <w:tcPr>
            <w:tcW w:w="846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67</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9000" w:type="dxa"/>
            <w:vAlign w:val="bottom"/>
            <w:gridSpan w:val="19"/>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68</w:t>
            </w:r>
          </w:p>
        </w:tc>
        <w:tc>
          <w:tcPr>
            <w:tcW w:w="0" w:type="dxa"/>
            <w:vAlign w:val="bottom"/>
          </w:tcPr>
          <w:p>
            <w:pPr>
              <w:spacing w:after="0"/>
              <w:rPr>
                <w:sz w:val="1"/>
                <w:szCs w:val="1"/>
                <w:color w:val="auto"/>
              </w:rPr>
            </w:pPr>
          </w:p>
        </w:tc>
      </w:tr>
      <w:tr>
        <w:trPr>
          <w:trHeight w:val="696"/>
        </w:trPr>
        <w:tc>
          <w:tcPr>
            <w:tcW w:w="800" w:type="dxa"/>
            <w:vAlign w:val="bottom"/>
          </w:tcPr>
          <w:p>
            <w:pPr>
              <w:spacing w:after="0"/>
              <w:rPr>
                <w:sz w:val="24"/>
                <w:szCs w:val="24"/>
                <w:color w:val="auto"/>
              </w:rPr>
            </w:pPr>
          </w:p>
        </w:tc>
        <w:tc>
          <w:tcPr>
            <w:tcW w:w="4900" w:type="dxa"/>
            <w:vAlign w:val="bottom"/>
            <w:gridSpan w:val="17"/>
          </w:tcPr>
          <w:p>
            <w:pPr>
              <w:jc w:val="center"/>
              <w:ind w:left="4650"/>
              <w:spacing w:after="0"/>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7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par value data)</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fair value (amortized cost: $1,015,892 in 2025; $973,330 in</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1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67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991,759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939,046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 (cost: $44,462 in 2025; $32,987 in 2024)</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40,529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2,277</w:t>
            </w:r>
          </w:p>
        </w:tc>
      </w:tr>
      <w:tr>
        <w:trPr>
          <w:trHeight w:val="216"/>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5,863</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1,049,416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987,715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119,312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80,438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Premiums receivable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305,724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 net of ceding commissions and fronting fees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102,861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94,881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recoverable on paid losses and loss adjustment expenses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47,076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Reinsurance recoverable on unpaid losses and loss adjustment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348,083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Ceded unearned premiums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295,275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276,237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91,086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13,242</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2,426,510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2,262,220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65,405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70,079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543,889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503,382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741,692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Ceded premium payable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190,168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Funds held under reinsurance treaty</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27,869</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1,636,061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1,533,190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0 shares issued and outstanding as of</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March 31, 2025 and December 31, 2024</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26,735,132 and 26,529,402 shares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March 31, 2025 and December 31, 2024, respectively</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501,950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493,656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305,138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262,216</w:t>
            </w: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790,449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729,030</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2,426,510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2,262,220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83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and Comprehensive Income (Loss) (Unaudited)</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per share data)</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442,163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368,078</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(230,745)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(228,171)</w:t>
            </w:r>
          </w:p>
        </w:tc>
      </w:tr>
      <w:tr>
        <w:trPr>
          <w:trHeight w:val="20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211,418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139,907</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(32,041)</w:t>
            </w:r>
          </w:p>
        </w:tc>
      </w:tr>
      <w:tr>
        <w:trPr>
          <w:trHeight w:val="20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107,866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3,002</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r>
      <w:tr>
        <w:trPr>
          <w:trHeight w:val="20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174,633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118,535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26,837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31,798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24,804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r>
      <w:tr>
        <w:trPr>
          <w:trHeight w:val="20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120,920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84,179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34,356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10,791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7,974</w:t>
            </w:r>
          </w:p>
        </w:tc>
      </w:tr>
      <w:tr>
        <w:trPr>
          <w:trHeight w:val="24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42,922</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26,382</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income, net:</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 on securities available for sale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1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comprehensive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53,125</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23,868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26,658,106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24,862,367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27,399,997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25,468,564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020" w:type="dxa"/>
            <w:vAlign w:val="bottom"/>
            <w:gridSpan w:val="8"/>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7620" w:type="dxa"/>
            <w:vAlign w:val="bottom"/>
            <w:gridSpan w:val="1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Changes in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 (Unaudited)</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20" w:type="dxa"/>
            <w:vAlign w:val="bottom"/>
            <w:gridSpan w:val="8"/>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9"/>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0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2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24,772,987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350,597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gridSpan w:val="2"/>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3,820</w:t>
            </w:r>
          </w:p>
        </w:tc>
        <w:tc>
          <w:tcPr>
            <w:tcW w:w="80" w:type="dxa"/>
            <w:vAlign w:val="bottom"/>
            <w:shd w:val="clear" w:color="auto" w:fill="CCEEFF"/>
          </w:tcPr>
          <w:p>
            <w:pPr>
              <w:spacing w:after="0"/>
              <w:rPr>
                <w:sz w:val="18"/>
                <w:szCs w:val="18"/>
                <w:color w:val="auto"/>
              </w:rPr>
            </w:pP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9,806</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138,267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1,857</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shd w:val="clear" w:color="auto" w:fill="CCEEFF"/>
          </w:tcPr>
          <w:p>
            <w:pPr>
              <w:spacing w:after="0"/>
              <w:rPr>
                <w:sz w:val="20"/>
                <w:szCs w:val="20"/>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Policyholder contribution to surplus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26,382</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26,382</w:t>
            </w:r>
          </w:p>
        </w:tc>
      </w:tr>
      <w:tr>
        <w:trPr>
          <w:trHeight w:val="22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24,921,060</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357,135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171,025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(Unaudited)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0"/>
        </w:trPr>
        <w:tc>
          <w:tcPr>
            <w:tcW w:w="32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8"/>
        </w:trPr>
        <w:tc>
          <w:tcPr>
            <w:tcW w:w="32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26,529,402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493,656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262,216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4,745</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6,310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199,420</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2,377</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Policyholder contribution to surplus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Offering Costs (related to prior year</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42,922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42,922</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26,735,132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704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87,183</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33,125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(176,989)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maturities of fixed maturity securities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291,896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154,820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securities receivable or payable, net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limited partnerships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16"/>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(payments on) proceeds from line of credit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costs (related to prior year offering)</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common stock issued via employee stock purchase plan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common stock issued via stock option exercises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holder contribution to surplus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r>
      <w:tr>
        <w:trPr>
          <w:trHeight w:val="20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w:t>
            </w: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80,539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51,852</w:t>
            </w: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119,327</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61,764</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Supplementary cash flow information:</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6,560</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bl>
    <w:p>
      <w:pPr>
        <w:spacing w:after="0" w:line="1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and restricted cash and cash equivalents within the condensed consolidated balance sheets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80,438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80,539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ind w:right="718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Operations and Basis of Presentation Summary of Operations</w:t>
      </w: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Palomar Holdings, Inc. (the “Company”) is a Delaware incorporated insurance holding company that was founded in 2014.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 California domiciled property and casualty insurance agency, Palomar Insurance Agency, Inc., DBA Palomar General Insurance Agency (“PGIA”), a Delaware incorporated management company, Palomar Underwriters Exchange Organization, Inc. ("PUEO"), that provides services to a Hawaii domiciled reciprocal exchange, Laulima Exchange (“Laulima”), as its attorney-in-fact, a New Jersey domiciled insurance carrier specializing in surety bonds, First Indemnity of America Insurance Co. ("FIA") and a Delaware incorporated insurance management company, Palomar Crop Insurance Services, Inc. ("PCIS").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has a single operating segment, the property and casualty insurance business. The Company's chief operating decision maker ("CODM") is the Chief Executive Officer. The significant segment expenses provided to the CODM are consistent with the categories shown in the Company's Condensed Consolidated Statements of Income and Comprehensive Income and there are no other segment items used by the CODM. The CODM reviews the Company's revenue, expenses and net income as reported under U.S. generally accepted accounting principles (“GAAP”), which is the primary measure of segment profit or loss. The CODM reviews these measures, comparing them to prior periods and expectations, and makes resource allocation decisions based on the analysis. While the Company’s CODM also reviews the revenue streams attributable to individual products, operations are managed, resources are allocated, and financial performance is evaluated on a consolidated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80" w:firstLine="648"/>
        <w:spacing w:after="0" w:line="222" w:lineRule="exact"/>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 for interim financial information and include the accounts of the Company and its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subsidiaries. The condensed consolidated financial statements also include the accounts of Laulima, as Laulima is a variable interest entity ("VIE") for which the Company is the primary beneficiary.</w:t>
      </w:r>
    </w:p>
    <w:p>
      <w:pPr>
        <w:spacing w:after="0" w:line="19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do not contain all information and footnotes required by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2024, filed with the SEC on February 25, 2025 (the “2024 Annual Report on Form 10-K”). 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not necessarily indicative of results of operations for the full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and the fair values of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has not adopted any new accounting guidance during the three months ended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 ("ASU 2023-09")</w:t>
      </w:r>
      <w:r>
        <w:rPr>
          <w:rFonts w:ascii="Times New Roman" w:cs="Times New Roman" w:eastAsia="Times New Roman" w:hAnsi="Times New Roman"/>
          <w:sz w:val="18"/>
          <w:szCs w:val="18"/>
          <w:color w:val="auto"/>
        </w:rPr>
        <w:t>. ASU 2023-09 requires public business entities to disclose additional information with respect to the reconciliation of the effective tax rate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statutory rate. Additionally, public business entities will need to disaggregate federal, state and foreign taxes paid in their financial statements. ASU 2023-09 is effective for public business entities for fiscal years beginning after December 15, 2024. The Company will adopt this guidance beginning with the Annual Report on Form 10-K for the year ending December 31, 2025 and the adoption is not expected to have a significant impact on the Company's required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Expenses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03, Disaggregation of Income Statement Expenses ("ASU 2023-03")</w:t>
      </w:r>
      <w:r>
        <w:rPr>
          <w:rFonts w:ascii="Times New Roman" w:cs="Times New Roman" w:eastAsia="Times New Roman" w:hAnsi="Times New Roman"/>
          <w:sz w:val="18"/>
          <w:szCs w:val="18"/>
          <w:color w:val="auto"/>
        </w:rPr>
        <w:t>, which will require disclosure of additional information about specific expense categories in the notes to financial statements for all public business entities. ASU 2024-03 is effective for annual reporting beginning with the fiscal year ending December 31, 2027, and for interim periods thereafter. Early adoption is permitted. The Company is currently evaluating the impact the adoption of this standard will have on its consolidated financial statements.</w:t>
      </w:r>
    </w:p>
    <w:p>
      <w:pPr>
        <w:sectPr>
          <w:pgSz w:w="11900" w:h="16838" w:orient="portrait"/>
          <w:cols w:equalWidth="0" w:num="1">
            <w:col w:w="11220"/>
          </w:cols>
          <w:pgMar w:left="320" w:top="121" w:right="359" w:bottom="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88"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The Company’s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are summarized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Cost or Cost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16,166</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18,388</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Special revenue excluding mortgage/asset-backed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17,060</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508,628</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439,968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431,517</w:t>
            </w:r>
          </w:p>
        </w:tc>
      </w:tr>
      <w:tr>
        <w:trPr>
          <w:trHeight w:val="24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1,015,892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991,759</w:t>
            </w:r>
          </w:p>
        </w:tc>
      </w:tr>
      <w:tr>
        <w:trPr>
          <w:trHeight w:val="390"/>
        </w:trPr>
        <w:tc>
          <w:tcPr>
            <w:tcW w:w="45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Cost or Cost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32,806</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9,778</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Special revenue excluding mortgage/asset-backed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26,634</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492,395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475,491</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406,597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394,337</w:t>
            </w:r>
          </w:p>
        </w:tc>
      </w:tr>
      <w:tr>
        <w:trPr>
          <w:trHeight w:val="22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973,330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939,046</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holdings in an unrealized loss position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the Company held 640 fixed maturity securities in an unrealized loss position with a total estimated fair value</w:t>
      </w:r>
    </w:p>
    <w:p>
      <w:pPr>
        <w:spacing w:after="0" w:line="27"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of $602.5 million and total gross unrealized losses of $29.9 million. As of December 31, 2024, the Company held 595 fixed maturity securities in an unrealized loss position with a total estimated fair value of $664.0 million and total gross unrealized losses of $37.3 million.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fair value and gross unrealized losses of the Company’s investments aggregated by investment category and the length of time these individual securities have been in a continuous unrealized loss position as of March 31, 2025 and December 31,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0"/>
                <w:szCs w:val="20"/>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2,084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10,937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13,021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States, Territories, and Political</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Subdivisions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Special revenue excluding</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169,591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156,463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326,054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(14,455)</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138,929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92,941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231,870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w:t>
            </w: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318,815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283,640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602,455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(29,872)</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4"/>
                <w:szCs w:val="24"/>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16,507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14,291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30,798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States, Territories, and Political</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Subdivisions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Special revenue excluding</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181,179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176,531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357,710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(18,349)</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152,287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91,572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243,859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(13,668)</w:t>
            </w: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354,769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309,203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663,972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(37,257)</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all securities with unrealized losses on a quarterly basis to assess whether the decline in the securities fair value necessitates the recognition of an allowance for credit losses. The Company considers numerous factors in its review as described in Note 1 of the Notes to the Consolidated Financial Statements in the 2024 Annual Report on Form 10-K.</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Based on the Company’s review as of March 31, 2025,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Contractual maturities of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sale fixed maturity securities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amortized cost and fair value of fixed maturity securities at March 31, 2025, by contractual maturity, are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70,521</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70,386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204,784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200,660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184,930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179,685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109,511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439,968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431,517</w:t>
            </w:r>
          </w:p>
        </w:tc>
      </w:tr>
      <w:tr>
        <w:trPr>
          <w:trHeight w:val="209"/>
        </w:trPr>
        <w:tc>
          <w:tcPr>
            <w:tcW w:w="80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1,015,892</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991,759</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investment income summary</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income is summarized as follows: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62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11,965</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94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expense</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12,071</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7,139</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realized and unrealized investment gains and losses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net realized and unrealized investment gains and losses: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62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11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Gains on sales of fixed maturity securities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sales of equity securities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realized gains</w:t>
            </w:r>
          </w:p>
        </w:tc>
        <w:tc>
          <w:tcPr>
            <w:tcW w:w="94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Losses on sales of fixed maturity securities</w:t>
            </w:r>
          </w:p>
        </w:tc>
        <w:tc>
          <w:tcPr>
            <w:tcW w:w="9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sales of equity securities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realized losses</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investment losses</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94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(losses) gains on equity securities</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losses on equity method investment</w:t>
            </w:r>
          </w:p>
        </w:tc>
        <w:tc>
          <w:tcPr>
            <w:tcW w:w="9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on other investments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Realized gains and losses on disposition of investments are based on specific identification of the investments sold on the settlement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fixed maturity securities were $2.0 million and $2.2 million for the three months ended March 31, 2025 and 2024,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Proceeds from the sale of equity securities were $1.8 and insignificant for the three months ended March 31, 2025 and 2024, respectively.</w:t>
      </w:r>
    </w:p>
    <w:p>
      <w:pPr>
        <w:spacing w:after="0" w:line="225" w:lineRule="exact"/>
        <w:rPr>
          <w:sz w:val="20"/>
          <w:szCs w:val="20"/>
          <w:color w:val="auto"/>
        </w:rPr>
      </w:pPr>
    </w:p>
    <w:p>
      <w:pPr>
        <w:ind w:right="20" w:firstLine="648"/>
        <w:spacing w:after="0" w:line="222" w:lineRule="exact"/>
        <w:rPr>
          <w:sz w:val="20"/>
          <w:szCs w:val="20"/>
          <w:color w:val="auto"/>
        </w:rPr>
      </w:pPr>
      <w:r>
        <w:rPr>
          <w:rFonts w:ascii="Times New Roman" w:cs="Times New Roman" w:eastAsia="Times New Roman" w:hAnsi="Times New Roman"/>
          <w:sz w:val="18"/>
          <w:szCs w:val="18"/>
          <w:color w:val="auto"/>
        </w:rPr>
        <w:t>The Company places securities on statutory deposit with certain state agencies to retain the right to do business in those states. These securities are included in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on the balance sheet. As of March 31, 2025 and December 31, 2024, the carrying value of securities on deposit with state regulatory authorities was $12.0 million and $9.9 million, respectively.</w:t>
      </w:r>
    </w:p>
    <w:p>
      <w:pPr>
        <w:spacing w:after="0" w:line="19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investments in limited partnerships, recorded in the Other Investments line of the Unaudited Condensed Consolidated Balance Sheets. These investments represent capital commitments to private equity funds structured as limited partnerships, which primarily hold illiquid securities. The funds have a ten-year term with no redemption rights. Capital is contributed as called by the general partners, and distributions are received as proceeds are generated from the underlying investments. These investments are measured at estimated fair value utilizing a net asset value per share (or its equivalent) as a practical expedient. As of March 31, 2025, the Company had unfunded commitments to invest an additional $75.5 million in these limited partnerships.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the Company would receive upon selling an investment in an orderly transaction to an independent buyer in the principal or most advantageous market of the investment.</w:t>
      </w:r>
    </w:p>
    <w:p>
      <w:pPr>
        <w:spacing w:after="0" w:line="12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tier hierarchy of inputs is summarized in the three broad levels listed below:</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investments as of the reporting date.</w:t>
      </w:r>
    </w:p>
    <w:p>
      <w:pPr>
        <w:spacing w:after="0" w:line="225"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spacing w:after="0" w:line="162"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Level 3—Pricing inputs into models are unobservable for the investment. The unobservable inputs require significant management judgment or estimation.</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spacing w:after="0" w:line="17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hierarchy for financial assets and liabilities measured at fair value on a recurring basis as of March 31,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16,166</w:t>
            </w:r>
          </w:p>
        </w:tc>
        <w:tc>
          <w:tcPr>
            <w:tcW w:w="9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16,166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18,388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18,388</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17,060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17,060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508,628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508,628</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431,517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431,517</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44,367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44,367</w:t>
            </w:r>
          </w:p>
        </w:tc>
      </w:tr>
      <w:tr>
        <w:trPr>
          <w:trHeight w:val="216"/>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119,327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119,327</w:t>
            </w: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163,694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991,759</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1,155,453</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32,806</w:t>
            </w:r>
          </w:p>
        </w:tc>
        <w:tc>
          <w:tcPr>
            <w:tcW w:w="9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32,806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9,778</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26,634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26,634</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475,491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475,491</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394,337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394,337</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40,529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40,529</w:t>
            </w:r>
          </w:p>
        </w:tc>
      </w:tr>
      <w:tr>
        <w:trPr>
          <w:trHeight w:val="216"/>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80,539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80,539</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121,068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939,046</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1,060,114</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The carrying amount of any borrowings under the Federal Home Loan Bank (“FHLB”) line of credit and U.S. Bank credit agreement (the “Credit Agreement”) approximate fair value as the credit agreements have variable rates which frequently reprice at market rates.</w:t>
      </w:r>
    </w:p>
    <w:p>
      <w:pPr>
        <w:spacing w:after="0" w:line="200" w:lineRule="exact"/>
        <w:rPr>
          <w:sz w:val="20"/>
          <w:szCs w:val="20"/>
          <w:color w:val="auto"/>
        </w:rPr>
      </w:pPr>
    </w:p>
    <w:p>
      <w:pPr>
        <w:jc w:val="both"/>
        <w:ind w:right="560" w:firstLine="648"/>
        <w:spacing w:after="0" w:line="312" w:lineRule="auto"/>
        <w:rPr>
          <w:sz w:val="20"/>
          <w:szCs w:val="20"/>
          <w:color w:val="auto"/>
        </w:rPr>
      </w:pPr>
      <w:r>
        <w:rPr>
          <w:rFonts w:ascii="Times New Roman" w:cs="Times New Roman" w:eastAsia="Times New Roman" w:hAnsi="Times New Roman"/>
          <w:sz w:val="17"/>
          <w:szCs w:val="17"/>
          <w:color w:val="auto"/>
        </w:rPr>
        <w:t>Transfers between Level 3 and Level 2 securities result from changes in the availability of observable market inputs and are recorded at the beginning of the reporting period. As of March 31, 2025 and December 31, 2024, the Company had no fixed income securities classified as Level 3.</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4. Reserve for Losses and Loss Adjustment Expenses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represents a reconciliation of changes in the ending reserve balances for losses and loss adjustment expenses (“LAE”):</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losses and LAE net of reinsurance recoverables at beginning of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155,299</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97,653</w:t>
            </w:r>
          </w:p>
        </w:tc>
      </w:tr>
      <w:tr>
        <w:trPr>
          <w:trHeight w:val="216"/>
        </w:trPr>
        <w:tc>
          <w:tcPr>
            <w:tcW w:w="80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Add: Balance acquired from FIA</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Incurred losses and LAE, net of reinsurance, related to:</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26,333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incurred</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38,743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26,837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Deduct: Loss and LAE payments, net of reinsurance, related to:</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9,432</w:t>
            </w: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payments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losses and LAE net of reinsurance recoverables at end of period</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182,662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110,163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 Reinsurance recoverables on unpaid losses and LAE at end of period</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361,227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292,024</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losses and LAE gross of reinsurance recoverables on unpaid losses and LAE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543,889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402,187</w:t>
            </w:r>
          </w:p>
        </w:tc>
      </w:tr>
    </w:tbl>
    <w:p>
      <w:pPr>
        <w:spacing w:after="0" w:line="198" w:lineRule="exact"/>
        <w:rPr>
          <w:sz w:val="20"/>
          <w:szCs w:val="20"/>
          <w:color w:val="auto"/>
        </w:rPr>
      </w:pPr>
    </w:p>
    <w:p>
      <w:pPr>
        <w:ind w:left="20" w:right="300" w:firstLine="8"/>
        <w:spacing w:after="0" w:line="282"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amounts recognized in Reserve for losses and LAE net of reinsurance recoverables upon acquisition of FIA on 1/1/2025, in accordance with ASC 805, Business Combinations. See Note 12 for additional information regarding the acquisition.</w:t>
      </w:r>
    </w:p>
    <w:p>
      <w:pPr>
        <w:spacing w:after="0" w:line="378" w:lineRule="exact"/>
        <w:rPr>
          <w:sz w:val="20"/>
          <w:szCs w:val="20"/>
          <w:color w:val="auto"/>
        </w:rPr>
      </w:pPr>
    </w:p>
    <w:p>
      <w:pPr>
        <w:ind w:left="20" w:right="80" w:firstLine="648"/>
        <w:spacing w:after="0" w:line="266" w:lineRule="auto"/>
        <w:rPr>
          <w:sz w:val="20"/>
          <w:szCs w:val="20"/>
          <w:color w:val="auto"/>
        </w:rPr>
      </w:pPr>
      <w:r>
        <w:rPr>
          <w:rFonts w:ascii="Times New Roman" w:cs="Times New Roman" w:eastAsia="Times New Roman" w:hAnsi="Times New Roman"/>
          <w:sz w:val="18"/>
          <w:szCs w:val="18"/>
          <w:color w:val="auto"/>
        </w:rPr>
        <w:t>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w:t>
      </w:r>
    </w:p>
    <w:p>
      <w:pPr>
        <w:spacing w:after="0" w:line="176" w:lineRule="exact"/>
        <w:rPr>
          <w:sz w:val="20"/>
          <w:szCs w:val="20"/>
          <w:color w:val="auto"/>
        </w:rPr>
      </w:pPr>
    </w:p>
    <w:p>
      <w:pPr>
        <w:ind w:left="20"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 experienced favorable prior year development of $4.3 million and adverse prior year development $0.5 million during the three months ended March 31, 2025 and 2024, respectively.</w:t>
      </w:r>
    </w:p>
    <w:p>
      <w:pPr>
        <w:spacing w:after="0" w:line="162" w:lineRule="exact"/>
        <w:rPr>
          <w:sz w:val="20"/>
          <w:szCs w:val="20"/>
          <w:color w:val="auto"/>
        </w:rPr>
      </w:pPr>
    </w:p>
    <w:p>
      <w:pPr>
        <w:ind w:left="20" w:right="200" w:firstLine="648"/>
        <w:spacing w:after="0" w:line="266" w:lineRule="auto"/>
        <w:rPr>
          <w:sz w:val="20"/>
          <w:szCs w:val="20"/>
          <w:color w:val="auto"/>
        </w:rPr>
      </w:pPr>
      <w:r>
        <w:rPr>
          <w:rFonts w:ascii="Times New Roman" w:cs="Times New Roman" w:eastAsia="Times New Roman" w:hAnsi="Times New Roman"/>
          <w:sz w:val="18"/>
          <w:szCs w:val="18"/>
          <w:color w:val="auto"/>
        </w:rPr>
        <w:t>Favorable prior year development during the three months ended March 31, 2025 was primarily due to lower than anticipated severity of attritional losses. Adverse prior year development during the three months ended March 31, 2024 was primarily due to higher than anticipated severity of attritional losses on certain discontinued lines of business.</w:t>
      </w: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 Company had 5,000,000 preferred shares authorized with a par value of $0.0001 and no preferred shares issued and outstanding. As of March 31, 2025 and December 31, 2024, the Company had 500,000,000 common shares authorized and 26,735,132 and 26,529,402 common shares issued and outstanding, respectively, with a par value of $0.0001. Additional paid in capital was $502.0 million as of March 31, 2025 and $493.7 million as of December 31, 2024.</w:t>
      </w:r>
    </w:p>
    <w:p>
      <w:pPr>
        <w:sectPr>
          <w:pgSz w:w="11900" w:h="16838" w:orient="portrait"/>
          <w:cols w:equalWidth="0" w:num="1">
            <w:col w:w="11260"/>
          </w:cols>
          <w:pgMar w:left="300" w:top="121" w:right="339" w:bottom="1440" w:gutter="0" w:footer="0" w:header="0"/>
        </w:sectPr>
      </w:pP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Common stock reserved for future issuance consists of the following as of March 31, 2025:</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options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stock units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Performance stock units outstanding under 2019 Equity Incentive Plan, at target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authorized for future issuance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Shares authorized for future issuance under 2019 Employee Stock Purchase Plan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529,610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322,630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502,155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4,242,905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1,587,360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7,184,660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14605</wp:posOffset>
            </wp:positionV>
            <wp:extent cx="986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31750</wp:posOffset>
            </wp:positionV>
            <wp:extent cx="9861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ectPr>
          <w:pgSz w:w="11900" w:h="16838" w:orient="portrait"/>
          <w:cols w:equalWidth="0" w:num="2">
            <w:col w:w="9720" w:space="720"/>
            <w:col w:w="820"/>
          </w:cols>
          <w:pgMar w:left="30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summarizes the Company’s stock-based compensation expense for each period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10"/>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4,745</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3,820</w:t>
            </w: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Recipients of stock options can purchase shares of the Company’s common stock at a price equal to the stock's fair market value on the grant date, determined by the closing price of the Company's common stock on the grant date. Stock options vest over a period between two and four years with between 25% and 50% vesting on the first anniversary of the grant date and the remainder vesting monthly over the remaining period, subject to continued service to the Company. Stock options expire ten years after the grant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three months ended March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cancelled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Vested and Exercisable at March 31, 2025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 (in</w:t>
            </w: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38"/>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1"/>
        </w:trPr>
        <w:tc>
          <w:tcPr>
            <w:tcW w:w="12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588,385</w:t>
            </w:r>
          </w:p>
        </w:tc>
        <w:tc>
          <w:tcPr>
            <w:tcW w:w="120" w:type="dxa"/>
            <w:vAlign w:val="bottom"/>
          </w:tcPr>
          <w:p>
            <w:pPr>
              <w:spacing w:after="0"/>
              <w:rPr>
                <w:sz w:val="16"/>
                <w:szCs w:val="16"/>
                <w:color w:val="auto"/>
              </w:rPr>
            </w:pPr>
          </w:p>
        </w:tc>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33.76</w:t>
            </w:r>
          </w:p>
        </w:tc>
        <w:tc>
          <w:tcPr>
            <w:tcW w:w="100" w:type="dxa"/>
            <w:vAlign w:val="bottom"/>
          </w:tcPr>
          <w:p>
            <w:pPr>
              <w:spacing w:after="0"/>
              <w:rPr>
                <w:sz w:val="16"/>
                <w:szCs w:val="16"/>
                <w:color w:val="auto"/>
              </w:rPr>
            </w:pPr>
          </w:p>
        </w:tc>
        <w:tc>
          <w:tcPr>
            <w:tcW w:w="1220" w:type="dxa"/>
            <w:vAlign w:val="bottom"/>
          </w:tcPr>
          <w:p>
            <w:pPr>
              <w:ind w:left="880"/>
              <w:spacing w:after="0" w:line="191"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6"/>
                <w:szCs w:val="16"/>
                <w:color w:val="auto"/>
              </w:rPr>
            </w:pPr>
          </w:p>
        </w:tc>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42,273</w:t>
            </w:r>
          </w:p>
        </w:tc>
        <w:tc>
          <w:tcPr>
            <w:tcW w:w="0" w:type="dxa"/>
            <w:vAlign w:val="bottom"/>
          </w:tcPr>
          <w:p>
            <w:pPr>
              <w:spacing w:after="0"/>
              <w:rPr>
                <w:sz w:val="1"/>
                <w:szCs w:val="1"/>
                <w:color w:val="auto"/>
              </w:rPr>
            </w:pPr>
          </w:p>
        </w:tc>
      </w:tr>
      <w:tr>
        <w:trPr>
          <w:trHeight w:val="216"/>
        </w:trPr>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529,610</w:t>
            </w: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32.96</w:t>
            </w:r>
          </w:p>
        </w:tc>
        <w:tc>
          <w:tcPr>
            <w:tcW w:w="100" w:type="dxa"/>
            <w:vAlign w:val="bottom"/>
          </w:tcPr>
          <w:p>
            <w:pPr>
              <w:spacing w:after="0"/>
              <w:rPr>
                <w:sz w:val="18"/>
                <w:szCs w:val="18"/>
                <w:color w:val="auto"/>
              </w:rPr>
            </w:pPr>
          </w:p>
        </w:tc>
        <w:tc>
          <w:tcPr>
            <w:tcW w:w="12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26,659</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528,554</w:t>
            </w:r>
          </w:p>
        </w:tc>
        <w:tc>
          <w:tcPr>
            <w:tcW w:w="1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vMerge w:val="continue"/>
          </w:tcPr>
          <w:p>
            <w:pPr>
              <w:spacing w:after="0"/>
              <w:rPr>
                <w:sz w:val="18"/>
                <w:szCs w:val="18"/>
                <w:color w:val="auto"/>
              </w:rPr>
            </w:pPr>
          </w:p>
        </w:tc>
        <w:tc>
          <w:tcPr>
            <w:tcW w:w="12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vMerge w:val="continue"/>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-868045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-593725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-311150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immaterial unrecognized stock-based compensation expense related to stock options expected to be recognized over a weighted-average period of 0.5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RSUs are valued using the closing price of the Company’s common stock on their grant date. The Company has issued RSUs with vesting periods of one to five years. All vesting is subject to continued service.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transactions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outstanding at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15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80" w:type="dxa"/>
            <w:vAlign w:val="bottom"/>
          </w:tcPr>
          <w:p>
            <w:pPr>
              <w:spacing w:after="0"/>
              <w:rPr>
                <w:sz w:val="20"/>
                <w:szCs w:val="20"/>
                <w:color w:val="auto"/>
              </w:rPr>
            </w:pPr>
          </w:p>
        </w:tc>
      </w:tr>
      <w:tr>
        <w:trPr>
          <w:trHeight w:val="191"/>
        </w:trPr>
        <w:tc>
          <w:tcPr>
            <w:tcW w:w="15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320,411</w:t>
            </w: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65.03</w:t>
            </w:r>
          </w:p>
        </w:tc>
      </w:tr>
      <w:tr>
        <w:trPr>
          <w:trHeight w:val="216"/>
        </w:trPr>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104,384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109.74</w:t>
            </w:r>
          </w:p>
        </w:tc>
      </w:tr>
      <w:tr>
        <w:trPr>
          <w:trHeight w:val="216"/>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57.12</w:t>
            </w:r>
          </w:p>
        </w:tc>
      </w:tr>
      <w:tr>
        <w:trPr>
          <w:trHeight w:val="234"/>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76.52</w:t>
            </w:r>
          </w:p>
        </w:tc>
      </w:tr>
      <w:tr>
        <w:trPr>
          <w:trHeight w:val="209"/>
        </w:trPr>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322,630</w:t>
            </w: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81.85</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500" w:space="500"/>
            <w:col w:w="3240"/>
          </w:cols>
          <w:pgMar w:left="320" w:top="121" w:right="339" w:bottom="1440" w:gutter="0" w:footer="0" w:header="0"/>
          <w:type w:val="continuous"/>
        </w:sect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approximately $23.3 million of total unrecognized stock-based compensation expense related to RSUs expected to be recognized over a weighted-average period of 2.0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issues PSUs with a combination of service, performance, and market conditions.</w:t>
      </w:r>
    </w:p>
    <w:p>
      <w:pPr>
        <w:spacing w:after="0" w:line="22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majority of PSUs were issued via grants made to certain executives during 2021.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March 31, 2025, two stock price milestones have been achieved solely with respect to the PSU award granted to the Chief Executive Officer. These PSUs have been earned, but will not vest until the fifth anniversary of the grant date, subject to continued service.</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The PSU’s performance period is primarily a three-year period beginning with the grant date. At the end of the performance period, the actual results are measured against the predetermined targets to determine the number of PSUs to be earned as compensation. The earned PSUs are also subject to a required service period of approximately three years from the grant date before vesting and being issued as common stock.</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Effective starting with 2025 grants, PSUs issued to executives include a relative total shareholder return (“RTSR”) modifier. The RTSR modifier adjusts PSU payouts up or down based on the Company's shareholder return relative to the S&amp;P 1500 Property &amp; Casualty Insurance Index (the “Index”) over a three-year measurement period.</w:t>
      </w:r>
    </w:p>
    <w:p>
      <w:pPr>
        <w:sectPr>
          <w:pgSz w:w="11900" w:h="16838" w:orient="portrait"/>
          <w:cols w:equalWidth="0" w:num="1">
            <w:col w:w="11240"/>
          </w:cols>
          <w:pgMar w:left="320" w:top="121" w:right="339" w:bottom="1440" w:gutter="0" w:footer="0" w:header="0"/>
          <w:type w:val="continuous"/>
        </w:sectPr>
      </w:pP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PSU transactions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outstanding at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15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20" w:type="dxa"/>
            <w:vAlign w:val="bottom"/>
          </w:tcPr>
          <w:p>
            <w:pPr>
              <w:spacing w:after="0"/>
              <w:rPr>
                <w:sz w:val="20"/>
                <w:szCs w:val="20"/>
                <w:color w:val="auto"/>
              </w:rPr>
            </w:pPr>
          </w:p>
        </w:tc>
      </w:tr>
      <w:tr>
        <w:trPr>
          <w:trHeight w:val="191"/>
        </w:trPr>
        <w:tc>
          <w:tcPr>
            <w:tcW w:w="15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460,450</w:t>
            </w: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40.43</w:t>
            </w:r>
          </w:p>
        </w:tc>
      </w:tr>
      <w:tr>
        <w:trPr>
          <w:trHeight w:val="216"/>
        </w:trPr>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85,157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98.60</w:t>
            </w:r>
          </w:p>
        </w:tc>
      </w:tr>
      <w:tr>
        <w:trPr>
          <w:trHeight w:val="216"/>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50.35</w:t>
            </w:r>
          </w:p>
        </w:tc>
      </w:tr>
      <w:tr>
        <w:trPr>
          <w:trHeight w:val="234"/>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63.82</w:t>
            </w:r>
          </w:p>
        </w:tc>
      </w:tr>
      <w:tr>
        <w:trPr>
          <w:trHeight w:val="210"/>
        </w:trPr>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502,155</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49.38</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480" w:space="520"/>
            <w:col w:w="3240"/>
          </w:cols>
          <w:pgMar w:left="320" w:top="121" w:right="339" w:bottom="1440" w:gutter="0" w:footer="0" w:header="0"/>
          <w:type w:val="continuous"/>
        </w:sect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PSU grants above represent the number of shares that would vest based on achievement of all stock price milestones in the 2021 executive stock grants and the 100% achievement of the predetermined performance conditions for the other PSU grants. The actual number of PSUs which will vest is subject to adjustment based on the Company’s actual stock price performance and financial performance relative to the predetermined targets. As of March 31, 2025, the Company had approximately $14.8 million of total unrecognized stock-based compensation expense related to PSUs expected to be recognized over a weighted-average period of 1.6 years.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Employee Stock Purchase Plan</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April 16, 2019, the Company's 2019 Employee Stock Purchase Plan (the “2019 ESPP”) became effective. A total of 240,000 shares of common stock are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6,310 shares pursuant to the ESPP during the three months ended March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Company's share repurchase program ended on March 31, 2024. There were no share repurchases made during the three months ended March 31,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(“AOCI”)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5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(26,845)</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(23,991)</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2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income tax (benefit) expense</w:t>
            </w:r>
          </w:p>
        </w:tc>
        <w:tc>
          <w:tcPr>
            <w:tcW w:w="2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 net of tax</w:t>
            </w:r>
          </w:p>
        </w:tc>
        <w:tc>
          <w:tcPr>
            <w:tcW w:w="2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income tax benefit</w:t>
            </w:r>
          </w:p>
        </w:tc>
        <w:tc>
          <w:tcPr>
            <w:tcW w:w="2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AOCI, net of tax</w:t>
            </w:r>
          </w:p>
        </w:tc>
        <w:tc>
          <w:tcPr>
            <w:tcW w:w="26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5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(16,642)</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66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Underwriting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has a single reportable segment and offers specialty insurance products. Gross written premiums (“GWP”) by product are presented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Earthquake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Casualty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Inland Marine and Other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Fronting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written premiums by state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Texas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Hawaii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Florida</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New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Colorado</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p>
      <w:pPr>
        <w:spacing w:after="0" w:line="225"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color w:val="auto"/>
        </w:rPr>
        <w:t>Gross written premiums by insurance subsidiary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PESIC</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Laulima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FIA</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Gross Written Premiums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top w:val="single" w:sz="8" w:color="auto"/>
              <w:bottom w:val="single" w:sz="8" w:color="auto"/>
            </w:tcBorders>
          </w:tcPr>
          <w:p>
            <w:pPr>
              <w:spacing w:after="0"/>
              <w:rPr>
                <w:sz w:val="18"/>
                <w:szCs w:val="18"/>
                <w:color w:val="auto"/>
              </w:rPr>
            </w:pPr>
          </w:p>
        </w:tc>
      </w:tr>
      <w:tr>
        <w:trPr>
          <w:trHeight w:val="187"/>
        </w:trPr>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6"/>
          </w:tcPr>
          <w:p>
            <w:pPr>
              <w:jc w:val="center"/>
              <w:ind w:right="6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6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GWP</w:t>
            </w:r>
          </w:p>
        </w:tc>
      </w:tr>
      <w:tr>
        <w:trPr>
          <w:trHeight w:val="40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130,245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105,729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110,487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76,876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94,831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4"/>
        </w:trPr>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48,220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38,707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442,163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368,078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44"/>
        </w:trPr>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060" w:type="dxa"/>
            <w:vAlign w:val="bottom"/>
            <w:tcBorders>
              <w:bottom w:val="single" w:sz="8" w:color="auto"/>
            </w:tcBorders>
          </w:tcPr>
          <w:p>
            <w:pPr>
              <w:spacing w:after="0"/>
              <w:rPr>
                <w:sz w:val="24"/>
                <w:szCs w:val="24"/>
                <w:color w:val="auto"/>
              </w:rPr>
            </w:pPr>
          </w:p>
        </w:tc>
      </w:tr>
      <w:tr>
        <w:trPr>
          <w:trHeight w:val="210"/>
        </w:trPr>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18"/>
                <w:szCs w:val="18"/>
                <w:color w:val="auto"/>
              </w:rPr>
            </w:pPr>
          </w:p>
        </w:tc>
      </w:tr>
      <w:tr>
        <w:trPr>
          <w:trHeight w:val="187"/>
        </w:trPr>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6"/>
          </w:tcPr>
          <w:p>
            <w:pPr>
              <w:jc w:val="center"/>
              <w:ind w:right="6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6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GWP</w:t>
            </w:r>
          </w:p>
        </w:tc>
      </w:tr>
      <w:tr>
        <w:trPr>
          <w:trHeight w:val="40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139,723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157,217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163,621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106,520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9"/>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442,163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368,078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45"/>
        </w:trPr>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060" w:type="dxa"/>
            <w:vAlign w:val="bottom"/>
            <w:tcBorders>
              <w:bottom w:val="single" w:sz="8" w:color="auto"/>
            </w:tcBorders>
          </w:tcPr>
          <w:p>
            <w:pPr>
              <w:spacing w:after="0"/>
              <w:rPr>
                <w:sz w:val="24"/>
                <w:szCs w:val="24"/>
                <w:color w:val="auto"/>
              </w:rPr>
            </w:pPr>
          </w:p>
        </w:tc>
      </w:tr>
      <w:tr>
        <w:trPr>
          <w:trHeight w:val="210"/>
        </w:trPr>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18"/>
                <w:szCs w:val="18"/>
                <w:color w:val="auto"/>
              </w:rPr>
            </w:pPr>
          </w:p>
        </w:tc>
      </w:tr>
      <w:tr>
        <w:trPr>
          <w:trHeight w:val="187"/>
        </w:trPr>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6"/>
          </w:tcPr>
          <w:p>
            <w:pPr>
              <w:jc w:val="center"/>
              <w:ind w:right="6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6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GWP</w:t>
            </w:r>
          </w:p>
        </w:tc>
      </w:tr>
      <w:tr>
        <w:trPr>
          <w:trHeight w:val="40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230,917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222,657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190,786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136,493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442,163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368,078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720" w:space="220"/>
            <w:col w:w="530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calculates its tax provision in interim periods using its best estimate of the effective tax rate expected for the full year. During the three months ended March 31, 2025, the Company’s income tax rate of 20.1% was lower than the statutory rate of 21% due primarily to the tax impact of the permanent component of employee stock option exercises offset by non-deductible executive compensation expense. During the three months ended March 31, 2024, the Company’s income tax rate of 23.2% was higher than the statutory rate of 21% due primarily to non-deductible executive compensation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29" w:lineRule="exact"/>
        <w:rPr>
          <w:sz w:val="20"/>
          <w:szCs w:val="20"/>
          <w:color w:val="auto"/>
        </w:rPr>
      </w:pPr>
    </w:p>
    <w:p>
      <w:pPr>
        <w:jc w:val="right"/>
        <w:ind w:right="1920"/>
        <w:spacing w:after="0"/>
        <w:rPr>
          <w:sz w:val="20"/>
          <w:szCs w:val="20"/>
          <w:color w:val="auto"/>
        </w:rPr>
      </w:pPr>
      <w:r>
        <w:rPr>
          <w:rFonts w:ascii="Times New Roman" w:cs="Times New Roman" w:eastAsia="Times New Roman" w:hAnsi="Times New Roman"/>
          <w:sz w:val="18"/>
          <w:szCs w:val="18"/>
          <w:color w:val="auto"/>
        </w:rPr>
        <w:t>The following table sets out earnings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3100" w:type="dxa"/>
            <w:vAlign w:val="bottom"/>
            <w:gridSpan w:val="4"/>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 except shares and per</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19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 data)</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42,922</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26,382</w:t>
            </w:r>
          </w:p>
        </w:tc>
        <w:tc>
          <w:tcPr>
            <w:tcW w:w="0" w:type="dxa"/>
            <w:vAlign w:val="bottom"/>
          </w:tcPr>
          <w:p>
            <w:pPr>
              <w:spacing w:after="0"/>
              <w:rPr>
                <w:sz w:val="1"/>
                <w:szCs w:val="1"/>
                <w:color w:val="auto"/>
              </w:rPr>
            </w:pPr>
          </w:p>
        </w:tc>
      </w:tr>
      <w:tr>
        <w:trPr>
          <w:trHeight w:val="414"/>
        </w:trPr>
        <w:tc>
          <w:tcPr>
            <w:tcW w:w="14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26,658,106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24,862,367</w:t>
            </w:r>
          </w:p>
        </w:tc>
        <w:tc>
          <w:tcPr>
            <w:tcW w:w="0" w:type="dxa"/>
            <w:vAlign w:val="bottom"/>
          </w:tcPr>
          <w:p>
            <w:pPr>
              <w:spacing w:after="0"/>
              <w:rPr>
                <w:sz w:val="1"/>
                <w:szCs w:val="1"/>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741,891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606,197</w:t>
            </w:r>
          </w:p>
        </w:tc>
        <w:tc>
          <w:tcPr>
            <w:tcW w:w="0" w:type="dxa"/>
            <w:vAlign w:val="bottom"/>
          </w:tcPr>
          <w:p>
            <w:pPr>
              <w:spacing w:after="0"/>
              <w:rPr>
                <w:sz w:val="1"/>
                <w:szCs w:val="1"/>
                <w:color w:val="auto"/>
              </w:rPr>
            </w:pPr>
          </w:p>
        </w:tc>
      </w:tr>
      <w:tr>
        <w:trPr>
          <w:trHeight w:val="209"/>
        </w:trPr>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27,399,997</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25,468,564</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10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Common share equivalents relate primarily to outstanding stock options, RSUs and PSUs under the 2019 Plan and unpurchased shares under the 2019 ESPP and are calculated using the treasury stock method.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Reinsurance</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 utilizes reinsurance in order to limit its exposure to losses and enable it to underwrite policies with sufficient limits to meet policyholder needs. The Company utilizes both excess of loss (XOL) and quota share reinsurance.</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the Company’s catastrophe event retention is $20 million for earthquake events and $15.5 million for hurricane events and all other perils. As of March 31, 2025, the Company’s XOL reinsurance structure provides protection up to $3.2 billion for earthquake events, $735 million for Hawaii hurricane events, and $117.5 million for continental U.S. hurricane events.</w:t>
      </w:r>
    </w:p>
    <w:p>
      <w:pPr>
        <w:spacing w:after="0" w:line="17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the Company has historically incorporated collateralized protection from the insurance linked securities market via catastrophe bonds. During the second quarter of 2022, the Company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the Company also closed a $200 million 144A catastrophe bond which became effective June 1, 2023. This catastrophe bond was also completed through Torrey Pines Re Ltd and provides indemnity-based reinsurance covering earthquake events through June 1, 2026. During the second quarter of 2024, the Company also closed a $420 million 144A catastrophe bond which became effective June 1, 2024. This catastrophe bond was also completed through Torrey Pines Re Ltd and provides indemnity-based reinsurance covering earthquake events through June 1, 2027.</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Credit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Bank Credit Agreement</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December 2021, the Company entered into a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the Company’s discretion. Outstanding amounts under the Credit Agreement may be prepaid in full or in part at any time with no prepayment premium and may be reduced in full or in part at any time upon prior notice. In addition to interest on funds borrowed, the Company must pay an unused line fee of 0.25% on any amounts not borrowed.</w:t>
      </w:r>
    </w:p>
    <w:p>
      <w:pPr>
        <w:sectPr>
          <w:pgSz w:w="11900" w:h="16838" w:orient="portrait"/>
          <w:cols w:equalWidth="0" w:num="1">
            <w:col w:w="11240"/>
          </w:cols>
          <w:pgMar w:left="320" w:top="121" w:right="339" w:bottom="1440"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 The financial covenants include requirements to maintain a permissible debt to capital ratio, a minimum consolidated net worth, a minimum risk-based capital ratio and minimum A.M. Best financial strength rating. The Credit Agreement also contains customary events of default, such as non-compliance with financial covenants. If an event of default occurs, any debt may be declared immediately due and payable. As of March 31, 2025, the Company was in compliance with all debt covenants.</w:t>
      </w:r>
    </w:p>
    <w:p>
      <w:pPr>
        <w:spacing w:after="0" w:line="18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no borrowings outstanding on the Credit Agreement. Interest expense on the Credit Agreement was $0.1 million for both the three months ended March 31, 2025 and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Line of Credit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a predetermined term and the interest rate varies based on the term of the advance.</w:t>
      </w:r>
    </w:p>
    <w:p>
      <w:pPr>
        <w:spacing w:after="0" w:line="18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no borrowings outstanding through the FHLB. Interest expense on the FHLB line of credit was immaterial and $0.7 million for the three months ended March 31, 2025 and March 31, 2024, respectively.</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1" w:name="page22"/>
    <w:bookmarkEnd w:id="21"/>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Acquisitions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January 1, 2025, the Company completed the acquisition of FIA. The acquisition was accounted for as a business combination in accordance with Accounting Standards Codification (ASC) 805, Business Combinations. As the acquisition did not meet the significance thresholds under Rule 3-05 of Regulation S-X, separate financial statements of FIA are not required to be filed.</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recognized the acquired assets and assumed liabilities of FIA at their estimated fair values as of the acquisition date. Accordingly, the Company’s financial statements as of March 31, 2025 reflect adjustments to record opening balances for the assets acquired and liabilities assumed. These adjustments primarily result from purchase accounting fair value measurements and cause some balances as of January 1, 2025 to differ from the amounts reported as of December 31,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Forward looking statements within the meaning of Section 27A of the Securities Act of 1933 and Section 21E of the Securities Exchange Act of 1934 appear throughout this report. These forward looking statements generally include words such as “expect,” “predict,” “estimate,” “will,” “should,” “anticipate,” “believe” and similar expressions. Such assumptions are, in turn, based on information available and internal estimates and analyses of general economic conditions, competitive factors, conditions specific to the property and casualty insurance and reinsurance industries, claims development and the impact thereof on our loss reserves, the adequacy and financial security of our reinsurance programs, developments in the securities market and the impact on our investment portfolio, regulatory changes and conditions and other factors. These assumptions are subject to various risks, uncertainties and other factors, including, without limitation those set forth in “Item 1A. Risk Factors” within the Annual Report on Form 10-K for</w:t>
      </w:r>
    </w:p>
    <w:p>
      <w:pPr>
        <w:spacing w:after="0" w:line="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the year ended December 31, 2024 and Part II within this report. Actual results could differ materially from those expressed in, or implied by, these forward looking statements. Forward looking statements reflect the Company’s expectations, plans or forecasts of future events and views as of the date of this report. While the Company may elect to update these forward looking statements at some point in the future, the Company specifically disclaims any obligation to do so. You should review the various risks, uncertainties and other factors listed from time to time in our Securities and Exchange Commission filings.</w:t>
      </w:r>
    </w:p>
    <w:p>
      <w:pPr>
        <w:spacing w:after="0" w:line="185"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The results of operations for the three months ended March 31, 2025 are not necessarily indicative of the results that may be expected for the full year ended December 31, 2025,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February 25, 2025.</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References to the "Company," "Palomar," "we," "us," and "our" are to Palomar Holdings, Inc. and its subsidiaries, unless the context otherwise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648"/>
        <w:spacing w:after="0" w:line="274" w:lineRule="auto"/>
        <w:rPr>
          <w:sz w:val="20"/>
          <w:szCs w:val="20"/>
          <w:color w:val="auto"/>
        </w:rPr>
      </w:pPr>
      <w:r>
        <w:rPr>
          <w:rFonts w:ascii="Times New Roman" w:cs="Times New Roman" w:eastAsia="Times New Roman" w:hAnsi="Times New Roman"/>
          <w:sz w:val="17"/>
          <w:szCs w:val="17"/>
          <w:color w:val="auto"/>
        </w:rPr>
        <w:t>We are a specialty insurance company that provides property and casualty insurance products to individuals and businesses. We use our underwriting and analytical expertise to provide innovative solutions in five product categories: Earthquake, Inland Marine and Other Property, Casualty, Fronting, and Crop. We use proprietary data analytics and a modern technology platform to offer our customers flexible products with customized and granular pricing for both the admitted and excess and surplus lines (“E&amp;S”) markets. Our insurance company subsidiaries, Palomar Specialty Insurance Company (“PSIC”), and Palomar Excess and Surplus Insurance Company (“PESIC”) carry an “A” rating from A.M. Best Company (“A.M. Best”), a leading rating agency for the insurance industry. First Indemnity of America Insurance Co. ("FIA") carries an “A-” (Stable) rating from A.M. Best.</w:t>
      </w:r>
    </w:p>
    <w:p>
      <w:pPr>
        <w:spacing w:after="0" w:line="17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Founded in 2014, we have significantly grown our business and have generated attractive returns. We have organically increased gross written premiums from $16.6 million in our first year of operations to $1.5 billion for the year ended December 31, 2024, which reflects a compound annual growth rate of approximately 57%. We have also been profitable since 2016 and our net income growth since 2016 reflects a compound annual growth rate of 43%.</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seek to continuously grow our income by developing product offerings for lines of business that harness our core competencies and where we believe we can generate attractive risk adjusted returns. In recent years, we have introduced several new products including Crop, Environmental Liability, and E&amp;S Casualty. These new products diversify our book of business and broaden our product portfolio. We believe that our market opportunity, distinctive products, and differentiated business model position us to grow our business profitably.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7" w:lineRule="exact"/>
        <w:rPr>
          <w:sz w:val="20"/>
          <w:szCs w:val="20"/>
          <w:color w:val="auto"/>
        </w:rPr>
      </w:pPr>
    </w:p>
    <w:p>
      <w:pPr>
        <w:jc w:val="both"/>
        <w:ind w:right="740" w:firstLine="648"/>
        <w:spacing w:after="0" w:line="266" w:lineRule="auto"/>
        <w:rPr>
          <w:sz w:val="20"/>
          <w:szCs w:val="20"/>
          <w:color w:val="auto"/>
        </w:rPr>
      </w:pPr>
      <w:r>
        <w:rPr>
          <w:rFonts w:ascii="Times New Roman" w:cs="Times New Roman" w:eastAsia="Times New Roman" w:hAnsi="Times New Roman"/>
          <w:sz w:val="18"/>
          <w:szCs w:val="18"/>
          <w:color w:val="auto"/>
        </w:rPr>
        <w:t>In April 2025, the Company completed the acquisition of Advanced AgProtection (“AAP”), a Texas-domiciled managing general agent specializing in Crop insurance. The AAP team brings extensive industry experience, longstanding client, carrier and reinsurer relationships, and a demonstrated track record of performance in the Crop insurance sector.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is currently in the market with a 144A catastrophe bond which is scheduled to close during the second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w:t>
      </w:r>
    </w:p>
    <w:p>
      <w:pPr>
        <w:sectPr>
          <w:pgSz w:w="11900" w:h="16873" w:orient="portrait"/>
          <w:cols w:equalWidth="0" w:num="1">
            <w:col w:w="11220"/>
          </w:cols>
          <w:pgMar w:left="320" w:top="121" w:right="35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generally influenced by:</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new business submissions in existing products or partnerships;</w:t>
      </w:r>
    </w:p>
    <w:p>
      <w:pPr>
        <w:spacing w:after="0" w:line="225" w:lineRule="exact"/>
        <w:rPr>
          <w:rFonts w:ascii="Times New Roman" w:cs="Times New Roman" w:eastAsia="Times New Roman" w:hAnsi="Times New Roman"/>
          <w:sz w:val="18"/>
          <w:szCs w:val="18"/>
          <w:color w:val="auto"/>
        </w:rPr>
      </w:pPr>
    </w:p>
    <w:p>
      <w:pPr>
        <w:ind w:left="5540" w:right="2899" w:hanging="4884"/>
        <w:spacing w:after="0" w:line="532" w:lineRule="auto"/>
        <w:tabs>
          <w:tab w:leader="none" w:pos="9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of new business submissions in existing products or partnerships into policies;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new partnerships or the offering of new types of insurance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Exits from existing partnerships or reducing or ceasing to offer existing insurance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rates of existing policies;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size and premium rate of bound policies.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 The majority of our Crop written premiums are recognized in the third quarter, as we receive the requisite reporting from insureds at that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in cost of XOL between contract periods, changes of premium in-force during the XOL contract period, or due to acceleration of XOL charges or the need to purchase additional XOL reinsurance due to losses. In addition, the volume of premiums ceded in fronting agreements each period may vary due to the timing of entering new fronting partnerships and terminations of fronting partnerships.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 Crop premiums are earned ratably over the risk period. The requisite reporting of Crop premiums is primarily received in the third quarter, after the start of the risk period, and earned premium is caught up to cover the period between the start of the risk period and receipt of reporting. Generally, this process results in most of the Crop earned premiums being recognized in the third quarter of each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Commission and other income consist of commissions earned on policies written on behalf of third-party insurance companies where we have no exposure to the insured risk and certain fees earned in conjunction with underwriting policies. Commission and other income are earned on the effective date of the underlying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or casualty claims. In addition, many of the policies we write subject us to catastrophe losses. Catastrophe losses are certain losses resulting from events involving multiple claims and policyholders, including earthquakes, hurricanes, floods, convective storms, terrorist acts or other aggregating events. Our losses and loss adjustment expenses are generally affected by:</w:t>
      </w:r>
    </w:p>
    <w:p>
      <w:pPr>
        <w:spacing w:after="0" w:line="183"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catastrophe events in the areas where we underwrite policies relating to these perils;</w:t>
      </w:r>
    </w:p>
    <w:p>
      <w:pPr>
        <w:spacing w:after="0" w:line="184"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catastrophe attritional losses;</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business written by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agreements we have in place at the time of a loss;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 and characteristics of the policies we underwrite;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related to the business we write;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legal defense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housing and construction costs;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amounts awarded by courts and juries.</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taxes and other fees. Acquisition expenses related to each policy we write are deferred and expensed pro rata over the term of the policy. We earn fronting fees consistent with how we earn premiums on the underlying insurance policies, on a pro-rata basis over the terms of the policies.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incurred on borrowings from our U.S. Bank credit agreement and FHLB line of credit and the unused line fee and amortization of the commitment fee on our U.S. Bank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 on Investments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and equity method investments. Unrealized gains and losses on fixed maturity securities are recognized as a component of other comprehensive income and do not impact our net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Currently our income tax expense consists mainly of federal income taxes imposed on our operations. Our effective tax rates are dependent upon the components of pretax earnings and the related tax effects.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discuss certain key financial and operating metrics, described below, which provide useful information about our business and the operational factors underlying our financial performance.</w:t>
      </w:r>
    </w:p>
    <w:p>
      <w:pPr>
        <w:spacing w:after="0" w:line="121" w:lineRule="exact"/>
        <w:rPr>
          <w:sz w:val="20"/>
          <w:szCs w:val="20"/>
          <w:color w:val="auto"/>
        </w:rPr>
      </w:pPr>
    </w:p>
    <w:p>
      <w:pPr>
        <w:jc w:val="both"/>
        <w:ind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Underwriting revenue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total revenue, excluding net investment income and net realized and unrealized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and losses on investments.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total revenue calculated in accordance with GAAP to underwriting revenue.</w:t>
      </w:r>
    </w:p>
    <w:p>
      <w:pPr>
        <w:spacing w:after="0" w:line="158" w:lineRule="exact"/>
        <w:rPr>
          <w:sz w:val="20"/>
          <w:szCs w:val="20"/>
          <w:color w:val="auto"/>
        </w:rPr>
      </w:pPr>
    </w:p>
    <w:p>
      <w:pPr>
        <w:ind w:right="6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Underwriting income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income before income taxes excluding net investment income, net realized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on investments, and interest expense.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income before income taxes calculated in accordance with GAAP to underwriting income.</w:t>
      </w:r>
    </w:p>
    <w:p>
      <w:pPr>
        <w:spacing w:after="0" w:line="158" w:lineRule="exact"/>
        <w:rPr>
          <w:sz w:val="20"/>
          <w:szCs w:val="20"/>
          <w:color w:val="auto"/>
        </w:rPr>
      </w:pPr>
    </w:p>
    <w:p>
      <w:pPr>
        <w:ind w:right="200" w:firstLine="648"/>
        <w:spacing w:after="0" w:line="238" w:lineRule="exact"/>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net income excluding the impact of certain items that may not be indicative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net income calculated in accordance with GAAP to adjusted net income.</w:t>
      </w:r>
    </w:p>
    <w:p>
      <w:pPr>
        <w:spacing w:after="0" w:line="170"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Annualized return on equity </w:t>
      </w:r>
      <w:r>
        <w:rPr>
          <w:rFonts w:ascii="Times New Roman" w:cs="Times New Roman" w:eastAsia="Times New Roman" w:hAnsi="Times New Roman"/>
          <w:sz w:val="18"/>
          <w:szCs w:val="18"/>
          <w:color w:val="auto"/>
        </w:rPr>
        <w:t>is net income expressed on an annualized basis as a percentage of average beginning and ending stockholders’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w:t>
      </w:r>
    </w:p>
    <w:p>
      <w:pPr>
        <w:spacing w:after="0" w:line="119" w:lineRule="exact"/>
        <w:rPr>
          <w:sz w:val="20"/>
          <w:szCs w:val="20"/>
          <w:color w:val="auto"/>
        </w:rPr>
      </w:pPr>
    </w:p>
    <w:p>
      <w:pPr>
        <w:jc w:val="both"/>
        <w:ind w:right="56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Annualized adjusted return on equity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net income expressed on an annualized basis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percentage of average beginning and ending stockholders’ equity during the period.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return on equity calculated using unadjusted GAAP numbers to adjusted return on equity.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to net earned premiums.</w:t>
      </w:r>
    </w:p>
    <w:p>
      <w:pPr>
        <w:spacing w:after="0" w:line="22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 ratio, </w:t>
      </w:r>
      <w:r>
        <w:rPr>
          <w:rFonts w:ascii="Times New Roman" w:cs="Times New Roman" w:eastAsia="Times New Roman" w:hAnsi="Times New Roman"/>
          <w:sz w:val="18"/>
          <w:szCs w:val="18"/>
          <w:color w:val="auto"/>
        </w:rPr>
        <w:t>expressed as a percentage, is the ratio of acquisition and other underwriting expenses, net of commission and other income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premiums.</w:t>
      </w:r>
    </w:p>
    <w:p>
      <w:pPr>
        <w:spacing w:after="0" w:line="158"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is defined as the sum of the loss ratio and the expense ratio. A combined ratio under 100% generally indicates an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A combined ratio over 100% generally indicates an underwriting loss.</w:t>
      </w:r>
    </w:p>
    <w:p>
      <w:pPr>
        <w:spacing w:after="0" w:line="119" w:lineRule="exact"/>
        <w:rPr>
          <w:sz w:val="20"/>
          <w:szCs w:val="20"/>
          <w:color w:val="auto"/>
        </w:rPr>
      </w:pPr>
    </w:p>
    <w:p>
      <w:pPr>
        <w:ind w:right="28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Adjusted combined ratio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the sum of the loss ratio and the expense ratio calculated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certain items that may not be indicative of underlying business trends, operating results, or future outlook.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combined ratio calculated using unadjusted GAAP numbers to adjusted combined ratio.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ind w:right="100" w:firstLine="648"/>
        <w:spacing w:after="0" w:line="231" w:lineRule="exact"/>
        <w:rPr>
          <w:sz w:val="20"/>
          <w:szCs w:val="20"/>
          <w:color w:val="auto"/>
        </w:rPr>
      </w:pPr>
      <w:r>
        <w:rPr>
          <w:rFonts w:ascii="Times New Roman" w:cs="Times New Roman" w:eastAsia="Times New Roman" w:hAnsi="Times New Roman"/>
          <w:sz w:val="18"/>
          <w:szCs w:val="18"/>
          <w:i w:val="1"/>
          <w:iCs w:val="1"/>
          <w:color w:val="auto"/>
        </w:rPr>
        <w:t xml:space="preserve">Diluted adjusted earnings per share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net income divided by the weighted-average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outstanding for the period, reflecting the dilution which could occur if equity-based awards are converted into common share equivalents as calculated using the treasury stock method.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diluted earnings per share calculated in accordance with GAAP to diluted adjusted earnings per share.</w:t>
      </w:r>
    </w:p>
    <w:p>
      <w:pPr>
        <w:spacing w:after="0" w:line="159" w:lineRule="exact"/>
        <w:rPr>
          <w:sz w:val="20"/>
          <w:szCs w:val="20"/>
          <w:color w:val="auto"/>
        </w:rPr>
      </w:pPr>
    </w:p>
    <w:p>
      <w:pPr>
        <w:ind w:firstLine="648"/>
        <w:spacing w:after="0" w:line="259" w:lineRule="exact"/>
        <w:rPr>
          <w:sz w:val="20"/>
          <w:szCs w:val="20"/>
          <w:color w:val="auto"/>
        </w:rPr>
      </w:pPr>
      <w:r>
        <w:rPr>
          <w:rFonts w:ascii="Times New Roman" w:cs="Times New Roman" w:eastAsia="Times New Roman" w:hAnsi="Times New Roman"/>
          <w:sz w:val="18"/>
          <w:szCs w:val="18"/>
          <w:i w:val="1"/>
          <w:iCs w:val="1"/>
          <w:color w:val="auto"/>
        </w:rPr>
        <w:t xml:space="preserve">Catastrophe loss ratio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the ratio of catastrophe losses to net earned premiums. See “Reconciliation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loss ratio calculated using unadjusted GAAP numbers to catastrophe loss ratio.</w:t>
      </w:r>
    </w:p>
    <w:p>
      <w:pPr>
        <w:spacing w:after="0" w:line="131" w:lineRule="exact"/>
        <w:rPr>
          <w:sz w:val="20"/>
          <w:szCs w:val="20"/>
          <w:color w:val="auto"/>
        </w:rPr>
      </w:pPr>
    </w:p>
    <w:p>
      <w:pPr>
        <w:ind w:right="4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Adjusted combined ratio excluding catastrophe losses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combined ratio excluding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catastrophe losses.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combined ratio calculated using unadjusted GAAP numbers to adjusted combined ratio excluding catastrophe losses.</w:t>
      </w:r>
    </w:p>
    <w:p>
      <w:pPr>
        <w:spacing w:after="0" w:line="196"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underwriting income </w:t>
      </w:r>
      <w:r>
        <w:rPr>
          <w:rFonts w:ascii="Times New Roman" w:cs="Times New Roman" w:eastAsia="Times New Roman" w:hAnsi="Times New Roman"/>
          <w:sz w:val="18"/>
          <w:szCs w:val="18"/>
          <w:color w:val="auto"/>
        </w:rPr>
        <w:t>is a non-GAAP financial measure defined as underwriting income excluding the impact of certain items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indicative of underlying business trends, operating results, or future outlook. See “Reconciliation of Non-GAAP Financial Measures” for a reconciliation of income before income taxes calculated in accordance with GAAP to adjusted underwriting income.</w:t>
      </w:r>
    </w:p>
    <w:p>
      <w:pPr>
        <w:spacing w:after="0" w:line="135" w:lineRule="exact"/>
        <w:rPr>
          <w:sz w:val="20"/>
          <w:szCs w:val="20"/>
          <w:color w:val="auto"/>
        </w:rPr>
      </w:pPr>
    </w:p>
    <w:p>
      <w:pPr>
        <w:ind w:right="340" w:firstLine="648"/>
        <w:spacing w:after="0" w:line="259" w:lineRule="exact"/>
        <w:rPr>
          <w:sz w:val="20"/>
          <w:szCs w:val="20"/>
          <w:color w:val="auto"/>
        </w:rPr>
      </w:pPr>
      <w:r>
        <w:rPr>
          <w:rFonts w:ascii="Times New Roman" w:cs="Times New Roman" w:eastAsia="Times New Roman" w:hAnsi="Times New Roman"/>
          <w:sz w:val="18"/>
          <w:szCs w:val="18"/>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stockholders’ equity less intangible assets. See “Reconciliation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stockholders’ equity calculated in accordance with GAAP to tangible stockholders’ equity.</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to three months ended March 31,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2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442,163</w:t>
            </w: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368,078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74,085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(230,745)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(228,171)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211,418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139,907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71,511</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164,070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107,866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56,204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09"/>
        </w:trPr>
        <w:tc>
          <w:tcPr>
            <w:tcW w:w="578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164,900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108,394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56,506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38,743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26,837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46,359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31,798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35,733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24,804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10,929</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09"/>
        </w:trPr>
        <w:tc>
          <w:tcPr>
            <w:tcW w:w="578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color w:val="auto"/>
              </w:rPr>
              <w:t xml:space="preserve">Underwriting income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44,065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24,955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53,713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34,356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19,357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10,791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42,922</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26,382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Tax impact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9"/>
        </w:trPr>
        <w:tc>
          <w:tcPr>
            <w:tcW w:w="5780" w:type="dxa"/>
            <w:vAlign w:val="bottom"/>
            <w:shd w:val="clear" w:color="auto" w:fill="CCEEFF"/>
          </w:tcPr>
          <w:p>
            <w:pPr>
              <w:ind w:left="180"/>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51,306</w:t>
            </w: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27,794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23,512</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197"/>
        </w:trPr>
        <w:tc>
          <w:tcPr>
            <w:tcW w:w="57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Key Financial and Operating Metrics</w:t>
            </w: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Annualized adjusted return on equity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combined ratio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1.57</w:t>
            </w: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Diluted adjusted earnings per share </w:t>
            </w:r>
            <w:r>
              <w:rPr>
                <w:rFonts w:ascii="Times New Roman" w:cs="Times New Roman" w:eastAsia="Times New Roman" w:hAnsi="Times New Roman"/>
                <w:sz w:val="25"/>
                <w:szCs w:val="25"/>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1.87</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(542)</w:t>
            </w: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Catastrophe loss ratio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combined ratio excluding catastrophe losses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underwriting income </w:t>
            </w:r>
            <w:r>
              <w:rPr>
                <w:rFonts w:ascii="Times New Roman" w:cs="Times New Roman" w:eastAsia="Times New Roman" w:hAnsi="Times New Roman"/>
                <w:sz w:val="25"/>
                <w:szCs w:val="25"/>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51,605</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29,165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22,440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right="520" w:hanging="332"/>
        <w:spacing w:after="0" w:line="245" w:lineRule="exact"/>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financial measures prepared in accordance with GAAP.</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Gross written premiums increased $74.1 million, or 20.1%, to $442.2 million for the three months ended March 31, 2025 compared to</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$368.1 million for the three months ended March 31, 2024. Premium growth was primarily due to an increased volume of policies in the majority of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gridSpan w:val="2"/>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Earthquake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130,245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105,729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24,516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Casualty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110,487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58,552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Inland Marine and Other Property</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99,284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76,876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Fronting</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53,927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Crop</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9"/>
        </w:trPr>
        <w:tc>
          <w:tcPr>
            <w:tcW w:w="3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368,078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60" w:right="160" w:firstLine="648"/>
        <w:spacing w:after="0" w:line="261" w:lineRule="auto"/>
        <w:rPr>
          <w:sz w:val="20"/>
          <w:szCs w:val="20"/>
          <w:color w:val="auto"/>
        </w:rPr>
      </w:pPr>
      <w:r>
        <w:rPr>
          <w:rFonts w:ascii="Times New Roman" w:cs="Times New Roman" w:eastAsia="Times New Roman" w:hAnsi="Times New Roman"/>
          <w:sz w:val="18"/>
          <w:szCs w:val="18"/>
          <w:color w:val="auto"/>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 A large fronting partnership terminated in the third quarter of 2024, causing the decline in fronting premiums shown above.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3"/>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230,917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222,657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8,260</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PESIC</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190,786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54,293</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Laulima</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FIA</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442,163</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368,078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74,085</w:t>
            </w:r>
          </w:p>
        </w:tc>
        <w:tc>
          <w:tcPr>
            <w:tcW w:w="220" w:type="dxa"/>
            <w:vAlign w:val="bottom"/>
            <w:gridSpan w:val="2"/>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Ceded written premiums increased $2.6 million, or 1.1%, to $230.7 million for the three months ended March 31, 2025 from $228.2 million for the three months ended March 31, 2024. The increase was primarily due to an increase in XOL reinsurance expense driven by growth in exposure, offset by a decrease in quota share cessions primarily driven by lower fronting written premiums.</w:t>
      </w:r>
    </w:p>
    <w:p>
      <w:pPr>
        <w:spacing w:after="0" w:line="176"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Although our volume of ceded written premiums increased, ceded written premiums as a percentage of gross written premiums decreased to 52.2% for the three months ended March 31, 2025 from 62.0% for the three months ended March 31, 2024. This percentage decrease was driven by changes in our composition of business whereby premiums written in the current period were subject to lower quota share or XOL cession percentages compared to premiums written in the prior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written premiums increased $71.5 million, or 51.1%, to $211.4 million for the three months ended March 31, 2025 from $139.9 million for the three months ended March 31, 2024. The increase was primarily due to an increase in gross written premiums, primarily in our Casualty and Earthquake lines, partially offset by increased ceded written premiums.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earned premiums increased $56.2 million, or 52.1%, to $164.1 million for the three months ended March 31, 2025 from $107.9 million for the three months ended March 31, 2024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earned premiums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375,776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302,872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72,904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Ceded earned premiums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(211,706)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(195,006)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164,070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107,866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56,204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197"/>
        </w:trPr>
        <w:tc>
          <w:tcPr>
            <w:tcW w:w="59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 ratio</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net earned premium ratio increased due to changes in our composition of business whereby premiums earned in the current period were subject to lower quota share or XOL cession percentages compared to premiums earned in the prior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Commission and other income increased $0.3 million to $0.8 million for the three months ended March 31, 2025 from $0.5 million for the three months ended March 31, 2024. The balance increased due to an increase in commissions and policy related fees driven by increased premiums written.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and loss adjustment expenses increased $11.9 million, or 44.4% to $38.7 million for the three months ended March 31, 2025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$26.8 million for the three months ended March 31, 2024. Losses and loss adjustment expenses consisted of the following elements during the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3,359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Non-catastrophe losses</w:t>
            </w:r>
          </w:p>
        </w:tc>
        <w:tc>
          <w:tcPr>
            <w:tcW w:w="1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39,285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23,478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15,807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losses and loss adjustment expenses</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38,743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26,837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 ratio</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76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Non-catastrophe loss ratio</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760" w:type="dxa"/>
            <w:vAlign w:val="bottom"/>
          </w:tcPr>
          <w:p>
            <w:pPr>
              <w:spacing w:after="0"/>
              <w:rPr>
                <w:sz w:val="18"/>
                <w:szCs w:val="18"/>
                <w:color w:val="auto"/>
              </w:rPr>
            </w:pPr>
          </w:p>
        </w:tc>
      </w:tr>
      <w:tr>
        <w:trPr>
          <w:trHeight w:val="250"/>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 ratio</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Catastrophe loss activity for the quarter ended March 31, 2025 was related to favorable development on prior period catastrophe events.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Catastrophe loss activity for the quarter ended March 31, 2024 was primarily related to flood losses.</w:t>
      </w:r>
    </w:p>
    <w:p>
      <w:pPr>
        <w:spacing w:after="0" w:line="225" w:lineRule="exact"/>
        <w:rPr>
          <w:sz w:val="20"/>
          <w:szCs w:val="20"/>
          <w:color w:val="auto"/>
        </w:rPr>
      </w:pPr>
    </w:p>
    <w:p>
      <w:pPr>
        <w:ind w:right="80" w:firstLine="648"/>
        <w:spacing w:after="0" w:line="312" w:lineRule="auto"/>
        <w:rPr>
          <w:sz w:val="20"/>
          <w:szCs w:val="20"/>
          <w:color w:val="auto"/>
        </w:rPr>
      </w:pPr>
      <w:r>
        <w:rPr>
          <w:rFonts w:ascii="Times New Roman" w:cs="Times New Roman" w:eastAsia="Times New Roman" w:hAnsi="Times New Roman"/>
          <w:sz w:val="17"/>
          <w:szCs w:val="17"/>
          <w:color w:val="auto"/>
        </w:rPr>
        <w:t>Non-catastrophe losses increased for the three months ended March 31, 2025 compared to the three months ended March 31, 2024 due mainly to higher attritional losses driven by premium growth on lines of business subject to attritional losses such as Casualty and Inland Marine and Other Property.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Acquisition expenses increased $14.6 million, or 45.8%, to $46.4 million for the three months ended March 31, 2025 from $31.8 million for the three months ended March 31, 2024. The increase was primarily due to higher commissions and premium-related taxes resulting from higher gross earned premiums. Acquisition expenses as a percentage of gross earned premiums were 12.3% for the three months ended March 31, 2025 compared to 10.5% for the three months ended March 31, 2024. Acquisition expenses as a percentage of gross earned premiums increased due to higher commissions and premium-related taxes as a percentage of gross earned premiums and lower ceded commissions and fronting fees as a percentage of gross earned premiums due to changes in the composition of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expenses increased $10.9 million, or 44.1%, to $35.7 million for the three months ended March 31, 2025 from $24.8 million for the three months ended March 31, 2024. The increase was primarily due to the Company incurring higher payroll, technology, and stock-based compensation expenses associated with growth of the Company.</w:t>
      </w:r>
    </w:p>
    <w:p>
      <w:pPr>
        <w:spacing w:after="0" w:line="176"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9.5% for the three months ended March 31, 2025 compared to 8.2% for the three months ended March 31, 2024. Excluding the impact of expenses relating to transactions, stock-based compensation, and amortization of intangibles, other underwriting expenses as a percentage of gross earned premiums were 7.5% for the three months ended March 31, 2025 compared</w:t>
      </w:r>
    </w:p>
    <w:p>
      <w:pPr>
        <w:spacing w:after="0" w:line="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to 6.8% for the three months ended March 31, 2024. Other underwriting expenses as a percentage of gross earned premiums may fluctuate period over period based on timing of certain expenses relative to premium growth.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229"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Net investment income increased $4.9 million, or 69.1%, to $12.1 million for the three months ended March 31, 2025 from $7.1 million for the three months ended March 31, 2024. The increase was primarily due to a higher average balance of investments during the three months ended March 31, 2025 due primarily to the use of proceeds from our August 2024 secondary offering and also due to higher yields on invested assets versus the prior year.</w:t>
      </w:r>
    </w:p>
    <w:p>
      <w:pPr>
        <w:spacing w:after="0" w:line="15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incurred $2.3 million of net realized and unrealized losses on investments for the three months ended March 31, 2025 compared to $3.0 million of net realized and unrealized gains for the three months ended March 31, 2024 In both periods, the balance was primarily driven</w:t>
      </w:r>
    </w:p>
    <w:p>
      <w:pPr>
        <w:ind w:right="340"/>
        <w:spacing w:after="0" w:line="255" w:lineRule="auto"/>
        <w:rPr>
          <w:sz w:val="20"/>
          <w:szCs w:val="20"/>
          <w:color w:val="auto"/>
        </w:rPr>
      </w:pPr>
      <w:r>
        <w:rPr>
          <w:rFonts w:ascii="Times New Roman" w:cs="Times New Roman" w:eastAsia="Times New Roman" w:hAnsi="Times New Roman"/>
          <w:sz w:val="18"/>
          <w:szCs w:val="18"/>
          <w:color w:val="auto"/>
        </w:rPr>
        <w:t>by unrealized gains and losses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11,965</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management fees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12,071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7,139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9,733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increased $2.8 million to $10.8 million for the three months ended March 31, 2025 from $8.0 million for the three months ended March 31, 2024 due to higher pre-tax income for the period ended March 31, 2025. During the three months ended March 31, 2025, our income tax rate of 20.1% was lower than the statutory rate of 21% due primarily to permanent component of employee stock option exercises offset by non-deductible executive compensation expense. During the three months ended March 31, 2024, our income tax rate of 23.2% was higher than the statutory rate of 21% due primarily to non-deductible executive compensation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GAAP Financial Measures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Revenue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 calculated in accordance with GAAP reconciles to underwriting revenue as follows: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4"/>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174,633</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118,535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164,900</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108,394</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Income and Adjusted Underwriting Income</w:t>
      </w:r>
    </w:p>
    <w:p>
      <w:pPr>
        <w:spacing w:after="0" w:line="229" w:lineRule="exact"/>
        <w:rPr>
          <w:sz w:val="20"/>
          <w:szCs w:val="20"/>
          <w:color w:val="auto"/>
        </w:rPr>
      </w:pPr>
    </w:p>
    <w:p>
      <w:pPr>
        <w:ind w:right="160" w:firstLine="648"/>
        <w:spacing w:after="0" w:line="220" w:lineRule="exact"/>
        <w:rPr>
          <w:sz w:val="20"/>
          <w:szCs w:val="20"/>
          <w:color w:val="auto"/>
        </w:rPr>
      </w:pPr>
      <w:r>
        <w:rPr>
          <w:rFonts w:ascii="Times New Roman" w:cs="Times New Roman" w:eastAsia="Times New Roman" w:hAnsi="Times New Roman"/>
          <w:sz w:val="18"/>
          <w:szCs w:val="18"/>
          <w:color w:val="auto"/>
        </w:rPr>
        <w:t>We define underwriting income as income before income taxes excluding net investment income, net realized and unrealized gains and losses on investments, and interest expense. Underwriting income represents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calculated in accordance with GAAP, and other companies may define underwriting income differently.</w:t>
      </w:r>
    </w:p>
    <w:p>
      <w:pPr>
        <w:spacing w:after="0" w:line="201" w:lineRule="exact"/>
        <w:rPr>
          <w:sz w:val="20"/>
          <w:szCs w:val="20"/>
          <w:color w:val="auto"/>
        </w:rPr>
      </w:pPr>
    </w:p>
    <w:p>
      <w:pPr>
        <w:ind w:right="100" w:firstLine="648"/>
        <w:spacing w:after="0" w:line="220" w:lineRule="exact"/>
        <w:rPr>
          <w:sz w:val="20"/>
          <w:szCs w:val="20"/>
          <w:color w:val="auto"/>
        </w:rPr>
      </w:pPr>
      <w:r>
        <w:rPr>
          <w:rFonts w:ascii="Times New Roman" w:cs="Times New Roman" w:eastAsia="Times New Roman" w:hAnsi="Times New Roman"/>
          <w:sz w:val="18"/>
          <w:szCs w:val="18"/>
          <w:color w:val="auto"/>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calculated in accordance with GAAP. Other companies may define adjusted underwriting income differently.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Income before income taxes calculated in accordance with GAAP reconciles to underwriting income and adjusted underwriting income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140"/>
        <w:spacing w:after="0" w:line="271" w:lineRule="auto"/>
        <w:rPr>
          <w:sz w:val="20"/>
          <w:szCs w:val="20"/>
          <w:color w:val="auto"/>
        </w:rPr>
      </w:pPr>
      <w:r>
        <w:rPr>
          <w:rFonts w:ascii="Times New Roman" w:cs="Times New Roman" w:eastAsia="Times New Roman" w:hAnsi="Times New Roman"/>
          <w:sz w:val="18"/>
          <w:szCs w:val="18"/>
          <w:color w:val="auto"/>
        </w:rPr>
        <w:t>Net realized and unrealized losses (gains) on investments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Underwriting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associated with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underwriting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320" w:type="dxa"/>
            <w:vAlign w:val="bottom"/>
          </w:tcPr>
          <w:p>
            <w:pPr>
              <w:spacing w:after="0"/>
              <w:rPr>
                <w:sz w:val="16"/>
                <w:szCs w:val="16"/>
                <w:color w:val="auto"/>
              </w:rPr>
            </w:pPr>
          </w:p>
        </w:tc>
        <w:tc>
          <w:tcPr>
            <w:tcW w:w="186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6"/>
                <w:szCs w:val="16"/>
                <w:color w:val="auto"/>
              </w:rPr>
            </w:pPr>
          </w:p>
        </w:tc>
      </w:tr>
      <w:tr>
        <w:trPr>
          <w:trHeight w:val="216"/>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53,713</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34,356</w:t>
            </w:r>
          </w:p>
        </w:tc>
      </w:tr>
      <w:tr>
        <w:trPr>
          <w:trHeight w:val="216"/>
        </w:trPr>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r>
      <w:tr>
        <w:trPr>
          <w:trHeight w:val="210"/>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44,065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24,955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8"/>
        </w:trPr>
        <w:tc>
          <w:tcPr>
            <w:tcW w:w="320" w:type="dxa"/>
            <w:vAlign w:val="bottom"/>
          </w:tcPr>
          <w:p>
            <w:pPr>
              <w:spacing w:after="0"/>
              <w:rPr>
                <w:sz w:val="15"/>
                <w:szCs w:val="15"/>
                <w:color w:val="auto"/>
              </w:rPr>
            </w:pPr>
          </w:p>
        </w:tc>
        <w:tc>
          <w:tcPr>
            <w:tcW w:w="1260" w:type="dxa"/>
            <w:vAlign w:val="bottom"/>
          </w:tcPr>
          <w:p>
            <w:pPr>
              <w:jc w:val="right"/>
              <w:ind w:right="10"/>
              <w:spacing w:after="0" w:line="178" w:lineRule="exact"/>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10"/>
              <w:spacing w:after="0" w:line="17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3,820</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r>
      <w:tr>
        <w:trPr>
          <w:trHeight w:val="210"/>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51,605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29,165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29"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sectPr>
          <w:pgSz w:w="11900" w:h="16838" w:orient="portrait"/>
          <w:cols w:equalWidth="0" w:num="1">
            <w:col w:w="11240"/>
          </w:cols>
          <w:pgMar w:left="320" w:top="121" w:right="339" w:bottom="1440" w:gutter="0" w:footer="0" w:header="0"/>
          <w:type w:val="continuous"/>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3"/>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income calculated in accordance with GAAP reconciles to adjusted net income as follows:</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2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42,922</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26,382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51,306</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27,794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Adjusted Return on Equity</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Annualized adjusted return on equity is calculated as follows: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7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r>
      <w:tr>
        <w:trPr>
          <w:trHeight w:val="209"/>
        </w:trPr>
        <w:tc>
          <w:tcPr>
            <w:tcW w:w="7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7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120" w:type="dxa"/>
            <w:vAlign w:val="bottom"/>
          </w:tcPr>
          <w:p>
            <w:pPr>
              <w:spacing w:after="0"/>
              <w:rPr>
                <w:sz w:val="20"/>
                <w:szCs w:val="20"/>
                <w:color w:val="auto"/>
              </w:rPr>
            </w:pPr>
          </w:p>
        </w:tc>
      </w:tr>
      <w:tr>
        <w:trPr>
          <w:trHeight w:val="194"/>
        </w:trPr>
        <w:tc>
          <w:tcPr>
            <w:tcW w:w="7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adjusted net income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205,224</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111,176</w:t>
            </w:r>
          </w:p>
        </w:tc>
      </w:tr>
      <w:tr>
        <w:trPr>
          <w:trHeight w:val="20"/>
        </w:trPr>
        <w:tc>
          <w:tcPr>
            <w:tcW w:w="79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Average stockholders' equity</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759,739</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486,455</w:t>
            </w:r>
          </w:p>
        </w:tc>
      </w:tr>
      <w:tr>
        <w:trPr>
          <w:trHeight w:val="210"/>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adjusted return on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Adjusted combined ratio is calculated as follows: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 expenses, and other underwriting</w:t>
            </w:r>
          </w:p>
        </w:tc>
        <w:tc>
          <w:tcPr>
            <w:tcW w:w="3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120,005</w:t>
            </w:r>
          </w:p>
        </w:tc>
        <w:tc>
          <w:tcPr>
            <w:tcW w:w="60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82,911</w:t>
            </w:r>
          </w:p>
        </w:tc>
        <w:tc>
          <w:tcPr>
            <w:tcW w:w="0" w:type="dxa"/>
            <w:vAlign w:val="bottom"/>
          </w:tcPr>
          <w:p>
            <w:pPr>
              <w:spacing w:after="0"/>
              <w:rPr>
                <w:sz w:val="1"/>
                <w:szCs w:val="1"/>
                <w:color w:val="auto"/>
              </w:rPr>
            </w:pPr>
          </w:p>
        </w:tc>
      </w:tr>
      <w:tr>
        <w:trPr>
          <w:trHeight w:val="221"/>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net of commission and other income</w:t>
            </w:r>
          </w:p>
        </w:tc>
        <w:tc>
          <w:tcPr>
            <w:tcW w:w="3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164,070</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107,866</w:t>
            </w:r>
          </w:p>
        </w:tc>
        <w:tc>
          <w:tcPr>
            <w:tcW w:w="0" w:type="dxa"/>
            <w:vAlign w:val="bottom"/>
          </w:tcPr>
          <w:p>
            <w:pPr>
              <w:spacing w:after="0"/>
              <w:rPr>
                <w:sz w:val="1"/>
                <w:szCs w:val="1"/>
                <w:color w:val="auto"/>
              </w:rPr>
            </w:pPr>
          </w:p>
        </w:tc>
      </w:tr>
      <w:tr>
        <w:trPr>
          <w:trHeight w:val="209"/>
        </w:trPr>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0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numerator:</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(2,088)</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combined ratio</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Adjusted Earnings Per Share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 adjusted earnings per share is calculated as follows:</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4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r>
      <w:tr>
        <w:trPr>
          <w:trHeight w:val="194"/>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51,306</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27,794</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1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27,399,997</w:t>
            </w: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25,468,564</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 Ratio</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3"/>
        </w:trPr>
        <w:tc>
          <w:tcPr>
            <w:tcW w:w="7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ratio and catastrophe loss ratio are calculated as follows: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8"/>
        </w:trPr>
        <w:tc>
          <w:tcPr>
            <w:tcW w:w="12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4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1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Losses and loss adjustment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38,743</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26,837</w:t>
            </w:r>
          </w:p>
        </w:tc>
      </w:tr>
      <w:tr>
        <w:trPr>
          <w:trHeight w:val="20"/>
        </w:trPr>
        <w:tc>
          <w:tcPr>
            <w:tcW w:w="1280" w:type="dxa"/>
            <w:vAlign w:val="bottom"/>
            <w:shd w:val="clear" w:color="auto" w:fill="CCEEFF"/>
          </w:tcPr>
          <w:p>
            <w:pPr>
              <w:spacing w:after="0" w:line="20" w:lineRule="exact"/>
              <w:rPr>
                <w:sz w:val="1"/>
                <w:szCs w:val="1"/>
                <w:color w:val="auto"/>
              </w:rPr>
            </w:pPr>
          </w:p>
        </w:tc>
        <w:tc>
          <w:tcPr>
            <w:tcW w:w="65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1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164,070</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107,866</w:t>
            </w:r>
          </w:p>
        </w:tc>
      </w:tr>
      <w:tr>
        <w:trPr>
          <w:trHeight w:val="209"/>
        </w:trPr>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9"/>
        </w:trPr>
        <w:tc>
          <w:tcPr>
            <w:tcW w:w="1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Catastrophe losses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(542)</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3,359</w:t>
            </w:r>
          </w:p>
        </w:tc>
      </w:tr>
      <w:tr>
        <w:trPr>
          <w:trHeight w:val="20"/>
        </w:trPr>
        <w:tc>
          <w:tcPr>
            <w:tcW w:w="1280" w:type="dxa"/>
            <w:vAlign w:val="bottom"/>
            <w:shd w:val="clear" w:color="auto" w:fill="CCEEFF"/>
          </w:tcPr>
          <w:p>
            <w:pPr>
              <w:spacing w:after="0" w:line="20" w:lineRule="exact"/>
              <w:rPr>
                <w:sz w:val="1"/>
                <w:szCs w:val="1"/>
                <w:color w:val="auto"/>
              </w:rPr>
            </w:pPr>
          </w:p>
        </w:tc>
        <w:tc>
          <w:tcPr>
            <w:tcW w:w="65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0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164,070</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107,866</w:t>
            </w:r>
          </w:p>
        </w:tc>
      </w:tr>
      <w:tr>
        <w:trPr>
          <w:trHeight w:val="209"/>
        </w:trPr>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 ratio</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 Excluding Catastrophe Losses</w:t>
      </w:r>
    </w:p>
    <w:p>
      <w:pPr>
        <w:spacing w:after="0" w:line="229"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Adjusted combined ratio excluding catastrophe losses is calculated as follows: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 expenses, and other underwriting</w:t>
            </w:r>
          </w:p>
        </w:tc>
        <w:tc>
          <w:tcPr>
            <w:tcW w:w="3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120,005</w:t>
            </w:r>
          </w:p>
        </w:tc>
        <w:tc>
          <w:tcPr>
            <w:tcW w:w="60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82,911</w:t>
            </w:r>
          </w:p>
        </w:tc>
        <w:tc>
          <w:tcPr>
            <w:tcW w:w="0" w:type="dxa"/>
            <w:vAlign w:val="bottom"/>
          </w:tcPr>
          <w:p>
            <w:pPr>
              <w:spacing w:after="0"/>
              <w:rPr>
                <w:sz w:val="1"/>
                <w:szCs w:val="1"/>
                <w:color w:val="auto"/>
              </w:rPr>
            </w:pPr>
          </w:p>
        </w:tc>
      </w:tr>
      <w:tr>
        <w:trPr>
          <w:trHeight w:val="221"/>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net of commission and other income</w:t>
            </w:r>
          </w:p>
        </w:tc>
        <w:tc>
          <w:tcPr>
            <w:tcW w:w="3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164,070</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107,866</w:t>
            </w:r>
          </w:p>
        </w:tc>
        <w:tc>
          <w:tcPr>
            <w:tcW w:w="0" w:type="dxa"/>
            <w:vAlign w:val="bottom"/>
          </w:tcPr>
          <w:p>
            <w:pPr>
              <w:spacing w:after="0"/>
              <w:rPr>
                <w:sz w:val="1"/>
                <w:szCs w:val="1"/>
                <w:color w:val="auto"/>
              </w:rPr>
            </w:pPr>
          </w:p>
        </w:tc>
      </w:tr>
      <w:tr>
        <w:trPr>
          <w:trHeight w:val="209"/>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numerator:</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(2,088)</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09"/>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combined ratio excluding catastrophe losses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equity calculated in accordance with GAAP reconciles to tangible stockholders’ equity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3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790,449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729,030</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4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w:t>
            </w:r>
          </w:p>
        </w:tc>
      </w:tr>
      <w:tr>
        <w:trPr>
          <w:trHeight w:val="25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stockholders' equity</w:t>
            </w:r>
          </w:p>
        </w:tc>
        <w:tc>
          <w:tcPr>
            <w:tcW w:w="4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765,524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715,788</w:t>
            </w:r>
          </w:p>
        </w:tc>
      </w:tr>
      <w:tr>
        <w:trPr>
          <w:trHeight w:val="412"/>
        </w:trPr>
        <w:tc>
          <w:tcPr>
            <w:tcW w:w="3880" w:type="dxa"/>
            <w:vAlign w:val="bottom"/>
            <w:tcBorders>
              <w:top w:val="single" w:sz="8" w:color="CCEEFF"/>
            </w:tcBorders>
          </w:tcPr>
          <w:p>
            <w:pPr>
              <w:spacing w:after="0"/>
              <w:rPr>
                <w:sz w:val="24"/>
                <w:szCs w:val="24"/>
                <w:color w:val="auto"/>
              </w:rPr>
            </w:pPr>
          </w:p>
        </w:tc>
        <w:tc>
          <w:tcPr>
            <w:tcW w:w="412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Company’s U.S. insurance company subsidiaries, PSIC, PESIC and FIA, are restricted by the statutes as to the amount of dividends that they may pay without prior approval by state insurance commissioners.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California and Oregon statutes which govern PSIC, dividends paid in a consecutive twelve month period cannot exceed the greater of</w:t>
      </w:r>
    </w:p>
    <w:p>
      <w:pPr>
        <w:spacing w:after="0" w:line="27" w:lineRule="exact"/>
        <w:rPr>
          <w:sz w:val="20"/>
          <w:szCs w:val="20"/>
          <w:color w:val="auto"/>
        </w:rPr>
      </w:pPr>
    </w:p>
    <w:p>
      <w:pPr>
        <w:ind w:right="20" w:firstLine="8"/>
        <w:spacing w:after="0" w:line="253"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$99.6 million in 2025 without approval by the California and Oregon Insurance Commissioners.</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$4.2 million in 2025 without approval of the Arizona Insurance Commissioner.</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New Jersey law, such that all dividend payments require 30-day prior approval of the New Jersey Commissioner of Banking and Insurance ("the Commissioner"). The maximum dividend, which may be paid in any twelve-month period, is limited to the greater of 10% of statutory surplus as of December 31 of the preceding year or the net gain from operations of the preceding calendar year. Cash dividends may only be paid out of surplus derived from realized net profits. Based on these limitations, FIA has capacity to pay a dividend of $2.3 million in 2025, conditional upon the Commissioner's approval.</w:t>
      </w:r>
    </w:p>
    <w:p>
      <w:pPr>
        <w:spacing w:after="0" w:line="183"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Bermuda Monetary Authority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such dividend has not caused the insurer to fail to meet its relevant margins.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Further, under the Companies Act (as defined below),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Pursuant to Bermuda regulations, the maximum amount of dividends and return of capital available to be paid by a reinsurer is determined pursuant to a formula. Under this formula, the maximum amount of dividends and return of capital available from PSRE during 2025 is calculated to be approximately $4.2 million. However, this dividend amount is subject to annual enhanced solvency requirement calculations.</w:t>
      </w:r>
    </w:p>
    <w:p>
      <w:pPr>
        <w:spacing w:after="0" w:line="176"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spacing w:after="0" w:line="135"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Our cash flows from operations may differ substantially from our net income due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or due to changes in balance sheet accounts.</w:t>
      </w:r>
    </w:p>
    <w:p>
      <w:pPr>
        <w:spacing w:after="0" w:line="26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that our current liquidity and cash receipts from written premiums, investment income, proceeds from investment sales and redemptions, and reinsurance recoveries, if necessary, are sufficient to cover cash outflows for each of the Company’s insurance subsidiaries in the foreseeable future.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87,183</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(51,944)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9,912</w:t>
            </w: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cash flow from operating activities was positive during the three months ended March 31, 2025 and 2024 due to net income and a decrease in net operating assets in each period.</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2025 and 2024 related primarily to purchases of fixed maturity securities in excess of sales and maturities in each period.</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2025 was related to the receipt of $2.4 million in proceeds from stock option exercises, the receipt of $0.5 million in proceeds from our employee stock purchase plan and the receipt of $0.8 million in proceeds from policy holder contributions of surplus, offset by $0.1 million in offering costs from the August 2024 Secondary Offering. Cash used in financing activities for three months ended March 31, 2024 was related to $9.6 million in payments on our FHLB line of credit, offset by the receipt of $1.9 million in proceeds from stock option exercises and the receipt of $0.4 million in proceeds from our employee stock purchase plan.</w:t>
      </w:r>
    </w:p>
    <w:p>
      <w:pPr>
        <w:spacing w:after="0" w:line="183" w:lineRule="exact"/>
        <w:rPr>
          <w:sz w:val="20"/>
          <w:szCs w:val="20"/>
          <w:color w:val="auto"/>
        </w:rPr>
      </w:pPr>
    </w:p>
    <w:p>
      <w:pPr>
        <w:ind w:right="240" w:firstLine="648"/>
        <w:spacing w:after="0" w:line="226" w:lineRule="exact"/>
        <w:rPr>
          <w:sz w:val="20"/>
          <w:szCs w:val="20"/>
          <w:color w:val="auto"/>
        </w:rPr>
      </w:pPr>
      <w:r>
        <w:rPr>
          <w:rFonts w:ascii="Times New Roman" w:cs="Times New Roman" w:eastAsia="Times New Roman" w:hAnsi="Times New Roman"/>
          <w:sz w:val="18"/>
          <w:szCs w:val="18"/>
          <w:color w:val="auto"/>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$1,168.7 million in cash and investment securities available at March 31, 2025. We also have the ability to access additional capital through pursuing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borrowings, sales of our equity or debt securities or entrance into a reinsurance arrangement.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share repurchase program expired on March 31, 2024 and we did not make any share repurchases during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the ability to access additional capital through multiple credit agreements.</w:t>
      </w:r>
    </w:p>
    <w:p>
      <w:pPr>
        <w:spacing w:after="0" w:line="225"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 Currently, $5.6 million of the borrowing capacity of the Credit Agreement is pledged as collateral and not able to be utilized.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we had no borrowings outstanding through the Credit Agreement.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we had no borrowings outstanding through the FHLB line of credit.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At March 31, 2025 total stockholders’ equity was $790.4 million and tangible stockholders’ equity was $765.5 million, compared to total stockholders’ equity of $729.0 million and tangible stockholders’ equity of $715.8 million as of December 31, 2024. Stockholders' equity increased due to net income earned for the period, activity related to stock-based compensation, and unrealized gains on fixed maturity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ind w:right="200" w:firstLine="648"/>
        <w:spacing w:after="0" w:line="245" w:lineRule="exact"/>
        <w:rPr>
          <w:sz w:val="20"/>
          <w:szCs w:val="20"/>
          <w:color w:val="auto"/>
        </w:rPr>
      </w:pPr>
      <w:r>
        <w:rPr>
          <w:rFonts w:ascii="Times New Roman" w:cs="Times New Roman" w:eastAsia="Times New Roman" w:hAnsi="Times New Roman"/>
          <w:sz w:val="18"/>
          <w:szCs w:val="18"/>
          <w:color w:val="auto"/>
        </w:rPr>
        <w:t>Tangible stockholders’ equity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stockholders’ equity in accordance with GAAP to tangible stockholders’ equity.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primary investment objectives are to maintain liquidity, preserve capital and generate a stable level of investment income. We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that we believe are attractive on a relative value basis and seek to generate returns in excess of predetermined benchmarks. Our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approves our investment guidelines in compliance with applicable regulatory restrictions on asset type, quality and concentration. Our current</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investment guidelines allow us to invest in taxable and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exempt fixed maturities, as well as publicly traded mutual funds and common stock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 companies. Our cash and invested assets consist of cash and cash equivalents, fixed maturity securities, and equity securities. As of March 31,</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2025, the majority of our investment portfolio, or $991.8 million, was comprised of fixed maturity securities that are classified as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carried at fair value with unrealized gains and losses on these securities, net of applicable taxes, reported as a separate component of accumulated other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Also included in our investment portfolio were $44.4 million of equity securities, $2.3 million of equity method investments</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and $11.0 million of investments in limited partnerships. In addition, we maintained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restricted cash and cash equivalent balance of $119.3 million at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Our fixed maturity securities, including cash equivalents, had a weighted average effective duration of 4.09 and 4.04 years and an average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 of “A1/A+” and “A1/A+” at March 31, 2025 and December 31, 2024, respectively. Our fixed income investment portfolio had a book yield of 4.65%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compared to 4.59% as of December 31, 2024.</w:t>
      </w:r>
    </w:p>
    <w:p>
      <w:pPr>
        <w:spacing w:after="0" w:line="166"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At March 31, 2025 and December 31, 2024 the amortized cost and fair value on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 or Cost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16,567</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16,166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520,041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508,628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439,968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431,517</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1,015,892</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991,759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 or Cost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33,449</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32,806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26,634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492,395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475,491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406,597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394,337</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5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973,330</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939,046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13"/>
        </w:trPr>
        <w:tc>
          <w:tcPr>
            <w:tcW w:w="50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115"/>
        </w:trPr>
        <w:tc>
          <w:tcPr>
            <w:tcW w:w="50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86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3"/>
        </w:trPr>
        <w:tc>
          <w:tcPr>
            <w:tcW w:w="1014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tables provide the credit quality of investment securities as of March 31, 2025 and December 31, 2024:</w:t>
            </w:r>
          </w:p>
        </w:tc>
        <w:tc>
          <w:tcPr>
            <w:tcW w:w="1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7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1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 in thousands)</w:t>
            </w:r>
          </w:p>
        </w:tc>
        <w:tc>
          <w:tcPr>
            <w:tcW w:w="110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139,730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306,807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284,674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246,269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13,186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CCC &amp; Below</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280" w:type="dxa"/>
            <w:vAlign w:val="bottom"/>
            <w:shd w:val="clear" w:color="auto" w:fill="CCEEFF"/>
          </w:tcPr>
          <w:p>
            <w:pPr>
              <w:spacing w:after="0"/>
              <w:rPr>
                <w:sz w:val="21"/>
                <w:szCs w:val="21"/>
                <w:color w:val="auto"/>
              </w:rPr>
            </w:pPr>
          </w:p>
        </w:tc>
        <w:tc>
          <w:tcPr>
            <w:tcW w:w="65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991,759</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390"/>
        </w:trPr>
        <w:tc>
          <w:tcPr>
            <w:tcW w:w="1280" w:type="dxa"/>
            <w:vAlign w:val="bottom"/>
            <w:tcBorders>
              <w:top w:val="single" w:sz="8" w:color="CCEEFF"/>
            </w:tcBorders>
          </w:tcPr>
          <w:p>
            <w:pPr>
              <w:spacing w:after="0"/>
              <w:rPr>
                <w:sz w:val="24"/>
                <w:szCs w:val="24"/>
                <w:color w:val="auto"/>
              </w:rPr>
            </w:pPr>
          </w:p>
        </w:tc>
        <w:tc>
          <w:tcPr>
            <w:tcW w:w="65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7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1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 in thousands)</w:t>
            </w:r>
          </w:p>
        </w:tc>
        <w:tc>
          <w:tcPr>
            <w:tcW w:w="110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130,161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305,267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254,890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236,855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CCC &amp; Below</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1280" w:type="dxa"/>
            <w:vAlign w:val="bottom"/>
            <w:shd w:val="clear" w:color="auto" w:fill="CCEEFF"/>
          </w:tcPr>
          <w:p>
            <w:pPr>
              <w:spacing w:after="0"/>
              <w:rPr>
                <w:sz w:val="19"/>
                <w:szCs w:val="19"/>
                <w:color w:val="auto"/>
              </w:rPr>
            </w:pPr>
          </w:p>
        </w:tc>
        <w:tc>
          <w:tcPr>
            <w:tcW w:w="65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939,046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The amortized cost and fair value of our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in fixed maturity securities summarized by contractual maturity as of</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70,521</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70,386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204,784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200,660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184,930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179,685</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109,511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439,968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431,517</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10"/>
        </w:trPr>
        <w:tc>
          <w:tcPr>
            <w:tcW w:w="62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1,015,892</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991,759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540" w:right="1460" w:hanging="4877"/>
        <w:spacing w:after="0" w:line="53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spacing w:after="0" w:line="194"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to reinsurance from traditional reinsurers, we utilize collateralized protection via catastrophe bonds. We currently have $895 million of multi-year indemnity-based reinsurance coverage for earthquake events, all issued through Torrey Pines Re Ltd, a Bermuda-domiciled special purpose insurer.</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catastrophe event retention is $20 million for earthquake events and $15.5 million for hurricane events and all other perils. Our reinsurance coverage exhausts at $3.2 billion for earthquake events, $735 million for Hawaii hurricane events, and $117.5 million for continental U.S. hurricane events, providing coverage in excess of our 1 in 250-year peak zone PML and in excess of our A.M. Best requirement. In addition, we maintain reinsurance coverage equivalent to or better than the 1 in 250-year PML for our other lines.</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2024 Annual Report on Form 10-K.</w:t>
      </w:r>
    </w:p>
    <w:p>
      <w:pPr>
        <w:spacing w:after="0" w:line="19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as compared to the critical accounting policies and estimates disclosed in Management’s Discussion and Analysis of Financial Condition and Operations included in our 2024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73.7% rated “A−” or better. At March 31, 2025, 1.4%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139" w:lineRule="exact"/>
        <w:rPr>
          <w:sz w:val="20"/>
          <w:szCs w:val="20"/>
          <w:color w:val="auto"/>
        </w:rPr>
      </w:pPr>
    </w:p>
    <w:p>
      <w:pPr>
        <w:ind w:right="160" w:firstLine="648"/>
        <w:spacing w:after="0" w:line="231" w:lineRule="exact"/>
        <w:rPr>
          <w:sz w:val="20"/>
          <w:szCs w:val="20"/>
          <w:color w:val="auto"/>
        </w:rPr>
      </w:pPr>
      <w:r>
        <w:rPr>
          <w:rFonts w:ascii="Times New Roman" w:cs="Times New Roman" w:eastAsia="Times New Roman" w:hAnsi="Times New Roman"/>
          <w:sz w:val="18"/>
          <w:szCs w:val="18"/>
          <w:color w:val="auto"/>
        </w:rPr>
        <w:t>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we carried out an evaluation, under the supervision and with the participation of our management, including our CEO and CFO, of the effectiveness of the design and operation of our disclosure controls and procedures defined under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Based upon this evaluation, our CEO and CFO concluded that our disclosure controls and procedures were effective.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88" w:lineRule="exact"/>
        <w:rPr>
          <w:sz w:val="20"/>
          <w:szCs w:val="20"/>
          <w:color w:val="auto"/>
        </w:rPr>
      </w:pPr>
    </w:p>
    <w:p>
      <w:pPr>
        <w:ind w:right="40" w:firstLine="648"/>
        <w:spacing w:after="0" w:line="245" w:lineRule="exact"/>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occurred during the quarter ended March 31, 2025 that have materially affected, or are reasonably likely to materially affect, our internal control over financial reporting.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condensed consolidated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These risks include, but are not limited to, the following: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227" w:lineRule="exact"/>
        <w:rPr>
          <w:sz w:val="20"/>
          <w:szCs w:val="20"/>
          <w:color w:val="auto"/>
        </w:rPr>
      </w:pPr>
    </w:p>
    <w:p>
      <w:pPr>
        <w:ind w:left="660" w:right="1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may not pay claims on a timely basis, or at all, which may materially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 reserves are established based on estimates and may be inadequate to cover actual incurred losses which could have a material adverse impact on our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and loss limitation methods, including estimates and models, may fail to adequately manage our exposure to losses from catastrophe events and our losses could be materially higher than our expectations;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we are exposed more significantly to California loss activity and regulatory environments;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group of brokers and program administrators, and such relationships may not continue;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intense competition for business in our industry;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crop prices, as a result of weather conditions or other events, could adversely impact our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Economic Environment:</w:t>
      </w:r>
    </w:p>
    <w:p>
      <w:pPr>
        <w:spacing w:after="0" w:line="227" w:lineRule="exact"/>
        <w:rPr>
          <w:sz w:val="20"/>
          <w:szCs w:val="20"/>
          <w:color w:val="auto"/>
        </w:rPr>
      </w:pPr>
    </w:p>
    <w:p>
      <w:pPr>
        <w:ind w:left="660" w:right="1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including recession, inflation, periods of high unemployment or lower economic activity could affect our growth and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trade policies, including the imposition of tariffs, along with broader economic uncertainty, could contribute to financial market volatility, shifts in interest rates, and disruptions to the sectors we insure;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Technology:</w:t>
      </w:r>
    </w:p>
    <w:p>
      <w:pPr>
        <w:spacing w:after="0" w:line="227" w:lineRule="exact"/>
        <w:rPr>
          <w:sz w:val="20"/>
          <w:szCs w:val="20"/>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information technology and telecommunications systems could adversely affect our business;</w:t>
      </w:r>
    </w:p>
    <w:p>
      <w:pPr>
        <w:spacing w:after="0" w:line="225" w:lineRule="exact"/>
        <w:rPr>
          <w:rFonts w:ascii="Times New Roman" w:cs="Times New Roman" w:eastAsia="Times New Roman" w:hAnsi="Times New Roman"/>
          <w:sz w:val="18"/>
          <w:szCs w:val="18"/>
          <w:color w:val="auto"/>
        </w:rPr>
      </w:pPr>
    </w:p>
    <w:p>
      <w:pPr>
        <w:ind w:left="380" w:hanging="197"/>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cyber-attacks could expose us to liability and damage our reputation and business;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Laws and Regulations:</w:t>
      </w:r>
    </w:p>
    <w:p>
      <w:pPr>
        <w:spacing w:after="0" w:line="22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may adversely affect our ability to achieve our business objectives;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 including loss limitations and exclusions, in our policies could have a material adverse effect on our financial condition or results of operations;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operating as a public company, and our management is required to devote substantial time to complying with public company regulations; 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Ownership of our Common Stock:</w:t>
      </w:r>
    </w:p>
    <w:p>
      <w:pPr>
        <w:spacing w:after="0" w:line="227" w:lineRule="exact"/>
        <w:rPr>
          <w:sz w:val="20"/>
          <w:szCs w:val="20"/>
          <w:color w:val="auto"/>
        </w:rPr>
      </w:pPr>
    </w:p>
    <w:p>
      <w:pPr>
        <w:ind w:left="660" w:right="1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stock price may be volatile, or may decline regardless of our operating performance, and holders of our common stock could lose all or part of their investment.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arising from unpredictable and severe catastrophe events, including those caused by global climate change, could reduce or eliminate our earnings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and limit our ability to underwrite new insurance policies.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insurance operations expose us to claims arising from unpredictable catastrophe events, such as earthquakes, hurricanes, windstorms, floods, wildfires, and other severe events. We have incurred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These events could impact our business even where we do not have insured exposure, such as the 2025 California wildfires, as homes and businesses lost due to such events may cancel or not renew their policies with us which could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reinsurance coverage currently exhausts at $3.2 billion for earthquake events, $735 million for Hawaii hurricane events, and $117.5 million for continental U.S. hurricane events, with coverage in excess of our estimated peak zone 1 in 250 year PML event and in excess of our A.M. Best threshold. Our catastrophe event retention is currently $20 million for earthquake events and $15.5 million for hurricane events and all other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reinsurers may not pay claims on a timely basis, or at all, which may materially adversely affect our business, financial condition, and results of operations.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these claims.</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 As of March 31, 2025, we had $391.6 million of aggregate reinsurance recoverables.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loss reserves are established based on estimates which may be inadequate to cover actual incurred losses and could have a material adverse impact on our results of operations and financial condition.</w:t>
      </w:r>
    </w:p>
    <w:p>
      <w:pPr>
        <w:spacing w:after="0" w:line="15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spacing w:after="0" w:line="17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there may be significant reporting lags between the occurrence of an insured event and the time it is actually reported to us and additional lags between the time of reporting and final settlement of any claims. Consequently, estimates of loss associated with specified claims can increase as new information emerges, which could cause the reserves for the claim to become inadequate.</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on our loss reserving methodology, see “Management’s Discussion and Analysis-Critical Accounting Policies and Estimates- Reserve for Losses and Loss Adjustment Expenses” in our 2024 Annual Report on Form 10-K.</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75" w:lineRule="exact"/>
        <w:rPr>
          <w:sz w:val="20"/>
          <w:szCs w:val="20"/>
          <w:color w:val="auto"/>
        </w:rPr>
      </w:pPr>
    </w:p>
    <w:p>
      <w:pPr>
        <w:ind w:right="240" w:firstLine="648"/>
        <w:spacing w:after="0" w:line="289" w:lineRule="auto"/>
        <w:rPr>
          <w:sz w:val="20"/>
          <w:szCs w:val="20"/>
          <w:color w:val="auto"/>
        </w:rPr>
      </w:pPr>
      <w:r>
        <w:rPr>
          <w:rFonts w:ascii="Times New Roman" w:cs="Times New Roman" w:eastAsia="Times New Roman" w:hAnsi="Times New Roman"/>
          <w:sz w:val="17"/>
          <w:szCs w:val="17"/>
          <w:color w:val="auto"/>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spacing w:after="0" w:line="15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buy multiple types of reinsurance including treaty excess of loss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spacing w:after="0" w:line="18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we have historically incorporated collateralized protection from the insurance linked securities market via catastrophe bonds. The catastrophe bond was completed through Torrey Pines Re Pte. Ltd. (“Torrey Pines Re Pte.”). Torrey Pines Re Pte. is a special purpose reinsurance vehicle incorporated in Singapore that provided Palomar with indemnity-based reinsurance covering earthquake events through June 1, 2024. During the second quarter of 2022, we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we also closed a $200 million 144A catastrophe bond which became effective June 1, 2023. This catastrophe bond was also completed through Torrey Pines Re Ltd and provides indemnity-based reinsurance covering earthquake events through June 1, 2026. During the second quarter of 2024, we also closed a $420 million 144A catastrophe bond which became effective June 1, 2024. This catastrophe bond was also completed through Torrey Pines Re Ltd and provides indemnity-based reinsurance covering earthquake events through June 1, 2027.</w:t>
      </w:r>
    </w:p>
    <w:p>
      <w:pPr>
        <w:spacing w:after="0" w:line="19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may seek similar catastrophe bond offerings in the future. However, there can be no assurance that we will be able to complete such offerings on acceptable terms, if at all.</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renew our expiring reinsurance contracts on acceptable terms or expand our reinsurance coverage through traditional reinsurers, catastrophe bonds, or otherwise,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In addition, as we grow our written premiums and enter new lines of business we will seek new types of reinsurance and will need to purchase reinsurance on commercially acceptable terms in order to reduce the risk associated with entering new lines of business. The inability to purchase appropriate reinsurance for new lines of business could negatively impact our ability to grow our written premiums and maintain our desired level of profitability.</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spacing w:after="0" w:line="17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a number of methods designed to minimize risk, including underwriting specialization, modeling and data systems, data quality control, strategic use of policy deductibles, regular review of aggregate exposure and probable maximum loss reports, which report the maximum amount of expected losses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spacing w:after="0" w:line="18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spacing w:after="0" w:line="19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p>
      <w:pPr>
        <w:spacing w:after="0" w:line="180"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do not address all the possible hazard characteristics of a catastrophe peril (e.g., the precise path and wind speed of a hurricane);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true frequency or severity of events;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a risk’s vulnerability or susceptibility to damage for a given event characteristic;</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account for unusual or unprecedented catastrophe events;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adequately consider the impact of inflation on the magnitude of modeled losses;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represent loss potential to insurance or reinsurance contract coverage limits, terms and conditions; and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impact on the economy of the area affected or the financial, judicial, political, or regulatory impacts on insurance claim payments during or following a catastrophe event.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adversely affect the amount of business we write and impact compliance with our debt covenants.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March 31, 2025, A.M. Best has assigned a financial strength rating of “A” (Excellent) (Outlook Stable) to our insurance company subsidiaries, Palomar Specialty Insurance Company (“PSIC”) and Palomar Excess and Surplus Insurance Company (“PESIC”). First Indemnity of America Insurance Co. ("FIA") carries an “A-” (Stable) rating from A.M. Best.</w:t>
      </w:r>
    </w:p>
    <w:p>
      <w:pPr>
        <w:spacing w:after="0" w:line="5"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18"/>
          <w:szCs w:val="18"/>
          <w:color w:val="auto"/>
        </w:rPr>
        <w:t>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spacing w:after="0" w:line="190"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A.M. Best’s rating;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25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financial strength rating. A downgrade or withdrawal of our rating could result in any of the following consequences, among others:</w:t>
      </w:r>
    </w:p>
    <w:p>
      <w:pPr>
        <w:spacing w:after="0" w:line="162" w:lineRule="exact"/>
        <w:rPr>
          <w:sz w:val="20"/>
          <w:szCs w:val="20"/>
          <w:color w:val="auto"/>
        </w:rPr>
      </w:pPr>
    </w:p>
    <w:p>
      <w:pPr>
        <w:ind w:left="5540" w:right="2140" w:hanging="4884"/>
        <w:spacing w:after="0" w:line="563" w:lineRule="auto"/>
        <w:tabs>
          <w:tab w:leader="none" w:pos="9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current and future distribution partners and insureds to choose other, more highly-rated competitors;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cost or reducing the availability of reinsurance to us;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limiting or preventing us from writing new and renewal insurance contracts;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out of compliance with the financial covenants in our credit agreement.</w:t>
      </w:r>
    </w:p>
    <w:p>
      <w:pPr>
        <w:spacing w:after="0" w:line="2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customers could be negatively and adversely impacted by pandemics, disease outbreaks and other public health crises.</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extent of the impact of a pandemic, disease outbreak or other public health crisis on our operational and financial performance depends on several factors, including the ultimate duration and severity of the event, the emergence and severity of variant strains, actions taken and restrictions imposed by the government and health officials in response, the effectiveness and adoption of vaccines and therapeutics, the ability for our customers to continue to pay premiums, contraction of the insurance and reinsurance markets, and the ability for reinsurers to satisfy claims, all of which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Global health crises have historically contributed to financial market volatility, supply chain disruptions, price inflation, and material and labor shortages, all of which may have a negative impact on our business. Furthermore, since our results of operations are 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it has subsided. We cannot anticipate all the ways in which global health crises could adversely impact our business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we are exposed more significantly to California loss activity and regulatory environments.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policyholders and insurance risks are currently concentrated in California, which generated 43% of our gross written premiums for the year ended December 31, 2024 and 32% for the three months ended March 31, 2025. We are exposed to business, economic, political, judicial and regulatory risks due to this concentration that are greater than the risks faced by insurance companies with a lower concentration of their premiums in California. Any single, major catastrophe event, series of events or other condition causing significant losses in California could materially adversely affect our business, financial condition and results of operations. This may include catastrophes even where we do not insure against the loss, such as the 2025 California wildfires, as homes and businesses lost or damaged due to catastrophe may otherwise cancel our policies following such event. Additionally, unfavorable business, economic or regulatory conditions in California may result in a significant reduction of our premiums or increase our loss exposure. Changes to insurance-related laws or regulations in California could also have a negative impact on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of one or more key executives or by an inability to attract and retain qualified personnel.</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depend on our ability to attract and retain experienced personnel and seasoned key executives who are knowledgeable about our business. The pool of talent from which we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particular, our future success is substantially dependent on the continued service of our Founder, Chief Executive Officer and Chairman, Mac Armstrong, our Chief Financial Officer, Christopher Uchida and our President, Jon Christianson.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select group of brokers and program administrators, and such relationships may not continue.</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Hawaii Hurricane, and Fronting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2024, our largest program administrator distributed $403.4 million or 26.2% of our gross written premiums.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program administrators which distributed greater than 10% of our gross written premiums for the year ended December 31, 2024.</w:t>
      </w:r>
    </w:p>
    <w:p>
      <w:pPr>
        <w:spacing w:after="0" w:line="207"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our largest program administrator distributed $95.1 million or 21.5% of our gross written premiums. There were no other program administrators which distributed greater than 10% of our gross written premiums for the three months ended March 31, 2025.</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largest program administrator, Arrowhead General Insurance Agency, distributes our Value Select Residential Earthquake program, which represents the majority of our Residential Earthquake premium and is administered through a mutually exclusive agreement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spacing w:after="0" w:line="143" w:lineRule="exact"/>
        <w:rPr>
          <w:sz w:val="20"/>
          <w:szCs w:val="20"/>
          <w:color w:val="auto"/>
        </w:rPr>
      </w:pPr>
    </w:p>
    <w:p>
      <w:pPr>
        <w:ind w:right="6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Because we provide our program administrators with specific quoting and binding authority, if any of them fail to comply with pre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established guidelines, our results of operations could be adversely affected.</w:t>
      </w:r>
    </w:p>
    <w:p>
      <w:pPr>
        <w:spacing w:after="0" w:line="19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depends on insurance brokers and program administrators, we are exposed to certain risks arising out of our reliance on these distribution channels that could adversely affect our results.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spacing w:after="0" w:line="188"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Because the possibility of these events occurring depends in large part upon the financial condition and internal operations of our brokers, we regularly meet and communicate with our brokers, monitor broker behavior, and review broker financial information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needed basis. If we are unable to collect premiums from our brokers in the future, our underwriting profits may decline, and our financial condition and results of operations could be materially and adversely affected.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business in our industry is intense.</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spacing w:after="0" w:line="180"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Certain new, proposed or potential industry or legislative developments could further increase competition in our industry. For example, an increase in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policies do not meet expectations, our written premium in future years and our future results of operations could be materially adversely affected.</w:t>
      </w:r>
    </w:p>
    <w:p>
      <w:pPr>
        <w:spacing w:after="0" w:line="118" w:lineRule="exact"/>
        <w:rPr>
          <w:sz w:val="20"/>
          <w:szCs w:val="20"/>
          <w:color w:val="auto"/>
        </w:rPr>
      </w:pPr>
    </w:p>
    <w:p>
      <w:pPr>
        <w:ind w:right="80" w:firstLine="648"/>
        <w:spacing w:after="0" w:line="228" w:lineRule="exact"/>
        <w:rPr>
          <w:sz w:val="20"/>
          <w:szCs w:val="20"/>
          <w:color w:val="auto"/>
        </w:rPr>
      </w:pPr>
      <w:r>
        <w:rPr>
          <w:rFonts w:ascii="Times New Roman" w:cs="Times New Roman" w:eastAsia="Times New Roman" w:hAnsi="Times New Roman"/>
          <w:sz w:val="18"/>
          <w:szCs w:val="18"/>
          <w:color w:val="auto"/>
        </w:rPr>
        <w:t>Most of our insurance policies are written for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spacing w:after="0" w:line="19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and timely evaluate and pay claims could materially and adversely affect our business, financial condition, results of operations, and prospects.</w:t>
      </w:r>
    </w:p>
    <w:p>
      <w:pPr>
        <w:spacing w:after="0" w:line="159" w:lineRule="exact"/>
        <w:rPr>
          <w:sz w:val="20"/>
          <w:szCs w:val="20"/>
          <w:color w:val="auto"/>
        </w:rPr>
      </w:pPr>
    </w:p>
    <w:p>
      <w:pPr>
        <w:jc w:val="both"/>
        <w:ind w:right="100" w:firstLine="648"/>
        <w:spacing w:after="0" w:line="272" w:lineRule="auto"/>
        <w:rPr>
          <w:sz w:val="20"/>
          <w:szCs w:val="20"/>
          <w:color w:val="auto"/>
        </w:rPr>
      </w:pPr>
      <w:r>
        <w:rPr>
          <w:rFonts w:ascii="Times New Roman" w:cs="Times New Roman" w:eastAsia="Times New Roman" w:hAnsi="Times New Roman"/>
          <w:sz w:val="17"/>
          <w:szCs w:val="17"/>
          <w:color w:val="auto"/>
        </w:rPr>
        <w:t>We must accurately and timely evaluate and pay claims that are made under our policies. Many factors affect our ability to pay claims accurately and timely, including the training and experience of our claims representatives, including our third-party claims administrators (“TPAs”), the effectiveness of our management, our ability to develop or select and implement appropriate procedures and systems to support our claims functions and other factors.</w:t>
      </w:r>
    </w:p>
    <w:p>
      <w:pPr>
        <w:spacing w:after="0" w:line="2"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18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addition, if we do not manage our TPAs effectively, or if our TPAs are unable to effectively manage our volume of claims, our ability to manage our claims workload could be adversely affected. In addition to potentially requiring that growth be slowed in the affected markets, our business could suffer from decreased quality of claims work which, in turn, could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act based on inaccurate or incomplete information regarding the accounts we underwrite.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stockholder approval.</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could take excessive risks, which could negatively affect our financial condition and business.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may only be available on unfavorable terms.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only available on unfavorable terms. Equity financings would result in dilution to our stockholders. Debt financings could subject us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229"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We intend to grow our business in the future, which could require additional capital, technology development, and skilled personnel. To grow effectively, we must be able to meet our capital needs and expand our systems, technology, and internal controls effectively. We also must allocate our human resources optimally, including identifying, hiring, and retaining qualified employees, and effectively incorporating the components of any businesses we may acquire in our effort to achieve growth. The failure to manage our growth effectively could have a material adverse effect on our business, financial condition and results of operations.</w:t>
      </w:r>
    </w:p>
    <w:p>
      <w:pPr>
        <w:spacing w:after="0" w:line="179" w:lineRule="exact"/>
        <w:rPr>
          <w:sz w:val="20"/>
          <w:szCs w:val="20"/>
          <w:color w:val="auto"/>
        </w:rPr>
      </w:pPr>
    </w:p>
    <w:p>
      <w:pPr>
        <w:ind w:left="160" w:hanging="16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evaluation of potential acquisitions, the integration of acquired businesses, and the introduction of new products, lines of business, and markets.</w:t>
      </w:r>
    </w:p>
    <w:p>
      <w:pPr>
        <w:spacing w:after="0" w:line="15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make acquisitions, including acquisitions in lines of business that are natural adjacencies. For example, we recently completed the acquisition of FIA in January 2025 and the acquisition of AAP in April 2025. The success of our acquisition strategy is dependent upon our ability to identify appropriate acquisition targets, negotiate transactions on favorable terms, complete transactions, have adequate access to financing and the ability to finance acquisitions on acceptable terms, and successfully integrate them into our existing businesses. We may not realize the anticipated benefits of acquisitions we have completed or may complete in the future, and we may not be able to incorporate any acquired lines of business with our existing operations, or integrate personnel from the acquired businesses, in which case our business, financial condition and results of operations could be harmed.</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acquisitions are made, we may not realize the anticipated benefits of such acquisitions, including, but not limited to, revenue growth, operational efficiencies, or expected synergies. Many of the businesses and assets that we have acquired or may acquire have unaudited historical financial statements or records that have been, or will be, prepared by the management of such companies and have not been, or will not be, independently reviewed or audited. We cannot be certain that the financial statements or records of companies or assets we have acquired or may acquire would not, or will not, be materially different if such statements were independently reviewed or audited. If such statements were to be materially different, the tangible and intangible assets we acquire may be more susceptible to impairment charges, which could have a material adverse effect on us.</w:t>
      </w:r>
    </w:p>
    <w:p>
      <w:pPr>
        <w:spacing w:after="0" w:line="18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addition, many of the businesses that we acquire and develop will likely have smaller scales of operations prior to the implementation of our growth strategy. If our growth continues, it may place a significant strain on our management team and on our operational and financial systems, procedures, and controls. If we are not able to manage the growing complexity of these businesses, including improving, refining, or revising our systems and operational practices, enlarging the scale and scope of the businesses, and integrating the new business into our culture and operations, our business may be adversely affected.</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either through acquisitions or internal development, we enter new distribution channels or lines of business or offer new products and services within existing lines of business. These new distribution channels, lines of business, or new products and services present additional risks, particularly in instances where the markets are not fully developed. Such risks include the investment of significant time and resources to recruit, hire, and retain personnel and develop the products, the risks involved with the management of the integration process and development of new processes and systems to accommodate complex programs, and the risk of financial guarantees and additional liabilities associated with these efforts.</w:t>
      </w:r>
    </w:p>
    <w:p>
      <w:pPr>
        <w:spacing w:after="0" w:line="18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Failure to manage these risks arising from acquisitions or development of new businesses could materially and adversely affect our business, results of operations, and financial condition.</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Our operating results have in the past varied from quarter to quarter and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term prospects.</w:t>
      </w:r>
    </w:p>
    <w:p>
      <w:pPr>
        <w:spacing w:after="0" w:line="26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volatility in investment performance, including gains and losses on our equity securities, and the cost of reinsurance coverage.</w:t>
      </w:r>
    </w:p>
    <w:p>
      <w:pPr>
        <w:spacing w:after="0" w:line="183" w:lineRule="exact"/>
        <w:rPr>
          <w:sz w:val="20"/>
          <w:szCs w:val="20"/>
          <w:color w:val="auto"/>
        </w:rPr>
      </w:pPr>
    </w:p>
    <w:p>
      <w:pPr>
        <w:jc w:val="both"/>
        <w:ind w:right="160" w:firstLine="360"/>
        <w:spacing w:after="0" w:line="266" w:lineRule="auto"/>
        <w:rPr>
          <w:sz w:val="20"/>
          <w:szCs w:val="20"/>
          <w:color w:val="auto"/>
        </w:rPr>
      </w:pPr>
      <w:r>
        <w:rPr>
          <w:rFonts w:ascii="Times New Roman" w:cs="Times New Roman" w:eastAsia="Times New Roman" w:hAnsi="Times New Roman"/>
          <w:sz w:val="18"/>
          <w:szCs w:val="18"/>
          <w:color w:val="auto"/>
        </w:rPr>
        <w:t>In addition, the insurance and reinsurance business historically has been a cyclical industry characterized by periods of intense price competition due to excess underwriting capacity (soft market cycle) as well as periods when shortages of capacity increase premium levels (hard market cycle). We expect our business and results of operations to be continuously impacted by these market cycles.</w:t>
      </w:r>
    </w:p>
    <w:p>
      <w:pPr>
        <w:spacing w:after="0" w:line="176" w:lineRule="exact"/>
        <w:rPr>
          <w:sz w:val="20"/>
          <w:szCs w:val="20"/>
          <w:color w:val="auto"/>
        </w:rPr>
      </w:pPr>
    </w:p>
    <w:p>
      <w:pPr>
        <w:ind w:right="420" w:firstLine="648"/>
        <w:spacing w:after="0" w:line="227" w:lineRule="exact"/>
        <w:rPr>
          <w:sz w:val="20"/>
          <w:szCs w:val="20"/>
          <w:color w:val="auto"/>
        </w:rPr>
      </w:pPr>
      <w:r>
        <w:rPr>
          <w:rFonts w:ascii="Times New Roman" w:cs="Times New Roman" w:eastAsia="Times New Roman" w:hAnsi="Times New Roman"/>
          <w:sz w:val="18"/>
          <w:szCs w:val="18"/>
          <w:color w:val="auto"/>
        </w:rPr>
        <w:t>We seek to underwrite products and make investments to achieve favorable returns on tangible stockholders’ equity over the long term. Our opportunistic nature and focus 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 tangible equity may result in fluctuations in gross written premiums, reinsurance expenses, loss expenses, and other underwriting expenses from period to period as we concentrate on underwriting contracts that we believe will generate better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rather than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Accordingly, our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of operations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prospects.</w:t>
      </w:r>
    </w:p>
    <w:p>
      <w:pPr>
        <w:spacing w:after="0" w:line="1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certain lenders which provides a revolving credit facility of up to $100.0 million. Borrowings under the Credit Agreement may impact our business and financial condition by:</w:t>
      </w:r>
    </w:p>
    <w:p>
      <w:pPr>
        <w:sectPr>
          <w:pgSz w:w="11900" w:h="16838" w:orient="portrait"/>
          <w:cols w:equalWidth="0" w:num="1">
            <w:col w:w="11240"/>
          </w:cols>
          <w:pgMar w:left="320" w:top="121" w:right="339" w:bottom="0" w:gutter="0" w:footer="0" w:header="0"/>
        </w:sectPr>
      </w:pPr>
    </w:p>
    <w:bookmarkStart w:id="55" w:name="page56"/>
    <w:bookmarkEnd w:id="55"/>
    <w:p>
      <w:pPr>
        <w:ind w:left="324"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flows from operations to service our debt, thereby reducing the amount of expected cash flows available for other purposes, including investing, and paying claims and operating expenses and;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interest rate risk since the interest rate in the credit agreement is a variable rate</w:t>
      </w:r>
    </w:p>
    <w:p>
      <w:pPr>
        <w:spacing w:after="0" w:line="25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21" w:right="359"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0"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Volatility in crop prices, as a result of weather conditions or other events, could adversely impact our results of operations.</w:t>
      </w:r>
    </w:p>
    <w:p>
      <w:pPr>
        <w:spacing w:after="0" w:line="229" w:lineRule="exact"/>
        <w:rPr>
          <w:sz w:val="20"/>
          <w:szCs w:val="20"/>
          <w:color w:val="auto"/>
        </w:rPr>
      </w:pPr>
    </w:p>
    <w:p>
      <w:pPr>
        <w:ind w:left="40" w:right="160" w:firstLine="648"/>
        <w:spacing w:after="0" w:line="281" w:lineRule="auto"/>
        <w:rPr>
          <w:sz w:val="20"/>
          <w:szCs w:val="20"/>
          <w:color w:val="auto"/>
        </w:rPr>
      </w:pPr>
      <w:r>
        <w:rPr>
          <w:rFonts w:ascii="Times New Roman" w:cs="Times New Roman" w:eastAsia="Times New Roman" w:hAnsi="Times New Roman"/>
          <w:sz w:val="17"/>
          <w:szCs w:val="17"/>
          <w:color w:val="auto"/>
        </w:rPr>
        <w:t>Weather conditions, including too much moisture (flooding or excessive rain), not enough moisture (droughts), and the level of crop prices in the commodities market heavily impact our crop insurance products. These factors are inherently unpredictable and could result in significant volatility in our operating results from one year to the next. Our results could also be negatively impacted by pests and plant disease. A large decline in the commodity prices of one or more of the major crops that we insure could have a material adverse effect on our results of operations or financial condition.</w:t>
      </w:r>
    </w:p>
    <w:p>
      <w:pPr>
        <w:spacing w:after="0" w:line="16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Instability in the surety market, resulting from construction defaults, contractual disputes, or evolving regulatory requirements, could negatively impact the performance of our surety products;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Fluctuations in construction industry performance, defaults on bonded projects, contractual disagreements and regulatory changes are inherent risks in the surety insurance industry. These events may lead to significant challenges in underwriting, claims management, and regulatory compliance. Depending on our ability to effectively manage the impact of these risks, we could face increased loss reserves, higher underwriting losses, and rising operational costs, all of which could materially affect our financial performance and overall profitability.</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Risks Related to the Economic Environment</w:t>
      </w:r>
    </w:p>
    <w:p>
      <w:pPr>
        <w:spacing w:after="0" w:line="225" w:lineRule="exact"/>
        <w:rPr>
          <w:sz w:val="20"/>
          <w:szCs w:val="20"/>
          <w:color w:val="auto"/>
        </w:rPr>
      </w:pPr>
    </w:p>
    <w:p>
      <w:pPr>
        <w:ind w:left="6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175" w:lineRule="exact"/>
        <w:rPr>
          <w:sz w:val="20"/>
          <w:szCs w:val="20"/>
          <w:color w:val="auto"/>
        </w:rPr>
      </w:pPr>
    </w:p>
    <w:p>
      <w:pPr>
        <w:ind w:left="60" w:firstLine="648"/>
        <w:spacing w:after="0" w:line="254" w:lineRule="auto"/>
        <w:rPr>
          <w:sz w:val="20"/>
          <w:szCs w:val="20"/>
          <w:color w:val="auto"/>
        </w:rPr>
      </w:pPr>
      <w:r>
        <w:rPr>
          <w:rFonts w:ascii="Times New Roman" w:cs="Times New Roman" w:eastAsia="Times New Roman" w:hAnsi="Times New Roman"/>
          <w:sz w:val="18"/>
          <w:szCs w:val="18"/>
          <w:color w:val="auto"/>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spacing w:after="0" w:line="192" w:lineRule="exact"/>
        <w:rPr>
          <w:sz w:val="20"/>
          <w:szCs w:val="20"/>
          <w:color w:val="auto"/>
        </w:rPr>
      </w:pPr>
    </w:p>
    <w:p>
      <w:pPr>
        <w:ind w:left="60" w:right="260" w:firstLine="648"/>
        <w:spacing w:after="0" w:line="282" w:lineRule="auto"/>
        <w:rPr>
          <w:sz w:val="20"/>
          <w:szCs w:val="20"/>
          <w:color w:val="auto"/>
        </w:rPr>
      </w:pPr>
      <w:r>
        <w:rPr>
          <w:rFonts w:ascii="Times New Roman" w:cs="Times New Roman" w:eastAsia="Times New Roman" w:hAnsi="Times New Roman"/>
          <w:sz w:val="18"/>
          <w:szCs w:val="18"/>
          <w:color w:val="auto"/>
        </w:rPr>
        <w:t>We underwrite a significant portion of our insurance in California. An economic downturn which particularly impacts California could have an adverse effect on our financial condition and results of operations.</w:t>
      </w:r>
    </w:p>
    <w:p>
      <w:pPr>
        <w:spacing w:after="0" w:line="158" w:lineRule="exact"/>
        <w:rPr>
          <w:sz w:val="20"/>
          <w:szCs w:val="20"/>
          <w:color w:val="auto"/>
        </w:rPr>
      </w:pPr>
    </w:p>
    <w:p>
      <w:pPr>
        <w:ind w:left="6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global trade policies, including the imposition of tariffs, along with broader economic uncertainty, could contribute to financial market volatility, shifts in interest rates, and disruptions to the sectors we insure.</w:t>
      </w:r>
    </w:p>
    <w:p>
      <w:pPr>
        <w:spacing w:after="0" w:line="159" w:lineRule="exact"/>
        <w:rPr>
          <w:sz w:val="20"/>
          <w:szCs w:val="20"/>
          <w:color w:val="auto"/>
        </w:rPr>
      </w:pPr>
    </w:p>
    <w:p>
      <w:pPr>
        <w:ind w:left="60" w:right="160" w:firstLine="648"/>
        <w:spacing w:after="0" w:line="258" w:lineRule="auto"/>
        <w:rPr>
          <w:sz w:val="20"/>
          <w:szCs w:val="20"/>
          <w:color w:val="auto"/>
        </w:rPr>
      </w:pPr>
      <w:r>
        <w:rPr>
          <w:rFonts w:ascii="Times New Roman" w:cs="Times New Roman" w:eastAsia="Times New Roman" w:hAnsi="Times New Roman"/>
          <w:sz w:val="18"/>
          <w:szCs w:val="18"/>
          <w:color w:val="auto"/>
        </w:rPr>
        <w:t>Ongoing global economic uncertainty, including the effects of inflation, interest rate volatility, and changes in international trade policies such as the imposition of tariffs, could have wide-ranging impacts on the markets in which we operate. These conditions may lead to shifts in consumer behavior, changes in exposure levels across personal and commercial lines, and increased costs associated with claims, operations, and policy administration. In addition, market volatility may negatively impact the performance of our investment portfolio and influence policyholder behavior. Together, these developments could adversely affect our financial results, capital position, and ability to execute our long-term business strategy.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229" w:lineRule="exact"/>
        <w:rPr>
          <w:sz w:val="20"/>
          <w:szCs w:val="20"/>
          <w:color w:val="auto"/>
        </w:rPr>
      </w:pPr>
    </w:p>
    <w:p>
      <w:pPr>
        <w:ind w:left="60" w:right="80"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Board of Directors. Our investments are subject to general economic conditions and market risks as well as risks inherent to particular securities.</w:t>
      </w:r>
    </w:p>
    <w:p>
      <w:pPr>
        <w:spacing w:after="0" w:line="176" w:lineRule="exact"/>
        <w:rPr>
          <w:sz w:val="20"/>
          <w:szCs w:val="20"/>
          <w:color w:val="auto"/>
        </w:rPr>
      </w:pPr>
    </w:p>
    <w:p>
      <w:pPr>
        <w:ind w:left="60" w:right="80" w:firstLine="648"/>
        <w:spacing w:after="0" w:line="224" w:lineRule="exact"/>
        <w:rPr>
          <w:sz w:val="20"/>
          <w:szCs w:val="20"/>
          <w:color w:val="auto"/>
        </w:rPr>
      </w:pPr>
      <w:r>
        <w:rPr>
          <w:rFonts w:ascii="Times New Roman" w:cs="Times New Roman" w:eastAsia="Times New Roman" w:hAnsi="Times New Roman"/>
          <w:sz w:val="18"/>
          <w:szCs w:val="18"/>
          <w:color w:val="auto"/>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 carry prepayment risk or, in a rising interest rate environment, may not prepay as quickly as expected.</w:t>
      </w:r>
    </w:p>
    <w:p>
      <w:pPr>
        <w:spacing w:after="0" w:line="172" w:lineRule="exact"/>
        <w:rPr>
          <w:sz w:val="20"/>
          <w:szCs w:val="20"/>
          <w:color w:val="auto"/>
        </w:rPr>
      </w:pPr>
    </w:p>
    <w:p>
      <w:pPr>
        <w:ind w:left="60" w:right="220" w:firstLine="648"/>
        <w:spacing w:after="0" w:line="261" w:lineRule="auto"/>
        <w:rPr>
          <w:sz w:val="20"/>
          <w:szCs w:val="20"/>
          <w:color w:val="auto"/>
        </w:rPr>
      </w:pPr>
      <w:r>
        <w:rPr>
          <w:rFonts w:ascii="Times New Roman" w:cs="Times New Roman" w:eastAsia="Times New Roman" w:hAnsi="Times New Roman"/>
          <w:sz w:val="18"/>
          <w:szCs w:val="18"/>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sectPr>
          <w:pgSz w:w="11900" w:h="16838" w:orient="portrait"/>
          <w:cols w:equalWidth="0" w:num="1">
            <w:col w:w="11280"/>
          </w:cols>
          <w:pgMar w:left="260" w:top="121" w:right="359" w:bottom="825" w:gutter="0" w:footer="0" w:header="0"/>
        </w:sectPr>
      </w:pP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60" w:top="121" w:right="359" w:bottom="825"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80" w:lineRule="exact"/>
        <w:rPr>
          <w:sz w:val="20"/>
          <w:szCs w:val="20"/>
          <w:color w:val="auto"/>
        </w:rPr>
      </w:pPr>
    </w:p>
    <w:p>
      <w:pPr>
        <w:jc w:val="both"/>
        <w:ind w:right="300" w:firstLine="648"/>
        <w:spacing w:after="0" w:line="312" w:lineRule="auto"/>
        <w:rPr>
          <w:sz w:val="20"/>
          <w:szCs w:val="20"/>
          <w:color w:val="auto"/>
        </w:rPr>
      </w:pPr>
      <w:r>
        <w:rPr>
          <w:rFonts w:ascii="Times New Roman" w:cs="Times New Roman" w:eastAsia="Times New Roman" w:hAnsi="Times New Roman"/>
          <w:sz w:val="17"/>
          <w:szCs w:val="17"/>
          <w:color w:val="auto"/>
        </w:rPr>
        <w:t>We also invest in marketable equity securities. These securities are carried on the balance sheet at fair market value and are subject to potential losses and declines in market value based on the performance of equity markets. Our equity invested assets totaled $44.4 million as of March 31, 2025.</w:t>
      </w:r>
    </w:p>
    <w:p>
      <w:pPr>
        <w:spacing w:after="0" w:line="14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and the respective state insurance departments regulating each of our insurance company subsidiaries.</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may, in certain circumstances, invest a small percentage of our investment portfolio in private companies or limited partnerships which we believe provide strategic opportunities. These types of investments are typically illiquid, and we have limited ability to take actions that protect or increase the value of this type of investment. Net losses from these investments or impairment of these investments may negatively impact our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a significant catastrophe event,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our information technology and telecommunications systems could adversely affect our business.</w:t>
      </w:r>
    </w:p>
    <w:p>
      <w:pPr>
        <w:spacing w:after="0" w:line="229"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198" w:lineRule="exact"/>
        <w:rPr>
          <w:sz w:val="20"/>
          <w:szCs w:val="20"/>
          <w:color w:val="auto"/>
        </w:rPr>
      </w:pPr>
    </w:p>
    <w:p>
      <w:pPr>
        <w:jc w:val="both"/>
        <w:ind w:left="160" w:right="80" w:firstLine="648"/>
        <w:spacing w:after="0" w:line="266" w:lineRule="auto"/>
        <w:rPr>
          <w:sz w:val="20"/>
          <w:szCs w:val="20"/>
          <w:color w:val="auto"/>
        </w:rPr>
      </w:pPr>
      <w:r>
        <w:rPr>
          <w:rFonts w:ascii="Times New Roman" w:cs="Times New Roman" w:eastAsia="Times New Roman" w:hAnsi="Times New Roman"/>
          <w:sz w:val="18"/>
          <w:szCs w:val="18"/>
          <w:color w:val="auto"/>
        </w:rPr>
        <w:t>A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or cyber-attacks could expose us to liability and damage our reputation and business.</w:t>
      </w:r>
    </w:p>
    <w:p>
      <w:pPr>
        <w:spacing w:after="0" w:line="229" w:lineRule="exact"/>
        <w:rPr>
          <w:sz w:val="20"/>
          <w:szCs w:val="20"/>
          <w:color w:val="auto"/>
        </w:rPr>
      </w:pPr>
    </w:p>
    <w:p>
      <w:pPr>
        <w:jc w:val="both"/>
        <w:ind w:right="480" w:firstLine="648"/>
        <w:spacing w:after="0" w:line="232" w:lineRule="exact"/>
        <w:rPr>
          <w:sz w:val="20"/>
          <w:szCs w:val="20"/>
          <w:color w:val="auto"/>
        </w:rPr>
      </w:pPr>
      <w:r>
        <w:rPr>
          <w:rFonts w:ascii="Times New Roman" w:cs="Times New Roman" w:eastAsia="Times New Roman" w:hAnsi="Times New Roman"/>
          <w:sz w:val="18"/>
          <w:szCs w:val="18"/>
          <w:color w:val="auto"/>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or other disruptions.</w:t>
      </w:r>
    </w:p>
    <w:p>
      <w:pPr>
        <w:spacing w:after="0" w:line="171"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spacing w:after="0" w:line="187" w:lineRule="exact"/>
        <w:rPr>
          <w:sz w:val="20"/>
          <w:szCs w:val="20"/>
          <w:color w:val="auto"/>
        </w:rPr>
      </w:pPr>
    </w:p>
    <w:p>
      <w:pPr>
        <w:ind w:right="200" w:firstLine="648"/>
        <w:spacing w:after="0" w:line="219" w:lineRule="exact"/>
        <w:rPr>
          <w:sz w:val="20"/>
          <w:szCs w:val="20"/>
          <w:color w:val="auto"/>
        </w:rPr>
      </w:pPr>
      <w:r>
        <w:rPr>
          <w:rFonts w:ascii="Times New Roman" w:cs="Times New Roman" w:eastAsia="Times New Roman" w:hAnsi="Times New Roman"/>
          <w:sz w:val="18"/>
          <w:szCs w:val="18"/>
          <w:color w:val="auto"/>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 or inappropriate access, or other developments will not compromise or breach the technology or other security measures protecting the networks and systems used in connection with our business.</w:t>
      </w:r>
    </w:p>
    <w:p>
      <w:pPr>
        <w:spacing w:after="0" w:line="162" w:lineRule="exact"/>
        <w:rPr>
          <w:sz w:val="20"/>
          <w:szCs w:val="20"/>
          <w:color w:val="auto"/>
        </w:rPr>
      </w:pPr>
    </w:p>
    <w:p>
      <w:pPr>
        <w:ind w:right="12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We employ third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party licensed software for use in our business, and the inability to maintain these licenses, problems with the software we license, or increases to the cost of software licenses could adversely affect our business.</w:t>
      </w:r>
    </w:p>
    <w:p>
      <w:pPr>
        <w:spacing w:after="0" w:line="158" w:lineRule="exact"/>
        <w:rPr>
          <w:sz w:val="20"/>
          <w:szCs w:val="20"/>
          <w:color w:val="auto"/>
        </w:rPr>
      </w:pPr>
    </w:p>
    <w:p>
      <w:pPr>
        <w:ind w:right="40" w:firstLine="648"/>
        <w:spacing w:after="0" w:line="228" w:lineRule="exact"/>
        <w:rPr>
          <w:sz w:val="20"/>
          <w:szCs w:val="20"/>
          <w:color w:val="auto"/>
        </w:rPr>
      </w:pPr>
      <w:r>
        <w:rPr>
          <w:rFonts w:ascii="Times New Roman" w:cs="Times New Roman" w:eastAsia="Times New Roman" w:hAnsi="Times New Roman"/>
          <w:sz w:val="18"/>
          <w:szCs w:val="18"/>
          <w:color w:val="auto"/>
        </w:rPr>
        <w:t>Multiple areas of our business rely on certain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obtained under licenses from other companies. We anticipate that we will continue to rely on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in the future. Unforeseen issues may arise in third-party software platforms which may have an adverse impact on our operations. Integration of new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cannot be eliminated, and these risks could negatively affect our business.</w:t>
      </w:r>
    </w:p>
    <w:p>
      <w:pPr>
        <w:spacing w:after="0" w:line="175" w:lineRule="exact"/>
        <w:rPr>
          <w:sz w:val="20"/>
          <w:szCs w:val="20"/>
          <w:color w:val="auto"/>
        </w:rPr>
      </w:pPr>
    </w:p>
    <w:p>
      <w:pPr>
        <w:ind w:right="320" w:firstLine="648"/>
        <w:spacing w:after="0" w:line="219" w:lineRule="exact"/>
        <w:rPr>
          <w:sz w:val="20"/>
          <w:szCs w:val="20"/>
          <w:color w:val="auto"/>
        </w:rPr>
      </w:pPr>
      <w:r>
        <w:rPr>
          <w:rFonts w:ascii="Times New Roman" w:cs="Times New Roman" w:eastAsia="Times New Roman" w:hAnsi="Times New Roman"/>
          <w:sz w:val="18"/>
          <w:szCs w:val="18"/>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control weakness or failure in cloud-based software could adversely affect our business.</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use cloud-based third-party software to host applications and for key financial and operational systems and we expect to expand their use in the future. We will increasingly rely on third-party software providers to maintain appropriate controls and safeguards to protect the integrity of our data and any information we transmit, including personal, personally identifiable, sensitive, confidential or proprietary information. While we conduct due diligence on these cloud providers with respect to their security and business controls, we may not have the visibility to effectively monitor the implementation and efficacy of these controls. If these controls do not operate effectively, we may not be able to rely on their software and cyber attackers may be able to exploit vulnerabilities, resulting in operational disruption, data loss, defects or a cybersecurity event. Migrating our software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maintain our accounting function, or otherwise operate our business. Any such event or failure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growth and evolution of artificial intelligence may impact our business and operations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the future, we may seek to deploy and/or further rely on technologies such as artificial intelligence or machine learning in operating our business. If we are unable to deploy this technology effectively or if our competitors are better able to deploy this technology our business may be adversely impacted. Our third-party software vendors and service providers are increasingly incorporating artificial intelligence into their processes and this may expose us to additional risks should they not be able to incorporate the technology effectively. The evolution and increased reliance on artificial intelligence may exacerbate our information technology and cybersecurity risks. Furthermore, regulations around artificial intelligence continue to evolve and we may be subject to increased regulation around artificial intelligence in the future.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17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insurance company subsidiaries, PSIC, PESIC and FIA, are subject to extensive rules and regulations enforced by the insurance regulator of the state in which they are commercially domiciled. To a lesser degree, they are also subject to regulations in the other states in which they operate. Our Bermuda based reinsurance subsidiary, Palomar Specialty Reinsurance Company Bermuda Ltd. (“PSRE”), is subject to regulation in Bermuda.</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U.S. insurance subsidiaries are part of an “insurance holding company system” within the meaning of applicable state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respective state regulator, at least 30 days prior to engaging in the transaction, and the regulator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we may be subject to significant fines and penalties and our working relationship with the state insurance regulators may be impaired.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151" w:lineRule="exact"/>
        <w:rPr>
          <w:sz w:val="20"/>
          <w:szCs w:val="20"/>
          <w:color w:val="auto"/>
        </w:rPr>
      </w:pPr>
    </w:p>
    <w:p>
      <w:pPr>
        <w:ind w:right="140" w:firstLine="648"/>
        <w:spacing w:after="0" w:line="225" w:lineRule="exact"/>
        <w:rPr>
          <w:sz w:val="20"/>
          <w:szCs w:val="20"/>
          <w:color w:val="auto"/>
        </w:rPr>
      </w:pPr>
      <w:r>
        <w:rPr>
          <w:rFonts w:ascii="Times New Roman" w:cs="Times New Roman" w:eastAsia="Times New Roman" w:hAnsi="Times New Roman"/>
          <w:sz w:val="18"/>
          <w:szCs w:val="18"/>
          <w:color w:val="auto"/>
        </w:rPr>
        <w:t>Our U.S. insurance subsidiaries are subject to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capital requirements, based upon the “risk-based capital model” adopted by the NAIC, and other minimum capital and surplus restrictions imposed under the laws of the state in which they are domiciled.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spacing w:after="0" w:line="19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PSRE is subject to regulation from the European Union. The European Union adopted the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Laulima is subject to regulation from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spacing w:after="0" w:line="1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FIA is subject to regulation from the New Jersey Department of Banking and Insurance, which requires that FIA comply with New Jersey Statutes and Insurance Code. Failure to meet these regulatory requirements could result in substantial fines or penalties and may negatively affect FIA’s relationship with the New Jersey Department of Banking and Insurance.</w:t>
      </w:r>
    </w:p>
    <w:p>
      <w:pPr>
        <w:spacing w:after="0" w:line="172"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18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including additional regulation around cybersecurity, which may have a material adverse impact on our business.</w:t>
      </w:r>
    </w:p>
    <w:p>
      <w:pPr>
        <w:spacing w:after="0" w:line="159"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Our business could be adversely affected by changes in state laws, including those relating to asset and reserve valuation requirements, surplus requirements, limitations on investments and dividends, enterprise risk and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sectPr>
          <w:pgSz w:w="11900" w:h="16838" w:orient="portrait"/>
          <w:cols w:equalWidth="0" w:num="1">
            <w:col w:w="11220"/>
          </w:cols>
          <w:pgMar w:left="320" w:top="121" w:right="359" w:bottom="1440" w:gutter="0" w:footer="0" w:header="0"/>
        </w:sectPr>
      </w:pP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Any government mandates and/or legislative changes related to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Additionally, in response to the growing threat of cyber-attacks in the insurance industry, cybersecurity regulations have been adopted, which, among other things,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abide by the provisions of and file compliance certifications pertaining to this legislation.</w:t>
      </w:r>
    </w:p>
    <w:p>
      <w:pPr>
        <w:spacing w:after="0" w:line="183"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While we have implemented cybersecurity policies and procedures, there is no guarantee our policies and procedures will protect our systems against all attacks or comply with all provisions of these evolving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as a result of the enactment of tax legislation could impact our operations and profitability.</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states increase the assessments that we are required to pay, our business, financial condition and results of operations would suffer.</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PSIC is licensed to conduct insurance operations on an admitted basis in 48 states. As PSIC grows, its share of any assessments in each state in which it underwrites business on an admitted basis may increase.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holding company and substantially all our operations are conducted by our insurance subsidiaries, our ability to pay dividends depends on our ability to obtain cash dividends or other permitted payments from our insurance subsidiaries.</w:t>
      </w:r>
    </w:p>
    <w:p>
      <w:pPr>
        <w:spacing w:after="0" w:line="159"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PSRE and FIA. State insurance laws, including the laws of Oregon, California, Arizona, New Jersey, and the laws of Bermuda restrict the ability of our subsidiaries to declare stockholder dividends. State insurance regulators require insurance companies to maintain specified levels of statutory capital and surplus. The maximum dividend distribution absent the approval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disapproval of the insurance regulatory authority in Oregon, California and Arizona is limited by Oregon law at ORS 732.576, California law at Cal. Ins. Code 1215.5(g) and Arizona Revised Statute 20-481.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and PESIC may in the future adopt statutory provisions more restrictive than those currently in effect.</w:t>
      </w:r>
    </w:p>
    <w:p>
      <w:pPr>
        <w:spacing w:after="0" w:line="20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spacing w:after="0" w:line="183"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litigation on our business are uncertain and could have an adverse effect on our business.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spacing w:after="0" w:line="1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59"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201" w:lineRule="exact"/>
        <w:rPr>
          <w:sz w:val="20"/>
          <w:szCs w:val="20"/>
          <w:color w:val="auto"/>
        </w:rPr>
      </w:pPr>
    </w:p>
    <w:p>
      <w:pPr>
        <w:ind w:right="80" w:firstLine="648"/>
        <w:spacing w:after="0" w:line="224" w:lineRule="exact"/>
        <w:rPr>
          <w:sz w:val="20"/>
          <w:szCs w:val="20"/>
          <w:color w:val="auto"/>
        </w:rPr>
      </w:pPr>
      <w:r>
        <w:rPr>
          <w:rFonts w:ascii="Times New Roman" w:cs="Times New Roman" w:eastAsia="Times New Roman" w:hAnsi="Times New Roman"/>
          <w:sz w:val="18"/>
          <w:szCs w:val="18"/>
          <w:color w:val="auto"/>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divert the attention of our management and key personnel from our business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spacing w:after="0" w:line="180"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addition to compliance with GAAP on a consolidated basis, many of our subsidiaries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18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public company, and our management is required to devote substantial time to complying with public company regulations.</w:t>
      </w:r>
    </w:p>
    <w:p>
      <w:pPr>
        <w:spacing w:after="0" w:line="159" w:lineRule="exact"/>
        <w:rPr>
          <w:sz w:val="20"/>
          <w:szCs w:val="20"/>
          <w:color w:val="auto"/>
        </w:rPr>
      </w:pPr>
    </w:p>
    <w:p>
      <w:pPr>
        <w:ind w:right="40" w:firstLine="648"/>
        <w:spacing w:after="0" w:line="218" w:lineRule="exact"/>
        <w:rPr>
          <w:sz w:val="20"/>
          <w:szCs w:val="20"/>
          <w:color w:val="auto"/>
        </w:rPr>
      </w:pPr>
      <w:r>
        <w:rPr>
          <w:rFonts w:ascii="Times New Roman" w:cs="Times New Roman" w:eastAsia="Times New Roman" w:hAnsi="Times New Roman"/>
          <w:sz w:val="18"/>
          <w:szCs w:val="18"/>
          <w:color w:val="auto"/>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spacing w:after="0" w:line="162" w:lineRule="exact"/>
        <w:rPr>
          <w:sz w:val="20"/>
          <w:szCs w:val="20"/>
          <w:color w:val="auto"/>
        </w:rPr>
      </w:pPr>
    </w:p>
    <w:p>
      <w:pPr>
        <w:ind w:right="540" w:firstLine="648"/>
        <w:spacing w:after="0" w:line="238" w:lineRule="exact"/>
        <w:rPr>
          <w:sz w:val="20"/>
          <w:szCs w:val="20"/>
          <w:color w:val="auto"/>
        </w:rPr>
      </w:pPr>
      <w:r>
        <w:rPr>
          <w:rFonts w:ascii="Times New Roman" w:cs="Times New Roman" w:eastAsia="Times New Roman" w:hAnsi="Times New Roman"/>
          <w:sz w:val="18"/>
          <w:szCs w:val="18"/>
          <w:color w:val="auto"/>
        </w:rPr>
        <w:t>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as well as new rules subsequently implemented by the SEC and Nasdaq, have increased regulation of, and imposed enhanced disclosure and corporate governance requirements on, public companies. We expect disclosure requirements to increase in the future and expand to areas such as climate change and greenhouse gas emissions. Our efforts to comply with these evolving laws, regulations and standards increases our operating costs and divert management’s time and attention from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generating activities.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spacing w:after="0" w:line="183" w:lineRule="exact"/>
        <w:rPr>
          <w:sz w:val="20"/>
          <w:szCs w:val="20"/>
          <w:color w:val="auto"/>
        </w:rPr>
      </w:pPr>
    </w:p>
    <w:p>
      <w:pPr>
        <w:ind w:left="980" w:right="6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periodic reports and distribute other stockholder communications, in compliance with the federal securities laws and requirements of Nasdaq;</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and expand the roles and the duties of our Board of Directors and its committees;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comprehensive compliance and investor relations functions; and</w:t>
      </w:r>
    </w:p>
    <w:p>
      <w:pPr>
        <w:spacing w:after="0" w:line="252"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maintain our system of internal control over financial reporting, and report on management’s assessment thereof, in compliance with rules and regulations of the SEC and the Public Company Accounting Oversight Board.</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spacing w:after="0" w:line="143" w:lineRule="exact"/>
        <w:rPr>
          <w:sz w:val="20"/>
          <w:szCs w:val="20"/>
          <w:color w:val="auto"/>
        </w:rPr>
      </w:pPr>
    </w:p>
    <w:p>
      <w:pPr>
        <w:ind w:right="140"/>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19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w:t>
      </w:r>
    </w:p>
    <w:p>
      <w:pPr>
        <w:spacing w:after="0" w:line="22" w:lineRule="exact"/>
        <w:rPr>
          <w:sz w:val="20"/>
          <w:szCs w:val="20"/>
          <w:color w:val="auto"/>
        </w:rPr>
      </w:pPr>
    </w:p>
    <w:p>
      <w:pPr>
        <w:jc w:val="both"/>
        <w:ind w:right="160"/>
        <w:spacing w:after="0" w:line="218" w:lineRule="exact"/>
        <w:rPr>
          <w:sz w:val="20"/>
          <w:szCs w:val="20"/>
          <w:color w:val="auto"/>
        </w:rPr>
      </w:pPr>
      <w:r>
        <w:rPr>
          <w:rFonts w:ascii="Times New Roman" w:cs="Times New Roman" w:eastAsia="Times New Roman" w:hAnsi="Times New Roman"/>
          <w:sz w:val="18"/>
          <w:szCs w:val="18"/>
          <w:color w:val="auto"/>
        </w:rPr>
        <w:t>requirements of Section 404(b)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over financial reporting may also divert management’s attention from other matters that are important to the operation of our business. We may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able to conclude on an ongoing basis that we have effective internal control over financial reporting in accordance with Section 404(b) of</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If we conclude that our internal control over financial reporting is not effective, the cost and scope of remediation actions and their effect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operations may be significant. Moreover, any material weaknesses or other deficiencies in our internal control over financial reporting may impede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file timely and accurate reports with the SEC. Any of the above could cause investors to lose confidence in our reported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our common stock listing on Nasdaq to be suspended or terminated, which could have a negative effect on the trading price of our common stock.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229" w:lineRule="exact"/>
        <w:rPr>
          <w:sz w:val="20"/>
          <w:szCs w:val="20"/>
          <w:color w:val="auto"/>
        </w:rPr>
      </w:pPr>
    </w:p>
    <w:p>
      <w:pPr>
        <w:ind w:right="80" w:firstLine="648"/>
        <w:spacing w:after="0" w:line="218" w:lineRule="exact"/>
        <w:rPr>
          <w:sz w:val="20"/>
          <w:szCs w:val="20"/>
          <w:color w:val="auto"/>
        </w:rPr>
      </w:pPr>
      <w:r>
        <w:rPr>
          <w:rFonts w:ascii="Times New Roman" w:cs="Times New Roman" w:eastAsia="Times New Roman" w:hAnsi="Times New Roman"/>
          <w:sz w:val="18"/>
          <w:szCs w:val="18"/>
          <w:color w:val="auto"/>
        </w:rPr>
        <w:t>Under applicable state insurance laws and regulations which govern our subsidiaries' operations,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competitive results that may arise from the consummation of the acquisition of control. State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state insurance laws and regulations, absent a disclaimer of control filing and its acceptance by the respective state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spacing w:after="0" w:line="19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transactions where we raise capital may negatively affect our stock price.</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or may decline regardless of our operating performance, and holders of our common stock could lose all or part of their investment.</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spacing w:after="0" w:line="192"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analysis and investors;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our competitors or our acquisition targets;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 including by our directors, executive officers and principal stockholders;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in our Board or Directors, senior management or other key personnel;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may incur or securities we may issue in the future;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and credit market risks that adversely affect our investment portfolio or our capital resources;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tax rates;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or exchange rate fluctuations;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natural disasters, war, pandemics, acts of terrorism, cyber-attacks or responses to these events.</w:t>
      </w:r>
    </w:p>
    <w:p>
      <w:pPr>
        <w:spacing w:after="0" w:line="2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takeover provisions in our organizational documents could delay a change in management and limit our share price.</w:t>
      </w:r>
    </w:p>
    <w:p>
      <w:pPr>
        <w:spacing w:after="0" w:line="266"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35" w:lineRule="exact"/>
        <w:rPr>
          <w:sz w:val="20"/>
          <w:szCs w:val="20"/>
          <w:color w:val="auto"/>
        </w:rPr>
      </w:pPr>
    </w:p>
    <w:p>
      <w:pPr>
        <w:ind w:firstLine="648"/>
        <w:spacing w:after="0" w:line="259" w:lineRule="exact"/>
        <w:rPr>
          <w:sz w:val="20"/>
          <w:szCs w:val="20"/>
          <w:color w:val="auto"/>
        </w:rPr>
      </w:pPr>
      <w:r>
        <w:rPr>
          <w:rFonts w:ascii="Times New Roman" w:cs="Times New Roman" w:eastAsia="Times New Roman" w:hAnsi="Times New Roman"/>
          <w:sz w:val="18"/>
          <w:szCs w:val="18"/>
          <w:color w:val="auto"/>
        </w:rPr>
        <w:t>Our charter documents contain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that will hinder takeover attempts and could reduce the market value of our common stock or prevent sale at a premium. Our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w:t>
      </w:r>
    </w:p>
    <w:p>
      <w:pPr>
        <w:spacing w:after="0" w:line="171"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52"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through 2027, that our Board of Directors are classified into three classes with staggered, three year terms and that directors may only be removed for cause;</w:t>
      </w:r>
    </w:p>
    <w:p>
      <w:pPr>
        <w:spacing w:after="0" w:line="120"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majority voting to amend provisions in our certificate of incorporation and bylaws;</w:t>
      </w:r>
    </w:p>
    <w:p>
      <w:pPr>
        <w:spacing w:after="0" w:line="252" w:lineRule="exact"/>
        <w:rPr>
          <w:rFonts w:ascii="Times New Roman" w:cs="Times New Roman" w:eastAsia="Times New Roman" w:hAnsi="Times New Roman"/>
          <w:sz w:val="18"/>
          <w:szCs w:val="18"/>
          <w:color w:val="auto"/>
        </w:rPr>
      </w:pPr>
    </w:p>
    <w:p>
      <w:pPr>
        <w:jc w:val="both"/>
        <w:ind w:left="980" w:right="140" w:hanging="324"/>
        <w:spacing w:after="0" w:line="245" w:lineRule="exact"/>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blank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52"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other than unanimous written consent;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252"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13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7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exclusive forum for the following civil actions:</w:t>
      </w:r>
    </w:p>
    <w:p>
      <w:pPr>
        <w:spacing w:after="0" w:line="16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by any of our directors, officers, employees or agents or our stockholders;</w:t>
      </w:r>
    </w:p>
    <w:p>
      <w:pPr>
        <w:spacing w:after="0" w:line="252"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our certificate of incorporation or bylaws or as to which the DGCL confers jurisdiction on the Court of Chancery of the State of Delaware;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our bylaws;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5"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During the quarter ended March 31, 2025, none of our directors or officers (as defined in Rule </w:t>
      </w:r>
      <w:r>
        <w:rPr>
          <w:rFonts w:ascii="Times New Roman" w:cs="Times New Roman" w:eastAsia="Times New Roman" w:hAnsi="Times New Roman"/>
          <w:sz w:val="18"/>
          <w:szCs w:val="18"/>
          <w:i w:val="1"/>
          <w:iCs w:val="1"/>
          <w:color w:val="auto"/>
        </w:rPr>
        <w:t>16a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(f) of the Securities Exchange Act of </w:t>
      </w:r>
      <w:r>
        <w:rPr>
          <w:rFonts w:ascii="Times New Roman" w:cs="Times New Roman" w:eastAsia="Times New Roman" w:hAnsi="Times New Roman"/>
          <w:sz w:val="18"/>
          <w:szCs w:val="18"/>
          <w:i w:val="1"/>
          <w:iCs w:val="1"/>
          <w:color w:val="auto"/>
        </w:rPr>
        <w:t>1934</w:t>
      </w:r>
      <w:r>
        <w:rPr>
          <w:rFonts w:ascii="Times New Roman" w:cs="Times New Roman" w:eastAsia="Times New Roman" w:hAnsi="Times New Roman"/>
          <w:sz w:val="18"/>
          <w:szCs w:val="18"/>
          <w:color w:val="auto"/>
        </w:rPr>
        <w:t xml:space="preserve">) adopted, terminated or modified a Rule </w:t>
      </w:r>
      <w:r>
        <w:rPr>
          <w:rFonts w:ascii="Times New Roman" w:cs="Times New Roman" w:eastAsia="Times New Roman" w:hAnsi="Times New Roman"/>
          <w:sz w:val="18"/>
          <w:szCs w:val="18"/>
          <w:i w:val="1"/>
          <w:iCs w:val="1"/>
          <w:color w:val="auto"/>
        </w:rPr>
        <w:t>10b5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trading arrangement or non-Rule </w:t>
      </w:r>
      <w:r>
        <w:rPr>
          <w:rFonts w:ascii="Times New Roman" w:cs="Times New Roman" w:eastAsia="Times New Roman" w:hAnsi="Times New Roman"/>
          <w:sz w:val="18"/>
          <w:szCs w:val="18"/>
          <w:i w:val="1"/>
          <w:iCs w:val="1"/>
          <w:color w:val="auto"/>
        </w:rPr>
        <w:t>10b5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trading arrangement (as such terms are defined in Item </w:t>
      </w:r>
      <w:r>
        <w:rPr>
          <w:rFonts w:ascii="Times New Roman" w:cs="Times New Roman" w:eastAsia="Times New Roman" w:hAnsi="Times New Roman"/>
          <w:sz w:val="18"/>
          <w:szCs w:val="18"/>
          <w:i w:val="1"/>
          <w:iCs w:val="1"/>
          <w:color w:val="auto"/>
        </w:rPr>
        <w:t>408</w:t>
      </w:r>
      <w:r>
        <w:rPr>
          <w:rFonts w:ascii="Times New Roman" w:cs="Times New Roman" w:eastAsia="Times New Roman" w:hAnsi="Times New Roman"/>
          <w:sz w:val="18"/>
          <w:szCs w:val="18"/>
          <w:color w:val="auto"/>
        </w:rPr>
        <w:t xml:space="preserve"> of Regulation S-K).</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723"/>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1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11"/>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601"/>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tcBorders>
              <w:top w:val="single" w:sz="8" w:color="auto"/>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302 of the Sarbanes-Oxley Act of 2002</w:t>
            </w:r>
          </w:p>
        </w:tc>
        <w:tc>
          <w:tcPr>
            <w:tcW w:w="2520" w:type="dxa"/>
            <w:vAlign w:val="bottom"/>
            <w:tcBorders>
              <w:top w:val="single" w:sz="8" w:color="auto"/>
            </w:tcBorders>
          </w:tcPr>
          <w:p>
            <w:pPr>
              <w:spacing w:after="0"/>
              <w:rPr>
                <w:sz w:val="24"/>
                <w:szCs w:val="24"/>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Section 302 of the Sarbanes-Oxley Act of 2002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Certifications pursuant to Section 906 of the Sarbanes-Oxley Act of 2002</w:t>
            </w:r>
          </w:p>
        </w:tc>
        <w:tc>
          <w:tcPr>
            <w:tcW w:w="260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1"/>
          </w:tcPr>
          <w:p>
            <w:pPr>
              <w:spacing w:after="0" w:line="196"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t xml:space="preserve">Notice to Grant Non-Executive Restricted Stock Units, dated January 29, 2025 </w:t>
            </w:r>
            <w:hyperlink r:id="rId110">
              <w:r>
                <w:rPr>
                  <w:rFonts w:ascii="Times New Roman" w:cs="Times New Roman" w:eastAsia="Times New Roman" w:hAnsi="Times New Roman"/>
                  <w:sz w:val="18"/>
                  <w:szCs w:val="18"/>
                  <w:color w:val="0000EE"/>
                </w:rPr>
                <w:t>(filed herewith)</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r>
              <w:rPr>
                <w:rFonts w:ascii="Times New Roman" w:cs="Times New Roman" w:eastAsia="Times New Roman" w:hAnsi="Times New Roman"/>
                <w:sz w:val="18"/>
                <w:szCs w:val="18"/>
                <w:color w:val="0000EE"/>
                <w:w w:val="99"/>
              </w:rPr>
              <w:t xml:space="preserve">Form of Non-Executive Restricted Stock Units Agreement, dated January 29, 2025 </w:t>
            </w:r>
            <w:hyperlink r:id="rId110">
              <w:r>
                <w:rPr>
                  <w:rFonts w:ascii="Times New Roman" w:cs="Times New Roman" w:eastAsia="Times New Roman" w:hAnsi="Times New Roman"/>
                  <w:sz w:val="18"/>
                  <w:szCs w:val="18"/>
                  <w:color w:val="0000EE"/>
                  <w:w w:val="99"/>
                </w:rPr>
                <w:t>(filed herewith)</w:t>
              </w:r>
            </w:hyperlink>
          </w:p>
        </w:tc>
        <w:tc>
          <w:tcPr>
            <w:tcW w:w="2720" w:type="dxa"/>
            <w:vAlign w:val="bottom"/>
            <w:gridSpan w:val="4"/>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r>
              <w:rPr>
                <w:rFonts w:ascii="Times New Roman" w:cs="Times New Roman" w:eastAsia="Times New Roman" w:hAnsi="Times New Roman"/>
                <w:sz w:val="18"/>
                <w:szCs w:val="18"/>
                <w:color w:val="0000EE"/>
                <w:w w:val="99"/>
              </w:rPr>
              <w:t xml:space="preserve">Notice to Grant Executive Restricted Stock Units, dated January 29, 2025 </w:t>
            </w:r>
            <w:hyperlink r:id="rId110">
              <w:r>
                <w:rPr>
                  <w:rFonts w:ascii="Times New Roman" w:cs="Times New Roman" w:eastAsia="Times New Roman" w:hAnsi="Times New Roman"/>
                  <w:sz w:val="18"/>
                  <w:szCs w:val="18"/>
                  <w:color w:val="0000EE"/>
                  <w:w w:val="99"/>
                </w:rPr>
                <w:t>(filed herewith)</w:t>
              </w:r>
            </w:hyperlink>
          </w:p>
        </w:tc>
        <w:tc>
          <w:tcPr>
            <w:tcW w:w="3400" w:type="dxa"/>
            <w:vAlign w:val="bottom"/>
            <w:gridSpan w:val="9"/>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1"/>
          </w:tcPr>
          <w:p>
            <w:pPr>
              <w:spacing w:after="0" w:line="196"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t xml:space="preserve">Form of Executive Restricted Stock Units Agreement, dated January 29, 2025 </w:t>
            </w:r>
            <w:hyperlink r:id="rId110">
              <w:r>
                <w:rPr>
                  <w:rFonts w:ascii="Times New Roman" w:cs="Times New Roman" w:eastAsia="Times New Roman" w:hAnsi="Times New Roman"/>
                  <w:sz w:val="18"/>
                  <w:szCs w:val="18"/>
                  <w:color w:val="0000EE"/>
                </w:rPr>
                <w:t>(filed herewith)</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r>
              <w:rPr>
                <w:rFonts w:ascii="Times New Roman" w:cs="Times New Roman" w:eastAsia="Times New Roman" w:hAnsi="Times New Roman"/>
                <w:sz w:val="18"/>
                <w:szCs w:val="18"/>
                <w:color w:val="0000EE"/>
                <w:w w:val="99"/>
              </w:rPr>
              <w:t xml:space="preserve">Notice to Grant Non-Executive Performance Stock Units, dated January 29, 2025 </w:t>
            </w:r>
            <w:hyperlink r:id="rId110">
              <w:r>
                <w:rPr>
                  <w:rFonts w:ascii="Times New Roman" w:cs="Times New Roman" w:eastAsia="Times New Roman" w:hAnsi="Times New Roman"/>
                  <w:sz w:val="18"/>
                  <w:szCs w:val="18"/>
                  <w:color w:val="0000EE"/>
                  <w:w w:val="99"/>
                </w:rPr>
                <w:t>(filed herewith)</w:t>
              </w:r>
            </w:hyperlink>
          </w:p>
        </w:tc>
        <w:tc>
          <w:tcPr>
            <w:tcW w:w="2840" w:type="dxa"/>
            <w:vAlign w:val="bottom"/>
            <w:gridSpan w:val="5"/>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11"/>
          </w:tcPr>
          <w:p>
            <w:pPr>
              <w:spacing w:after="0" w:line="196"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t xml:space="preserve">Form of Non-Executive Performance Stock Units Agreement, dated January 29, 2025 </w:t>
            </w:r>
            <w:hyperlink r:id="rId110">
              <w:r>
                <w:rPr>
                  <w:rFonts w:ascii="Times New Roman" w:cs="Times New Roman" w:eastAsia="Times New Roman" w:hAnsi="Times New Roman"/>
                  <w:sz w:val="18"/>
                  <w:szCs w:val="18"/>
                  <w:color w:val="0000EE"/>
                </w:rPr>
                <w:t>(filed herewith)</w:t>
              </w:r>
            </w:hyperlink>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t xml:space="preserve">Notice to Grant Executive Performance Stock Units, dated January 29, 2025 </w:t>
            </w:r>
            <w:hyperlink r:id="rId110">
              <w:r>
                <w:rPr>
                  <w:rFonts w:ascii="Times New Roman" w:cs="Times New Roman" w:eastAsia="Times New Roman" w:hAnsi="Times New Roman"/>
                  <w:sz w:val="18"/>
                  <w:szCs w:val="18"/>
                  <w:color w:val="0000EE"/>
                </w:rPr>
                <w:t>(filed herewith)</w:t>
              </w:r>
            </w:hyperlink>
          </w:p>
        </w:tc>
        <w:tc>
          <w:tcPr>
            <w:tcW w:w="25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6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r>
              <w:rPr>
                <w:rFonts w:ascii="Times New Roman" w:cs="Times New Roman" w:eastAsia="Times New Roman" w:hAnsi="Times New Roman"/>
                <w:sz w:val="18"/>
                <w:szCs w:val="18"/>
                <w:color w:val="0000EE"/>
                <w:w w:val="99"/>
              </w:rPr>
              <w:t xml:space="preserve">Form of Executive Performance Stock Units Agreement, dated January 29, 2025 </w:t>
            </w:r>
            <w:hyperlink r:id="rId110">
              <w:r>
                <w:rPr>
                  <w:rFonts w:ascii="Times New Roman" w:cs="Times New Roman" w:eastAsia="Times New Roman" w:hAnsi="Times New Roman"/>
                  <w:sz w:val="18"/>
                  <w:szCs w:val="18"/>
                  <w:color w:val="0000EE"/>
                  <w:w w:val="99"/>
                </w:rPr>
                <w:t>(filed herewith)</w:t>
              </w:r>
            </w:hyperlink>
          </w:p>
        </w:tc>
        <w:tc>
          <w:tcPr>
            <w:tcW w:w="2900" w:type="dxa"/>
            <w:vAlign w:val="bottom"/>
            <w:gridSpan w:val="6"/>
          </w:tcPr>
          <w:p>
            <w:pPr>
              <w:spacing w:after="0"/>
              <w:rPr>
                <w:sz w:val="17"/>
                <w:szCs w:val="17"/>
                <w:color w:val="auto"/>
              </w:rPr>
            </w:pPr>
          </w:p>
        </w:tc>
      </w:tr>
      <w:tr>
        <w:trPr>
          <w:trHeight w:val="65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360" w:firstLine="8"/>
        <w:spacing w:after="0" w:line="490" w:lineRule="auto"/>
        <w:tabs>
          <w:tab w:leader="none" w:pos="13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(formatted as Inline XBRL and contained in Exhibit 101) + Management contract or compensatory plan or arrangement.</w:t>
      </w: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Palomar Holdings, Inc.</w:t>
            </w:r>
          </w:p>
        </w:tc>
      </w:tr>
      <w:tr>
        <w:trPr>
          <w:trHeight w:val="86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78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Mac Armstrong</w:t>
            </w:r>
          </w:p>
        </w:tc>
      </w:tr>
      <w:tr>
        <w:trPr>
          <w:trHeight w:val="191"/>
        </w:trPr>
        <w:tc>
          <w:tcPr>
            <w:tcW w:w="3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3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Mac Armstrong</w:t>
            </w:r>
          </w:p>
        </w:tc>
      </w:tr>
      <w:tr>
        <w:trPr>
          <w:trHeight w:val="216"/>
        </w:trPr>
        <w:tc>
          <w:tcPr>
            <w:tcW w:w="3440" w:type="dxa"/>
            <w:vAlign w:val="bottom"/>
          </w:tcPr>
          <w:p>
            <w:pPr>
              <w:spacing w:after="0"/>
              <w:rPr>
                <w:sz w:val="18"/>
                <w:szCs w:val="18"/>
                <w:color w:val="auto"/>
              </w:rPr>
            </w:pPr>
          </w:p>
        </w:tc>
        <w:tc>
          <w:tcPr>
            <w:tcW w:w="78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3440" w:type="dxa"/>
            <w:vAlign w:val="bottom"/>
          </w:tcPr>
          <w:p>
            <w:pPr>
              <w:spacing w:after="0"/>
              <w:rPr>
                <w:sz w:val="20"/>
                <w:szCs w:val="20"/>
                <w:color w:val="auto"/>
              </w:rPr>
            </w:pPr>
          </w:p>
        </w:tc>
        <w:tc>
          <w:tcPr>
            <w:tcW w:w="78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78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T. Christopher Uchida</w:t>
            </w:r>
          </w:p>
        </w:tc>
      </w:tr>
      <w:tr>
        <w:trPr>
          <w:trHeight w:val="191"/>
        </w:trPr>
        <w:tc>
          <w:tcPr>
            <w:tcW w:w="3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3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r>
      <w:tr>
        <w:trPr>
          <w:trHeight w:val="216"/>
        </w:trPr>
        <w:tc>
          <w:tcPr>
            <w:tcW w:w="3440" w:type="dxa"/>
            <w:vAlign w:val="bottom"/>
          </w:tcPr>
          <w:p>
            <w:pPr>
              <w:spacing w:after="0"/>
              <w:rPr>
                <w:sz w:val="18"/>
                <w:szCs w:val="18"/>
                <w:color w:val="auto"/>
              </w:rPr>
            </w:pPr>
          </w:p>
        </w:tc>
        <w:tc>
          <w:tcPr>
            <w:tcW w:w="78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78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440" w:type="dxa"/>
            <w:vAlign w:val="bottom"/>
          </w:tcPr>
          <w:p>
            <w:pPr>
              <w:spacing w:after="0"/>
              <w:rPr>
                <w:sz w:val="24"/>
                <w:szCs w:val="24"/>
                <w:color w:val="auto"/>
              </w:rPr>
            </w:pP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68</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Mac Armstrong,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Palomar Holdings, Inc.;</w:t>
      </w:r>
    </w:p>
    <w:p>
      <w:pPr>
        <w:spacing w:after="0" w:line="23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57"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w:t>
      </w:r>
    </w:p>
    <w:p>
      <w:pPr>
        <w:spacing w:after="0" w:line="9" w:lineRule="exact"/>
        <w:rPr>
          <w:rFonts w:ascii="Times New Roman" w:cs="Times New Roman" w:eastAsia="Times New Roman" w:hAnsi="Times New Roman"/>
          <w:sz w:val="18"/>
          <w:szCs w:val="18"/>
          <w:color w:val="auto"/>
        </w:rPr>
      </w:pPr>
    </w:p>
    <w:p>
      <w:pPr>
        <w:ind w:left="130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57"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right="460" w:hanging="320"/>
        <w:spacing w:after="0" w:line="250"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right="140" w:hanging="320"/>
        <w:spacing w:after="0" w:line="250"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right="4260" w:hanging="5615"/>
        <w:spacing w:after="0" w:line="273" w:lineRule="auto"/>
        <w:tabs>
          <w:tab w:leader="none" w:pos="560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7"/>
          <w:szCs w:val="17"/>
          <w:color w:val="auto"/>
        </w:rPr>
        <w:t>/s/ Mac Armstrong Mac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-144780</wp:posOffset>
            </wp:positionV>
            <wp:extent cx="3566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ertification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302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arbanes</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xley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Uchida,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Palomar Holdings, Inc.;</w:t>
      </w:r>
    </w:p>
    <w:p>
      <w:pPr>
        <w:spacing w:after="0" w:line="23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5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w:t>
      </w:r>
    </w:p>
    <w:p>
      <w:pPr>
        <w:spacing w:after="0" w:line="9" w:lineRule="exact"/>
        <w:rPr>
          <w:rFonts w:ascii="Times New Roman" w:cs="Times New Roman" w:eastAsia="Times New Roman" w:hAnsi="Times New Roman"/>
          <w:sz w:val="18"/>
          <w:szCs w:val="18"/>
          <w:color w:val="auto"/>
        </w:rPr>
      </w:pPr>
    </w:p>
    <w:p>
      <w:pPr>
        <w:ind w:left="130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57"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right="460" w:hanging="320"/>
        <w:spacing w:after="0" w:line="260"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18"/>
          <w:szCs w:val="18"/>
          <w:color w:val="auto"/>
        </w:rPr>
      </w:pPr>
    </w:p>
    <w:p>
      <w:pPr>
        <w:ind w:left="1300" w:right="140" w:hanging="320"/>
        <w:spacing w:after="0" w:line="261"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7"/>
          <w:szCs w:val="17"/>
          <w:color w:val="auto"/>
        </w:rPr>
        <w:t>/s/ T. Christopher Uchida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T. Christopher Uchida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Palomar Holdings, Inc. (the “Company”) for the quarter ended March 31, 2025,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as applicable, of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8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 Armstrong</w:t>
            </w:r>
          </w:p>
        </w:tc>
        <w:tc>
          <w:tcPr>
            <w:tcW w:w="0" w:type="dxa"/>
            <w:vAlign w:val="bottom"/>
          </w:tcPr>
          <w:p>
            <w:pPr>
              <w:spacing w:after="0"/>
              <w:rPr>
                <w:sz w:val="1"/>
                <w:szCs w:val="1"/>
                <w:color w:val="auto"/>
              </w:rPr>
            </w:pPr>
          </w:p>
        </w:tc>
      </w:tr>
      <w:tr>
        <w:trPr>
          <w:trHeight w:val="191"/>
        </w:trPr>
        <w:tc>
          <w:tcPr>
            <w:tcW w:w="3420" w:type="dxa"/>
            <w:vAlign w:val="bottom"/>
          </w:tcPr>
          <w:p>
            <w:pPr>
              <w:spacing w:after="0"/>
              <w:rPr>
                <w:sz w:val="16"/>
                <w:szCs w:val="16"/>
                <w:color w:val="auto"/>
              </w:rPr>
            </w:pPr>
          </w:p>
        </w:tc>
        <w:tc>
          <w:tcPr>
            <w:tcW w:w="286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Mac Armstrong</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8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2025</w:t>
            </w:r>
          </w:p>
        </w:tc>
        <w:tc>
          <w:tcPr>
            <w:tcW w:w="28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Uchida</w:t>
            </w:r>
          </w:p>
        </w:tc>
        <w:tc>
          <w:tcPr>
            <w:tcW w:w="0" w:type="dxa"/>
            <w:vAlign w:val="bottom"/>
          </w:tcPr>
          <w:p>
            <w:pPr>
              <w:spacing w:after="0"/>
              <w:rPr>
                <w:sz w:val="1"/>
                <w:szCs w:val="1"/>
                <w:color w:val="auto"/>
              </w:rPr>
            </w:pPr>
          </w:p>
        </w:tc>
      </w:tr>
      <w:tr>
        <w:trPr>
          <w:trHeight w:val="191"/>
        </w:trPr>
        <w:tc>
          <w:tcPr>
            <w:tcW w:w="3420" w:type="dxa"/>
            <w:vAlign w:val="bottom"/>
          </w:tcPr>
          <w:p>
            <w:pPr>
              <w:spacing w:after="0"/>
              <w:rPr>
                <w:sz w:val="16"/>
                <w:szCs w:val="16"/>
                <w:color w:val="auto"/>
              </w:rPr>
            </w:pPr>
          </w:p>
        </w:tc>
        <w:tc>
          <w:tcPr>
            <w:tcW w:w="286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8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b w:val="1"/>
          <w:bCs w:val="1"/>
          <w:color w:val="auto"/>
        </w:rPr>
        <w:t>PALOMAR HOLDINGS,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GRANT OF RESTRICTED STOCK UNITS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U.S. 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Palomar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an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of certain units pursuant to the Palomar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each of which represents the right to receive on the applicable Settlement Date one (1) share of Stock,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9" w:lineRule="exact"/>
        <w:rPr>
          <w:sz w:val="20"/>
          <w:szCs w:val="20"/>
          <w:color w:val="auto"/>
        </w:rPr>
      </w:pPr>
    </w:p>
    <w:p>
      <w:pPr>
        <w:jc w:val="both"/>
        <w:ind w:left="2000" w:right="2660" w:hanging="1983"/>
        <w:spacing w:after="0" w:line="250"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Total Number of Units:</w:t>
      </w:r>
      <w:r>
        <w:rPr>
          <w:sz w:val="20"/>
          <w:szCs w:val="20"/>
          <w:color w:val="auto"/>
        </w:rPr>
        <w:tab/>
      </w:r>
      <w:r>
        <w:rPr>
          <w:rFonts w:ascii="Times New Roman" w:cs="Times New Roman" w:eastAsia="Times New Roman" w:hAnsi="Times New Roman"/>
          <w:sz w:val="18"/>
          <w:szCs w:val="18"/>
          <w:color w:val="auto"/>
        </w:rPr>
        <w:t>TOTAL_SHARES_GRANTED, (each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subject to adjustment as provided by the Restricted Stock Units Agreement.</w:t>
      </w:r>
    </w:p>
    <w:p>
      <w:pPr>
        <w:spacing w:after="0" w:line="1" w:lineRule="exact"/>
        <w:rPr>
          <w:sz w:val="20"/>
          <w:szCs w:val="20"/>
          <w:color w:val="auto"/>
        </w:rPr>
      </w:pPr>
    </w:p>
    <w:p>
      <w:pPr>
        <w:jc w:val="both"/>
        <w:ind w:left="2000" w:right="2660" w:hanging="1983"/>
        <w:spacing w:after="0" w:line="250"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Settlement Date:</w:t>
      </w:r>
      <w:r>
        <w:rPr>
          <w:sz w:val="20"/>
          <w:szCs w:val="20"/>
          <w:color w:val="auto"/>
        </w:rPr>
        <w:tab/>
      </w:r>
      <w:r>
        <w:rPr>
          <w:rFonts w:ascii="Times New Roman" w:cs="Times New Roman" w:eastAsia="Times New Roman" w:hAnsi="Times New Roman"/>
          <w:sz w:val="18"/>
          <w:szCs w:val="18"/>
          <w:color w:val="auto"/>
        </w:rPr>
        <w:t>Except as provided by the Restricted Stock Units Agreement, the date on which a Unit becomes a Vested Unit.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p>
      <w:pPr>
        <w:spacing w:after="0" w:line="9" w:lineRule="exact"/>
        <w:rPr>
          <w:sz w:val="20"/>
          <w:szCs w:val="20"/>
          <w:color w:val="auto"/>
        </w:rPr>
      </w:pPr>
    </w:p>
    <w:p>
      <w:pPr>
        <w:jc w:val="both"/>
        <w:ind w:left="2000" w:right="2660" w:hanging="1983"/>
        <w:spacing w:after="0" w:line="250"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Vested Shares:</w:t>
      </w:r>
      <w:r>
        <w:rPr>
          <w:sz w:val="20"/>
          <w:szCs w:val="20"/>
          <w:color w:val="auto"/>
        </w:rPr>
        <w:tab/>
      </w:r>
      <w:r>
        <w:rPr>
          <w:rFonts w:ascii="Times New Roman" w:cs="Times New Roman" w:eastAsia="Times New Roman" w:hAnsi="Times New Roman"/>
          <w:sz w:val="18"/>
          <w:szCs w:val="18"/>
          <w:color w:val="auto"/>
        </w:rPr>
        <w:t>Except as provided in the Restricted Stock Units Agreement and provided that the Participant’s Service has not terminated prior to the applicable date, the number of Vested Units (disregarding any resulting fractional Unit) as of any date is determined by multiplying the Total Number of Units by the “</w:t>
      </w:r>
      <w:r>
        <w:rPr>
          <w:rFonts w:ascii="Times New Roman" w:cs="Times New Roman" w:eastAsia="Times New Roman" w:hAnsi="Times New Roman"/>
          <w:sz w:val="18"/>
          <w:szCs w:val="18"/>
          <w:b w:val="1"/>
          <w:bCs w:val="1"/>
          <w:i w:val="1"/>
          <w:iCs w:val="1"/>
          <w:color w:val="auto"/>
        </w:rPr>
        <w:t>Vested Ratio</w:t>
      </w:r>
      <w:r>
        <w:rPr>
          <w:rFonts w:ascii="Times New Roman" w:cs="Times New Roman" w:eastAsia="Times New Roman" w:hAnsi="Times New Roman"/>
          <w:sz w:val="18"/>
          <w:szCs w:val="18"/>
          <w:color w:val="auto"/>
        </w:rPr>
        <w:t>” determined as of such date, as follows:</w:t>
      </w:r>
    </w:p>
    <w:p>
      <w:pPr>
        <w:spacing w:after="0" w:line="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u w:val="single" w:color="auto"/>
          <w:color w:val="auto"/>
        </w:rPr>
        <w:t>Vested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Superseding Agreement: </w:t>
      </w:r>
      <w:r>
        <w:rPr>
          <w:rFonts w:ascii="Times New Roman" w:cs="Times New Roman" w:eastAsia="Times New Roman" w:hAnsi="Times New Roman"/>
          <w:sz w:val="18"/>
          <w:szCs w:val="18"/>
          <w:color w:val="auto"/>
        </w:rPr>
        <w:t>None</w:t>
      </w:r>
    </w:p>
    <w:p>
      <w:pPr>
        <w:spacing w:after="0" w:line="31" w:lineRule="exact"/>
        <w:rPr>
          <w:sz w:val="20"/>
          <w:szCs w:val="20"/>
          <w:color w:val="auto"/>
        </w:rPr>
      </w:pPr>
    </w:p>
    <w:p>
      <w:pPr>
        <w:jc w:val="right"/>
        <w:ind w:right="266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Mandatory Sale To     </w:t>
      </w:r>
      <w:r>
        <w:rPr>
          <w:rFonts w:ascii="Times New Roman" w:cs="Times New Roman" w:eastAsia="Times New Roman" w:hAnsi="Times New Roman"/>
          <w:sz w:val="18"/>
          <w:szCs w:val="18"/>
          <w:color w:val="auto"/>
        </w:rPr>
        <w:t>As a condition to acceptance of this Award, to the fullest extent permitted under the Plan,</w:t>
      </w:r>
      <w:r>
        <w:rPr>
          <w:rFonts w:ascii="Times New Roman" w:cs="Times New Roman" w:eastAsia="Times New Roman" w:hAnsi="Times New Roman"/>
          <w:sz w:val="18"/>
          <w:szCs w:val="18"/>
          <w:b w:val="1"/>
          <w:bCs w:val="1"/>
          <w:color w:val="auto"/>
        </w:rPr>
        <w:t xml:space="preserve"> Cover Withholding Taxes </w:t>
      </w:r>
      <w:r>
        <w:rPr>
          <w:rFonts w:ascii="Times New Roman" w:cs="Times New Roman" w:eastAsia="Times New Roman" w:hAnsi="Times New Roman"/>
          <w:sz w:val="18"/>
          <w:szCs w:val="18"/>
          <w:color w:val="auto"/>
        </w:rPr>
        <w:t>Article 7 of the Restricted Stock Units Agreement and applicable law, withholding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tax related items will be satisfied through the sale of a number of the shares of Stock issued on the settlement of Vested Units and the remittance of the cash proceeds to the Company. The Company is authorized and directed by the Participant to make payment from the cash proceeds of this sale directly to the appropriate taxing authorities in an amount equal to the taxes required to be withheld. The mandatory sale of shares of Stock to cover withholding taxes and tax related items is imposed by the Company on the Participant in connection with the receipt of this Award, and it is intended to comply with the requirements of Rule 10b5-1(c)(1)(i)(B) under the Exchange Act and be interpreted to</w:t>
      </w:r>
    </w:p>
    <w:p>
      <w:pPr>
        <w:spacing w:after="0" w:line="200" w:lineRule="exact"/>
        <w:rPr>
          <w:sz w:val="20"/>
          <w:szCs w:val="20"/>
          <w:color w:val="auto"/>
        </w:rPr>
      </w:pPr>
    </w:p>
    <w:p>
      <w:pPr>
        <w:spacing w:after="0" w:line="22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meet the requirements of Rule 10b5-1(c).</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and by the Superseding Agreement, if any.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tbl>
      <w:tblPr>
        <w:tblLayout w:type="fixed"/>
        <w:tblInd w:w="0" w:type="dxa"/>
        <w:tblCellMar>
          <w:top w:w="0" w:type="dxa"/>
          <w:left w:w="0" w:type="dxa"/>
          <w:bottom w:w="0" w:type="dxa"/>
          <w:right w:w="0" w:type="dxa"/>
        </w:tblCellMar>
      </w:tblPr>
      <w:tr>
        <w:trPr>
          <w:trHeight w:val="203"/>
        </w:trPr>
        <w:tc>
          <w:tcPr>
            <w:tcW w:w="318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PALOMAR HOLDINGS, INC.</w:t>
            </w:r>
          </w:p>
        </w:tc>
        <w:tc>
          <w:tcPr>
            <w:tcW w:w="2320" w:type="dxa"/>
            <w:vAlign w:val="bottom"/>
          </w:tcPr>
          <w:p>
            <w:pPr>
              <w:ind w:left="1200"/>
              <w:spacing w:after="0" w:line="203" w:lineRule="exact"/>
              <w:rPr>
                <w:sz w:val="20"/>
                <w:szCs w:val="20"/>
                <w:color w:val="auto"/>
              </w:rPr>
            </w:pPr>
            <w:r>
              <w:rPr>
                <w:rFonts w:ascii="Times New Roman" w:cs="Times New Roman" w:eastAsia="Times New Roman" w:hAnsi="Times New Roman"/>
                <w:sz w:val="18"/>
                <w:szCs w:val="18"/>
                <w:color w:val="auto"/>
                <w:w w:val="93"/>
              </w:rPr>
              <w:t>PARTICIPANT</w:t>
            </w:r>
          </w:p>
        </w:tc>
      </w:tr>
      <w:tr>
        <w:trPr>
          <w:trHeight w:val="194"/>
        </w:trPr>
        <w:tc>
          <w:tcPr>
            <w:tcW w:w="31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By:  /s/ Mac Armstrong</w:t>
            </w:r>
          </w:p>
        </w:tc>
        <w:tc>
          <w:tcPr>
            <w:tcW w:w="23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Signature:</w:t>
            </w:r>
          </w:p>
        </w:tc>
      </w:tr>
      <w:tr>
        <w:trPr>
          <w:trHeight w:val="218"/>
        </w:trPr>
        <w:tc>
          <w:tcPr>
            <w:tcW w:w="260" w:type="dxa"/>
            <w:vAlign w:val="bottom"/>
          </w:tcPr>
          <w:p>
            <w:pPr>
              <w:spacing w:after="0"/>
              <w:rPr>
                <w:sz w:val="18"/>
                <w:szCs w:val="18"/>
                <w:color w:val="auto"/>
              </w:rPr>
            </w:pPr>
          </w:p>
        </w:tc>
        <w:tc>
          <w:tcPr>
            <w:tcW w:w="19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Mac Armstrong</w:t>
            </w: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2320" w:type="dxa"/>
            <w:vAlign w:val="bottom"/>
          </w:tcPr>
          <w:p>
            <w:pPr>
              <w:spacing w:after="0"/>
              <w:rPr>
                <w:sz w:val="18"/>
                <w:szCs w:val="18"/>
                <w:color w:val="auto"/>
              </w:rPr>
            </w:pPr>
          </w:p>
        </w:tc>
      </w:tr>
      <w:tr>
        <w:trPr>
          <w:trHeight w:val="216"/>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7979 Ivanhoe Avenue, Suite 500</w:t>
            </w: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Address:</w:t>
            </w:r>
          </w:p>
        </w:tc>
      </w:tr>
      <w:tr>
        <w:trPr>
          <w:trHeight w:val="234"/>
        </w:trPr>
        <w:tc>
          <w:tcPr>
            <w:tcW w:w="260" w:type="dxa"/>
            <w:vAlign w:val="bottom"/>
          </w:tcPr>
          <w:p>
            <w:pPr>
              <w:spacing w:after="0"/>
              <w:rPr>
                <w:sz w:val="20"/>
                <w:szCs w:val="20"/>
                <w:color w:val="auto"/>
              </w:rPr>
            </w:pPr>
          </w:p>
        </w:tc>
        <w:tc>
          <w:tcPr>
            <w:tcW w:w="2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La Jolla, CA 92037</w:t>
            </w:r>
          </w:p>
        </w:tc>
        <w:tc>
          <w:tcPr>
            <w:tcW w:w="2320" w:type="dxa"/>
            <w:vAlign w:val="bottom"/>
          </w:tcPr>
          <w:p>
            <w:pPr>
              <w:spacing w:after="0"/>
              <w:rPr>
                <w:sz w:val="20"/>
                <w:szCs w:val="20"/>
                <w:color w:val="auto"/>
              </w:rPr>
            </w:pPr>
          </w:p>
        </w:tc>
      </w:tr>
    </w:tbl>
    <w:p>
      <w:pPr>
        <w:ind w:right="2900"/>
        <w:spacing w:after="0" w:line="260" w:lineRule="auto"/>
        <w:rPr>
          <w:sz w:val="20"/>
          <w:szCs w:val="20"/>
          <w:color w:val="auto"/>
        </w:rPr>
      </w:pPr>
      <w:r>
        <w:rPr>
          <w:rFonts w:ascii="Times New Roman" w:cs="Times New Roman" w:eastAsia="Times New Roman" w:hAnsi="Times New Roman"/>
          <w:sz w:val="18"/>
          <w:szCs w:val="18"/>
          <w:color w:val="auto"/>
        </w:rPr>
        <w:t>ATTACHMENTS: 2019 Equity Incentive Plan, as amended to the Date of Grant; Restricted Stock Units Agreement and Plan Prospectus</w:t>
      </w:r>
    </w:p>
    <w:p>
      <w:pPr>
        <w:sectPr>
          <w:pgSz w:w="11900" w:h="16838" w:orient="portrait"/>
          <w:cols w:equalWidth="0" w:num="1">
            <w:col w:w="11240"/>
          </w:cols>
          <w:pgMar w:left="320" w:top="108"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b w:val="1"/>
          <w:bCs w:val="1"/>
          <w:color w:val="auto"/>
        </w:rPr>
        <w:t>PALOMAR HOLDINGS,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U.S. Participants)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Palomar Holdings, Inc. has granted to the Participant named in the </w:t>
      </w:r>
      <w:r>
        <w:rPr>
          <w:rFonts w:ascii="Times New Roman" w:cs="Times New Roman" w:eastAsia="Times New Roman" w:hAnsi="Times New Roman"/>
          <w:sz w:val="18"/>
          <w:szCs w:val="18"/>
          <w:i w:val="1"/>
          <w:iCs w:val="1"/>
          <w:color w:val="auto"/>
        </w:rPr>
        <w:t>Notice of Grant of Restricted Stock Units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to which this Restricted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attached an Award consisting of Restricted Stock Units (each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subject to the terms and conditions set forth in the Grant Notice and this Agreement. The Award has been granted pursuant to and shall in all respects be subject to the terms and conditions of the Palomar Holdings, Inc. 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18"/>
          <w:szCs w:val="18"/>
          <w:b w:val="1"/>
          <w:bCs w:val="1"/>
          <w:i w:val="1"/>
          <w:iCs w:val="1"/>
          <w:color w:val="auto"/>
        </w:rPr>
        <w:t>Plan Prospectus</w:t>
      </w:r>
      <w:r>
        <w:rPr>
          <w:rFonts w:ascii="Times New Roman" w:cs="Times New Roman" w:eastAsia="Times New Roman" w:hAnsi="Times New Roman"/>
          <w:sz w:val="18"/>
          <w:szCs w:val="18"/>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88"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and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-5080</wp:posOffset>
            </wp:positionV>
            <wp:extent cx="1558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205"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defined herein, capitalized terms shall have the meanings assigned to such terms in the Grant Notice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Plan.</w:t>
      </w:r>
    </w:p>
    <w:p>
      <w:pPr>
        <w:spacing w:after="0" w:line="203" w:lineRule="exact"/>
        <w:rPr>
          <w:sz w:val="20"/>
          <w:szCs w:val="20"/>
          <w:color w:val="auto"/>
        </w:rPr>
      </w:pPr>
    </w:p>
    <w:p>
      <w:pPr>
        <w:ind w:right="28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1" w:lineRule="exact"/>
        <w:rPr>
          <w:sz w:val="20"/>
          <w:szCs w:val="20"/>
          <w:color w:val="auto"/>
        </w:rPr>
      </w:pPr>
    </w:p>
    <w:p>
      <w:pPr>
        <w:ind w:left="960" w:hanging="30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88" w:lineRule="exact"/>
        <w:rPr>
          <w:sz w:val="20"/>
          <w:szCs w:val="20"/>
          <w:color w:val="auto"/>
        </w:rPr>
      </w:pPr>
    </w:p>
    <w:p>
      <w:pPr>
        <w:ind w:left="960" w:hanging="30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-5080</wp:posOffset>
            </wp:positionV>
            <wp:extent cx="6591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59130" cy="8890"/>
                    </a:xfrm>
                    <a:prstGeom prst="rect">
                      <a:avLst/>
                    </a:prstGeom>
                    <a:noFill/>
                  </pic:spPr>
                </pic:pic>
              </a:graphicData>
            </a:graphic>
          </wp:anchor>
        </w:drawing>
      </w:r>
    </w:p>
    <w:p>
      <w:pPr>
        <w:spacing w:after="0" w:line="205" w:lineRule="exact"/>
        <w:rPr>
          <w:sz w:val="20"/>
          <w:szCs w:val="20"/>
          <w:color w:val="auto"/>
        </w:rPr>
      </w:pPr>
    </w:p>
    <w:p>
      <w:pPr>
        <w:ind w:right="16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Grant of Units.</w:t>
      </w:r>
      <w:r>
        <w:rPr>
          <w:rFonts w:ascii="Times New Roman" w:cs="Times New Roman" w:eastAsia="Times New Roman" w:hAnsi="Times New Roman"/>
          <w:sz w:val="18"/>
          <w:szCs w:val="18"/>
          <w:color w:val="auto"/>
        </w:rPr>
        <w:t xml:space="preserve"> On the Date of Grant, the Participant shall acquire, subject to the provisions of this Agreement, the Total Number of Units set forth in the Grant Notice, subject to adjustment as provided in Section 9. Each Unit represents a right to receive on a date determined in accordance with the Grant Notice and this Agreement one (1) share of Stock.</w:t>
      </w:r>
    </w:p>
    <w:p>
      <w:pPr>
        <w:spacing w:after="0" w:line="171" w:lineRule="exact"/>
        <w:rPr>
          <w:sz w:val="20"/>
          <w:szCs w:val="20"/>
          <w:color w:val="auto"/>
        </w:rPr>
      </w:pPr>
    </w:p>
    <w:p>
      <w:pPr>
        <w:ind w:right="12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No Monetary Payment Required.</w:t>
      </w:r>
      <w:r>
        <w:rPr>
          <w:rFonts w:ascii="Times New Roman" w:cs="Times New Roman" w:eastAsia="Times New Roman" w:hAnsi="Times New Roman"/>
          <w:sz w:val="18"/>
          <w:szCs w:val="18"/>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79" w:lineRule="exact"/>
        <w:rPr>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18"/>
          <w:szCs w:val="18"/>
          <w:color w:val="auto"/>
        </w:rPr>
        <w:t>Units acquired pursuant to this Agreement shall become Vested Units as provided in the Grant Notice. For purposes of determining the number of Vested Units following an Ownership Change Event, credited Service shall include all Service with any Company which is a Participating Company at the time the Service is rendered, whether or not such Company is a Participating Company both before and after the Ownership Change Event.</w:t>
      </w:r>
    </w:p>
    <w:p>
      <w:pPr>
        <w:spacing w:after="0" w:line="1"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Reacquisition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-19050</wp:posOffset>
            </wp:positionV>
            <wp:extent cx="1586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586865" cy="8890"/>
                    </a:xfrm>
                    <a:prstGeom prst="rect">
                      <a:avLst/>
                    </a:prstGeom>
                    <a:noFill/>
                  </pic:spPr>
                </pic:pic>
              </a:graphicData>
            </a:graphic>
          </wp:anchor>
        </w:drawing>
      </w:r>
    </w:p>
    <w:p>
      <w:pPr>
        <w:spacing w:after="0" w:line="183" w:lineRule="exact"/>
        <w:rPr>
          <w:sz w:val="20"/>
          <w:szCs w:val="20"/>
          <w:color w:val="auto"/>
        </w:rPr>
      </w:pPr>
    </w:p>
    <w:p>
      <w:pPr>
        <w:ind w:right="30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Grant of Company Reacquisition Right.</w:t>
      </w:r>
      <w:r>
        <w:rPr>
          <w:rFonts w:ascii="Times New Roman" w:cs="Times New Roman" w:eastAsia="Times New Roman" w:hAnsi="Times New Roman"/>
          <w:sz w:val="18"/>
          <w:szCs w:val="18"/>
          <w:color w:val="auto"/>
        </w:rPr>
        <w:t xml:space="preserve"> Except to the extent otherwise provided by the Superseding 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18"/>
          <w:szCs w:val="18"/>
          <w:b w:val="1"/>
          <w:bCs w:val="1"/>
          <w:i w:val="1"/>
          <w:iCs w:val="1"/>
          <w:color w:val="auto"/>
        </w:rPr>
        <w:t>Unvested Units</w:t>
      </w:r>
      <w:r>
        <w:rPr>
          <w:rFonts w:ascii="Times New Roman" w:cs="Times New Roman" w:eastAsia="Times New Roman" w:hAnsi="Times New Roman"/>
          <w:sz w:val="18"/>
          <w:szCs w:val="18"/>
          <w:color w:val="auto"/>
        </w:rPr>
        <w:t>”), and the Participant shall not be entitled to any payment therefor (the “</w:t>
      </w:r>
      <w:r>
        <w:rPr>
          <w:rFonts w:ascii="Times New Roman" w:cs="Times New Roman" w:eastAsia="Times New Roman" w:hAnsi="Times New Roman"/>
          <w:sz w:val="18"/>
          <w:szCs w:val="18"/>
          <w:b w:val="1"/>
          <w:bCs w:val="1"/>
          <w:i w:val="1"/>
          <w:iCs w:val="1"/>
          <w:color w:val="auto"/>
        </w:rPr>
        <w:t>Company Reacquisition Right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Ownership Change Event, Non-Cash Dividends, Distributions and Adjustments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Company which is a Participating Company at the time the Service is rendered, whether or not such Company is a Participating Company both before and after any such event.</w:t>
      </w:r>
    </w:p>
    <w:p>
      <w:pPr>
        <w:spacing w:after="0" w:line="188"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-5080</wp:posOffset>
            </wp:positionV>
            <wp:extent cx="12954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ectPr>
          <w:pgSz w:w="11900" w:h="16838" w:orient="portrait"/>
          <w:cols w:equalWidth="0" w:num="1">
            <w:col w:w="11240"/>
          </w:cols>
          <w:pgMar w:left="320" w:top="108" w:right="339" w:bottom="222" w:gutter="0" w:footer="0" w:header="0"/>
        </w:sectPr>
      </w:pPr>
    </w:p>
    <w:bookmarkStart w:id="76" w:name="page77"/>
    <w:bookmarkEnd w:id="76"/>
    <w:p>
      <w:pPr>
        <w:spacing w:after="0" w:line="45"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Issuance of Shares of Stock</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Subject to the provisions of Section 6.3, the Company shall issue to the Participant on the Settlement Date with respect to each Vested Unit to be settled on such date one (1) share of Stock. The Settlement Date with respect to a Unit shall be the date on which such Unit becomes a Vested Unit as provided by the Grant Notice. Shares of Stock issued in settlement of Units shall not be subject to any restriction on transfer other than any such restriction as may be required pursuant to Section 6.3, Section 7 or the Company’s Trading Compliance Policy.</w:t>
      </w:r>
    </w:p>
    <w:p>
      <w:pPr>
        <w:spacing w:after="0" w:line="176" w:lineRule="exact"/>
        <w:rPr>
          <w:sz w:val="20"/>
          <w:szCs w:val="20"/>
          <w:color w:val="auto"/>
        </w:rPr>
      </w:pPr>
    </w:p>
    <w:p>
      <w:pPr>
        <w:ind w:right="10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Beneficial Ownership of Shares; Certificate Registration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7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Restrictions on Grant of the Award and Issuance of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88" w:lineRule="exact"/>
        <w:rPr>
          <w:sz w:val="20"/>
          <w:szCs w:val="20"/>
          <w:color w:val="auto"/>
        </w:rPr>
      </w:pPr>
    </w:p>
    <w:p>
      <w:pPr>
        <w:jc w:val="center"/>
        <w:ind w:right="-59"/>
        <w:spacing w:after="0"/>
        <w:tabs>
          <w:tab w:leader="none" w:pos="1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b w:val="1"/>
          <w:bCs w:val="1"/>
          <w:color w:val="auto"/>
        </w:rPr>
        <w:t>Fractional Shares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shall not be required to issue fractional shares upon the settlement of the Award.</w:t>
      </w:r>
    </w:p>
    <w:p>
      <w:pPr>
        <w:spacing w:after="0" w:line="225" w:lineRule="exact"/>
        <w:rPr>
          <w:sz w:val="20"/>
          <w:szCs w:val="20"/>
          <w:color w:val="auto"/>
        </w:rPr>
      </w:pPr>
    </w:p>
    <w:p>
      <w:pPr>
        <w:ind w:left="960" w:hanging="30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-5080</wp:posOffset>
            </wp:positionV>
            <wp:extent cx="9347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205"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xml:space="preserve"> Participant understands and acknowledges that on each Settlement Date, Participant is responsible for making adequate provision to satisfy the federal, state, local and foreign tax withholding obligations of the Company that arise in connection with your Award (the “Withholding Taxes”). Specifically, pursuant to the Grant Notice and this Section 7, Participant hereby agrees to a “same day sale” commitment with a broker-dealer that is a member of the Financial Industry Regulatory Authority (a “ FINRA Dealer “) whereby the Agent is irrevocably authorized to sell a portion of the shares to be issued on the Settlement Date to satisfy the Withholding Taxes and whereby the FINRA Dealer will forward the proceeds necessary to satisfy the Withholding Taxes directly to the Company. If, for any reason, such “same day sale” commitment pursuant to Section 7 does not result in sufficient proceeds to satisfy the Withholding Taxes or would be prohibited by applicable law at the applicable time, Participant hereby authorizes the Company to satisfy the obligations with regard to all Withholding Taxes by one or a combination of the following: (a) withholding from any compensation otherwise payable to you by the Company; (b) causing you to tender a cash payment (which may be in the form of a check, electronic wire transfer or other method permitted by the Company); or (c) withholding a number of whole shares having a fair market value, as determined by the Company as of the date on which the tax withholding obligations arise, not in excess of the amount of such tax withholding obligations determined by the applicable minimum statutory withholding rates if required to avoid liability classification of the Award under generally accepted accounting principles in the United States.</w:t>
      </w:r>
    </w:p>
    <w:p>
      <w:pPr>
        <w:spacing w:after="0" w:line="187"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 xml:space="preserve">Sell to Cover. </w:t>
      </w:r>
      <w:r>
        <w:rPr>
          <w:rFonts w:ascii="Times New Roman" w:cs="Times New Roman" w:eastAsia="Times New Roman" w:hAnsi="Times New Roman"/>
          <w:sz w:val="17"/>
          <w:szCs w:val="17"/>
          <w:color w:val="auto"/>
        </w:rPr>
        <w:t>Participant by accepting this Award agrees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left="1300" w:right="20" w:firstLine="4"/>
        <w:spacing w:after="0" w:line="282" w:lineRule="auto"/>
        <w:tabs>
          <w:tab w:leader="none" w:pos="172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hereby appoints such FINRA Dealer appointed by the Company for purposes of this Section 7 as Participant’s agent (the “Agent”), and hereby authorizes the Agent to:</w:t>
      </w:r>
    </w:p>
    <w:p>
      <w:pPr>
        <w:spacing w:after="0" w:line="161" w:lineRule="exact"/>
        <w:rPr>
          <w:rFonts w:ascii="Times New Roman" w:cs="Times New Roman" w:eastAsia="Times New Roman" w:hAnsi="Times New Roman"/>
          <w:sz w:val="18"/>
          <w:szCs w:val="18"/>
          <w:color w:val="auto"/>
        </w:rPr>
      </w:pPr>
    </w:p>
    <w:p>
      <w:pPr>
        <w:ind w:left="1300" w:right="40" w:firstLine="652"/>
        <w:spacing w:after="0" w:line="258" w:lineRule="auto"/>
        <w:tabs>
          <w:tab w:leader="none" w:pos="2338"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on the open market at the then prevailing market price(s), on Participant’s behalf, as soon as practicable on or after each Settlement Date on which shares of Stock are issued to the Participant, the number (rounded up to the next whole number) of the shares of Stock issued on the Settlement Date sufficient to generate proceeds to cover (A) the Withholding Taxes resulting from the issuance of such shares and (B) all applicable fees and commissions due to, or required to be collected by, the Agent with respect thereto; and</w:t>
      </w:r>
    </w:p>
    <w:p>
      <w:pPr>
        <w:spacing w:after="0" w:line="183"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 any remaining funds to the Participant.</w:t>
      </w:r>
    </w:p>
    <w:p>
      <w:pPr>
        <w:spacing w:after="0" w:line="225"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73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hereby authorizes the Company and the Agent to cooperate and communicate with one another to determine the number of Shares that must be sold pursuant to this Section 7.</w:t>
      </w:r>
    </w:p>
    <w:p>
      <w:pPr>
        <w:spacing w:after="0" w:line="161" w:lineRule="exact"/>
        <w:rPr>
          <w:rFonts w:ascii="Times New Roman" w:cs="Times New Roman" w:eastAsia="Times New Roman" w:hAnsi="Times New Roman"/>
          <w:sz w:val="18"/>
          <w:szCs w:val="18"/>
          <w:color w:val="auto"/>
        </w:rPr>
      </w:pPr>
    </w:p>
    <w:p>
      <w:pPr>
        <w:ind w:left="1300" w:firstLine="4"/>
        <w:spacing w:after="0" w:line="255" w:lineRule="auto"/>
        <w:tabs>
          <w:tab w:leader="none" w:pos="172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understands that the Agent may effect sales as provided in this Section 7 in one or more sales and that the average price for executions resulting from bunched orders will be assigned to the Participant’s account. In addition, Participant acknowledges that it may not be possible to sell shares of Stock as provided by in this Section 7 due to (1) a legal or contractual restriction applicable to the Participant or the Agent, (2) a market disruption, or (3) rules governing order execution priority on the national exchange where the Stock may be traded. In the event of the Agent’s inability to sell shares of Stock, Participant will continue to be responsible for the timely payment to the Company of all Withholding Taxes and any other federal, state, local and foreign taxes that are required by applicable laws and regulations to be withheld, including but not limited to those amounts specified in this Section 7.</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In the event of a Change in Control, the Award shall be subject to the definitive agreement entered into by the Company in connection with the Change in Control. Except to the extent that the Committee determines to cash out the Award in accordance with Section 13.1(c) of the Plan, the surviving, continuing, successor, or purchasing entity or parent thereof, as the case may be (the “</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w:t>
      </w:r>
    </w:p>
    <w:p>
      <w:pPr>
        <w:sectPr>
          <w:pgSz w:w="11900" w:h="16884" w:orient="portrait"/>
          <w:cols w:equalWidth="0" w:num="1">
            <w:col w:w="11240"/>
          </w:cols>
          <w:pgMar w:left="320" w:top="117" w:right="339" w:bottom="0" w:gutter="0" w:footer="0" w:header="0"/>
        </w:sectPr>
      </w:pPr>
    </w:p>
    <w:bookmarkStart w:id="77" w:name="page78"/>
    <w:bookmarkEnd w:id="77"/>
    <w:p>
      <w:pPr>
        <w:jc w:val="both"/>
        <w:spacing w:after="0" w:line="254" w:lineRule="auto"/>
        <w:rPr>
          <w:sz w:val="20"/>
          <w:szCs w:val="20"/>
          <w:color w:val="auto"/>
        </w:rPr>
      </w:pPr>
      <w:r>
        <w:rPr>
          <w:rFonts w:ascii="Times New Roman" w:cs="Times New Roman" w:eastAsia="Times New Roman" w:hAnsi="Times New Roman"/>
          <w:sz w:val="18"/>
          <w:szCs w:val="18"/>
          <w:color w:val="auto"/>
        </w:rPr>
        <w:t>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of the Change in Control to the extent that Units subject to the Award are neither assumed or continued by the Acquiror in connection with the Change in Control nor settled as of the time of the Change in Control.</w:t>
      </w:r>
    </w:p>
    <w:p>
      <w:pPr>
        <w:spacing w:after="0" w:line="3" w:lineRule="exact"/>
        <w:rPr>
          <w:sz w:val="20"/>
          <w:szCs w:val="20"/>
          <w:color w:val="auto"/>
        </w:rPr>
      </w:pPr>
    </w:p>
    <w:p>
      <w:pPr>
        <w:ind w:left="960" w:hanging="304"/>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for Changes in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reinCompany,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 w:lineRule="exact"/>
        <w:rPr>
          <w:sz w:val="20"/>
          <w:szCs w:val="20"/>
          <w:color w:val="auto"/>
        </w:rPr>
      </w:pPr>
    </w:p>
    <w:p>
      <w:pPr>
        <w:ind w:left="1060" w:hanging="404"/>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Stockholder, Director, Employee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-19050</wp:posOffset>
            </wp:positionV>
            <wp:extent cx="29565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956560" cy="8255"/>
                    </a:xfrm>
                    <a:prstGeom prst="rect">
                      <a:avLst/>
                    </a:prstGeom>
                    <a:noFill/>
                  </pic:spPr>
                </pic:pic>
              </a:graphicData>
            </a:graphic>
          </wp:anchor>
        </w:drawing>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85" w:lineRule="exact"/>
        <w:rPr>
          <w:sz w:val="20"/>
          <w:szCs w:val="20"/>
          <w:color w:val="auto"/>
        </w:rPr>
      </w:pPr>
    </w:p>
    <w:p>
      <w:pPr>
        <w:ind w:left="1060" w:hanging="404"/>
        <w:spacing w:after="0"/>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-5080</wp:posOffset>
            </wp:positionV>
            <wp:extent cx="520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20700" cy="8890"/>
                    </a:xfrm>
                    <a:prstGeom prst="rect">
                      <a:avLst/>
                    </a:prstGeom>
                    <a:noFill/>
                  </pic:spPr>
                </pic:pic>
              </a:graphicData>
            </a:graphic>
          </wp:anchor>
        </w:drawing>
      </w:r>
    </w:p>
    <w:p>
      <w:pPr>
        <w:spacing w:after="0" w:line="20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76" w:lineRule="exact"/>
        <w:rPr>
          <w:sz w:val="20"/>
          <w:szCs w:val="20"/>
          <w:color w:val="auto"/>
        </w:rPr>
      </w:pPr>
    </w:p>
    <w:p>
      <w:pPr>
        <w:ind w:left="1060" w:hanging="404"/>
        <w:spacing w:after="0"/>
        <w:tabs>
          <w:tab w:leader="none" w:pos="10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pacing w:after="0" w:line="3" w:lineRule="exact"/>
        <w:rPr>
          <w:sz w:val="20"/>
          <w:szCs w:val="20"/>
          <w:color w:val="auto"/>
        </w:rPr>
      </w:pPr>
    </w:p>
    <w:p>
      <w:pPr>
        <w:ind w:right="60" w:firstLine="1296"/>
        <w:spacing w:after="0" w:line="251"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Separation from Service; Required Delay in Payment to Specified Employee.</w:t>
      </w:r>
      <w:r>
        <w:rPr>
          <w:rFonts w:ascii="Times New Roman" w:cs="Times New Roman" w:eastAsia="Times New Roman" w:hAnsi="Times New Roman"/>
          <w:sz w:val="18"/>
          <w:szCs w:val="18"/>
          <w:color w:val="auto"/>
        </w:rPr>
        <w:t xml:space="preserve"> 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18"/>
          <w:szCs w:val="18"/>
          <w:b w:val="1"/>
          <w:bCs w:val="1"/>
          <w:i w:val="1"/>
          <w:iCs w:val="1"/>
          <w:color w:val="auto"/>
        </w:rPr>
        <w:t>Section 409A Regulations</w:t>
      </w:r>
      <w:r>
        <w:rPr>
          <w:rFonts w:ascii="Times New Roman" w:cs="Times New Roman" w:eastAsia="Times New Roman" w:hAnsi="Times New Roman"/>
          <w:sz w:val="18"/>
          <w:szCs w:val="18"/>
          <w:color w:val="auto"/>
        </w:rPr>
        <w:t>”)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18"/>
          <w:szCs w:val="18"/>
          <w:b w:val="1"/>
          <w:bCs w:val="1"/>
          <w:i w:val="1"/>
          <w:iCs w:val="1"/>
          <w:color w:val="auto"/>
        </w:rPr>
        <w:t>Delayed Payment Date</w:t>
      </w:r>
      <w:r>
        <w:rPr>
          <w:rFonts w:ascii="Times New Roman" w:cs="Times New Roman" w:eastAsia="Times New Roman" w:hAnsi="Times New Roman"/>
          <w:sz w:val="18"/>
          <w:szCs w:val="18"/>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89" w:lineRule="exact"/>
        <w:rPr>
          <w:sz w:val="20"/>
          <w:szCs w:val="20"/>
          <w:color w:val="auto"/>
        </w:rPr>
      </w:pPr>
    </w:p>
    <w:p>
      <w:pPr>
        <w:ind w:right="34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color w:val="auto"/>
        </w:rPr>
        <w:t>Other Changes in Time of Payment.</w:t>
      </w:r>
      <w:r>
        <w:rPr>
          <w:rFonts w:ascii="Times New Roman" w:cs="Times New Roman" w:eastAsia="Times New Roman" w:hAnsi="Times New Roman"/>
          <w:sz w:val="18"/>
          <w:szCs w:val="18"/>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55"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b w:val="1"/>
          <w:bCs w:val="1"/>
          <w:color w:val="auto"/>
        </w:rPr>
        <w:t>Amendments to Comply with Section 409A; Indemnification.</w:t>
      </w:r>
      <w:r>
        <w:rPr>
          <w:rFonts w:ascii="Times New Roman" w:cs="Times New Roman" w:eastAsia="Times New Roman" w:hAnsi="Times New Roman"/>
          <w:sz w:val="18"/>
          <w:szCs w:val="18"/>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82"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b w:val="1"/>
          <w:bCs w:val="1"/>
          <w:color w:val="auto"/>
        </w:rPr>
        <w:t>Advice of Independent Tax Advisor.</w:t>
      </w:r>
      <w:r>
        <w:rPr>
          <w:rFonts w:ascii="Times New Roman" w:cs="Times New Roman" w:eastAsia="Times New Roman" w:hAnsi="Times New Roman"/>
          <w:sz w:val="18"/>
          <w:szCs w:val="18"/>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79" w:lineRule="exact"/>
        <w:rPr>
          <w:sz w:val="20"/>
          <w:szCs w:val="20"/>
          <w:color w:val="auto"/>
        </w:rPr>
      </w:pPr>
    </w:p>
    <w:p>
      <w:pPr>
        <w:ind w:left="1060" w:hanging="404"/>
        <w:spacing w:after="0"/>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-5080</wp:posOffset>
            </wp:positionV>
            <wp:extent cx="13341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78" w:name="page79"/>
    <w:bookmarkEnd w:id="78"/>
    <w:p>
      <w:pPr>
        <w:ind w:right="10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Termination or Amendment.</w:t>
      </w:r>
      <w:r>
        <w:rPr>
          <w:rFonts w:ascii="Times New Roman" w:cs="Times New Roman" w:eastAsia="Times New Roman" w:hAnsi="Times New Roman"/>
          <w:sz w:val="18"/>
          <w:szCs w:val="18"/>
          <w:color w:val="auto"/>
        </w:rPr>
        <w:t xml:space="preserve"> 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179" w:lineRule="exact"/>
        <w:rPr>
          <w:sz w:val="20"/>
          <w:szCs w:val="20"/>
          <w:color w:val="auto"/>
        </w:rPr>
      </w:pPr>
    </w:p>
    <w:p>
      <w:pPr>
        <w:ind w:right="6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Nontransferability of the Award.</w:t>
      </w:r>
      <w:r>
        <w:rPr>
          <w:rFonts w:ascii="Times New Roman" w:cs="Times New Roman" w:eastAsia="Times New Roman" w:hAnsi="Times New Roman"/>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76" w:lineRule="exact"/>
        <w:rPr>
          <w:sz w:val="20"/>
          <w:szCs w:val="20"/>
          <w:color w:val="auto"/>
        </w:rPr>
      </w:pPr>
    </w:p>
    <w:p>
      <w:pPr>
        <w:ind w:right="68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b w:val="1"/>
          <w:bCs w:val="1"/>
          <w:color w:val="auto"/>
        </w:rPr>
        <w:t>Further Instruments.</w:t>
      </w:r>
      <w:r>
        <w:rPr>
          <w:rFonts w:ascii="Times New Roman" w:cs="Times New Roman" w:eastAsia="Times New Roman" w:hAnsi="Times New Roman"/>
          <w:sz w:val="18"/>
          <w:szCs w:val="18"/>
          <w:color w:val="auto"/>
        </w:rPr>
        <w:t xml:space="preserve"> The parties hereto agree to execute such further instruments and to take such further action as may reasonably be necessary to carry out the intent of this Agreement.</w:t>
      </w:r>
    </w:p>
    <w:p>
      <w:pPr>
        <w:spacing w:after="0" w:line="155" w:lineRule="exact"/>
        <w:rPr>
          <w:sz w:val="20"/>
          <w:szCs w:val="20"/>
          <w:color w:val="auto"/>
        </w:rPr>
      </w:pPr>
    </w:p>
    <w:p>
      <w:pPr>
        <w:jc w:val="both"/>
        <w:ind w:right="560" w:firstLine="1296"/>
        <w:spacing w:after="0" w:line="317"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b w:val="1"/>
          <w:bCs w:val="1"/>
          <w:color w:val="auto"/>
        </w:rPr>
        <w:t>Binding Effect.</w:t>
      </w:r>
      <w:r>
        <w:rPr>
          <w:rFonts w:ascii="Times New Roman" w:cs="Times New Roman" w:eastAsia="Times New Roman" w:hAnsi="Times New Roman"/>
          <w:sz w:val="17"/>
          <w:szCs w:val="17"/>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32"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b w:val="1"/>
          <w:bCs w:val="1"/>
          <w:color w:val="auto"/>
        </w:rPr>
        <w:t>Delivery of Documents and Notices.</w:t>
      </w:r>
      <w:r>
        <w:rPr>
          <w:rFonts w:ascii="Times New Roman" w:cs="Times New Roman" w:eastAsia="Times New Roman" w:hAnsi="Times New Roman"/>
          <w:sz w:val="18"/>
          <w:szCs w:val="18"/>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82" w:lineRule="exact"/>
        <w:rPr>
          <w:sz w:val="20"/>
          <w:szCs w:val="20"/>
          <w:color w:val="auto"/>
        </w:rPr>
      </w:pPr>
    </w:p>
    <w:p>
      <w:pPr>
        <w:ind w:firstLine="1952"/>
        <w:spacing w:after="0" w:line="256" w:lineRule="auto"/>
        <w:tabs>
          <w:tab w:leader="none" w:pos="23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Description of Electronic Delivery and Signature. </w:t>
      </w:r>
      <w:r>
        <w:rPr>
          <w:rFonts w:ascii="Times New Roman" w:cs="Times New Roman" w:eastAsia="Times New Roman" w:hAnsi="Times New Roman"/>
          <w:sz w:val="18"/>
          <w:szCs w:val="18"/>
          <w:color w:val="auto"/>
        </w:rPr>
        <w:t>The Plan documents, which may include but do not necessarily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82" w:lineRule="exact"/>
        <w:rPr>
          <w:rFonts w:ascii="Times New Roman" w:cs="Times New Roman" w:eastAsia="Times New Roman" w:hAnsi="Times New Roman"/>
          <w:sz w:val="18"/>
          <w:szCs w:val="18"/>
          <w:color w:val="auto"/>
        </w:rPr>
      </w:pPr>
    </w:p>
    <w:p>
      <w:pPr>
        <w:ind w:right="60" w:firstLine="1952"/>
        <w:spacing w:after="0" w:line="253" w:lineRule="auto"/>
        <w:tabs>
          <w:tab w:leader="none" w:pos="233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Consent to Electronic Delivery and Signature. </w:t>
      </w:r>
      <w:r>
        <w:rPr>
          <w:rFonts w:ascii="Times New Roman" w:cs="Times New Roman" w:eastAsia="Times New Roman" w:hAnsi="Times New Roman"/>
          <w:sz w:val="18"/>
          <w:szCs w:val="18"/>
          <w:color w:val="auto"/>
        </w:rPr>
        <w:t>The Participant acknowledges that the Participant has read Section 13.5(a)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90" w:lineRule="exact"/>
        <w:rPr>
          <w:sz w:val="20"/>
          <w:szCs w:val="20"/>
          <w:color w:val="auto"/>
        </w:rPr>
      </w:pPr>
    </w:p>
    <w:p>
      <w:pPr>
        <w:ind w:right="26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b w:val="1"/>
          <w:bCs w:val="1"/>
          <w:color w:val="auto"/>
        </w:rPr>
        <w:t>Integrated Agreement.</w:t>
      </w:r>
      <w:r>
        <w:rPr>
          <w:rFonts w:ascii="Times New Roman" w:cs="Times New Roman" w:eastAsia="Times New Roman" w:hAnsi="Times New Roman"/>
          <w:sz w:val="18"/>
          <w:szCs w:val="18"/>
          <w:color w:val="auto"/>
        </w:rPr>
        <w:t xml:space="preserve"> 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79" w:lineRule="exact"/>
        <w:rPr>
          <w:sz w:val="20"/>
          <w:szCs w:val="20"/>
          <w:color w:val="auto"/>
        </w:rPr>
      </w:pPr>
    </w:p>
    <w:p>
      <w:pPr>
        <w:ind w:right="18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xml:space="preserve"> This Agreement shall be governed by the laws of the State of Delaware as such laws are applied to agreements between Delaware residents entered into and to be performed entirely within the State of Delaware.</w:t>
      </w:r>
    </w:p>
    <w:p>
      <w:pPr>
        <w:spacing w:after="0" w:line="155" w:lineRule="exact"/>
        <w:rPr>
          <w:sz w:val="20"/>
          <w:szCs w:val="20"/>
          <w:color w:val="auto"/>
        </w:rPr>
      </w:pPr>
    </w:p>
    <w:p>
      <w:pPr>
        <w:ind w:right="34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The Grant Notice may be executed in counterparts, each of which shall be deemed an original, but all of which together shall constitute one and the same instrument.</w:t>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2"/>
          <w:szCs w:val="22"/>
          <w:b w:val="1"/>
          <w:bCs w:val="1"/>
          <w:color w:val="auto"/>
        </w:rPr>
        <w:t>PALOMAR HOLDINGS,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GRANT OF RESTRICTED STOCK UNITS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U.S. 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Palomar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an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of certain units pursuant to the Palomar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each of which represents the right to receive on the applicable Settlement Date one (1) share of Stock,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9" w:lineRule="exact"/>
        <w:rPr>
          <w:sz w:val="20"/>
          <w:szCs w:val="20"/>
          <w:color w:val="auto"/>
        </w:rPr>
      </w:pPr>
    </w:p>
    <w:p>
      <w:pPr>
        <w:jc w:val="both"/>
        <w:ind w:left="2000" w:right="2660" w:hanging="1983"/>
        <w:spacing w:after="0" w:line="250"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Total Number of Units:</w:t>
      </w:r>
      <w:r>
        <w:rPr>
          <w:sz w:val="20"/>
          <w:szCs w:val="20"/>
          <w:color w:val="auto"/>
        </w:rPr>
        <w:tab/>
      </w:r>
      <w:r>
        <w:rPr>
          <w:rFonts w:ascii="Times New Roman" w:cs="Times New Roman" w:eastAsia="Times New Roman" w:hAnsi="Times New Roman"/>
          <w:sz w:val="18"/>
          <w:szCs w:val="18"/>
          <w:color w:val="auto"/>
        </w:rPr>
        <w:t>TOTAL_SHARES_GRANTED, (each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subject to adjustment as provided by the Restricted Stock Units Agreement.</w:t>
      </w:r>
    </w:p>
    <w:p>
      <w:pPr>
        <w:spacing w:after="0" w:line="1" w:lineRule="exact"/>
        <w:rPr>
          <w:sz w:val="20"/>
          <w:szCs w:val="20"/>
          <w:color w:val="auto"/>
        </w:rPr>
      </w:pPr>
    </w:p>
    <w:p>
      <w:pPr>
        <w:jc w:val="both"/>
        <w:ind w:left="2000" w:right="2660" w:hanging="1983"/>
        <w:spacing w:after="0" w:line="250"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Settlement Date:</w:t>
      </w:r>
      <w:r>
        <w:rPr>
          <w:sz w:val="20"/>
          <w:szCs w:val="20"/>
          <w:color w:val="auto"/>
        </w:rPr>
        <w:tab/>
      </w:r>
      <w:r>
        <w:rPr>
          <w:rFonts w:ascii="Times New Roman" w:cs="Times New Roman" w:eastAsia="Times New Roman" w:hAnsi="Times New Roman"/>
          <w:sz w:val="18"/>
          <w:szCs w:val="18"/>
          <w:color w:val="auto"/>
        </w:rPr>
        <w:t>Except as provided by the Restricted Stock Units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date on which a Unit becomes a Vested Unit.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p>
      <w:pPr>
        <w:spacing w:after="0" w:line="9" w:lineRule="exact"/>
        <w:rPr>
          <w:sz w:val="20"/>
          <w:szCs w:val="20"/>
          <w:color w:val="auto"/>
        </w:rPr>
      </w:pPr>
    </w:p>
    <w:p>
      <w:pPr>
        <w:jc w:val="both"/>
        <w:ind w:left="2000" w:right="2660" w:hanging="1983"/>
        <w:spacing w:after="0" w:line="250"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Vested Shares:</w:t>
      </w:r>
      <w:r>
        <w:rPr>
          <w:sz w:val="20"/>
          <w:szCs w:val="20"/>
          <w:color w:val="auto"/>
        </w:rPr>
        <w:tab/>
      </w:r>
      <w:r>
        <w:rPr>
          <w:rFonts w:ascii="Times New Roman" w:cs="Times New Roman" w:eastAsia="Times New Roman" w:hAnsi="Times New Roman"/>
          <w:sz w:val="18"/>
          <w:szCs w:val="18"/>
          <w:color w:val="auto"/>
        </w:rPr>
        <w:t>Except as provided in the Restricted Stock Units Agreement and provided that the Participant’s Service has not terminated prior to the applicable date, the number of Vested Units (disregarding any resulting fractional Unit) as of any date is determined by multiplying the Total Number of Units by the “</w:t>
      </w:r>
      <w:r>
        <w:rPr>
          <w:rFonts w:ascii="Times New Roman" w:cs="Times New Roman" w:eastAsia="Times New Roman" w:hAnsi="Times New Roman"/>
          <w:sz w:val="18"/>
          <w:szCs w:val="18"/>
          <w:b w:val="1"/>
          <w:bCs w:val="1"/>
          <w:i w:val="1"/>
          <w:iCs w:val="1"/>
          <w:color w:val="auto"/>
        </w:rPr>
        <w:t>Vested Ratio</w:t>
      </w:r>
      <w:r>
        <w:rPr>
          <w:rFonts w:ascii="Times New Roman" w:cs="Times New Roman" w:eastAsia="Times New Roman" w:hAnsi="Times New Roman"/>
          <w:sz w:val="18"/>
          <w:szCs w:val="18"/>
          <w:color w:val="auto"/>
        </w:rPr>
        <w:t>” determined as of such date, as follows:</w:t>
      </w:r>
    </w:p>
    <w:p>
      <w:pPr>
        <w:spacing w:after="0" w:line="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u w:val="single" w:color="auto"/>
          <w:color w:val="auto"/>
        </w:rPr>
        <w:t>Vested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Superseding Agreement: </w:t>
      </w: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1760" w:right="160" w:hanging="1943"/>
        <w:spacing w:after="0" w:line="282" w:lineRule="auto"/>
        <w:tabs>
          <w:tab w:leader="none" w:pos="1740" w:val="left"/>
        </w:tabs>
        <w:rPr>
          <w:sz w:val="20"/>
          <w:szCs w:val="20"/>
          <w:color w:val="auto"/>
        </w:rPr>
      </w:pPr>
      <w:r>
        <w:rPr>
          <w:rFonts w:ascii="Times New Roman" w:cs="Times New Roman" w:eastAsia="Times New Roman" w:hAnsi="Times New Roman"/>
          <w:sz w:val="18"/>
          <w:szCs w:val="18"/>
          <w:b w:val="1"/>
          <w:bCs w:val="1"/>
          <w:color w:val="auto"/>
        </w:rPr>
        <w:t>Tax Withholding:</w:t>
      </w:r>
      <w:r>
        <w:rPr>
          <w:sz w:val="20"/>
          <w:szCs w:val="20"/>
          <w:color w:val="auto"/>
        </w:rPr>
        <w:tab/>
      </w:r>
      <w:r>
        <w:rPr>
          <w:rFonts w:ascii="Times New Roman" w:cs="Times New Roman" w:eastAsia="Times New Roman" w:hAnsi="Times New Roman"/>
          <w:sz w:val="18"/>
          <w:szCs w:val="18"/>
          <w:color w:val="auto"/>
        </w:rPr>
        <w:t>All tax withholding obligations shall be satisfied by deducting from the shares of Stock otherwise deliverable to the Participant in settlement of the Award as permitted by Section 7.2 of the Agreement.</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and by the Superseding Agreement, if any.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tbl>
      <w:tblPr>
        <w:tblLayout w:type="fixed"/>
        <w:tblInd w:w="0" w:type="dxa"/>
        <w:tblCellMar>
          <w:top w:w="0" w:type="dxa"/>
          <w:left w:w="0" w:type="dxa"/>
          <w:bottom w:w="0" w:type="dxa"/>
          <w:right w:w="0" w:type="dxa"/>
        </w:tblCellMar>
      </w:tblPr>
      <w:tr>
        <w:trPr>
          <w:trHeight w:val="203"/>
        </w:trPr>
        <w:tc>
          <w:tcPr>
            <w:tcW w:w="318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PALOMAR HOLDINGS, INC.</w:t>
            </w:r>
          </w:p>
        </w:tc>
        <w:tc>
          <w:tcPr>
            <w:tcW w:w="2320" w:type="dxa"/>
            <w:vAlign w:val="bottom"/>
          </w:tcPr>
          <w:p>
            <w:pPr>
              <w:ind w:left="1200"/>
              <w:spacing w:after="0" w:line="203" w:lineRule="exact"/>
              <w:rPr>
                <w:sz w:val="20"/>
                <w:szCs w:val="20"/>
                <w:color w:val="auto"/>
              </w:rPr>
            </w:pPr>
            <w:r>
              <w:rPr>
                <w:rFonts w:ascii="Times New Roman" w:cs="Times New Roman" w:eastAsia="Times New Roman" w:hAnsi="Times New Roman"/>
                <w:sz w:val="18"/>
                <w:szCs w:val="18"/>
                <w:color w:val="auto"/>
                <w:w w:val="93"/>
              </w:rPr>
              <w:t>PARTICIPANT</w:t>
            </w:r>
          </w:p>
        </w:tc>
      </w:tr>
      <w:tr>
        <w:trPr>
          <w:trHeight w:val="194"/>
        </w:trPr>
        <w:tc>
          <w:tcPr>
            <w:tcW w:w="31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By:  /s/ Mac Armstrong</w:t>
            </w:r>
          </w:p>
        </w:tc>
        <w:tc>
          <w:tcPr>
            <w:tcW w:w="23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Signature:</w:t>
            </w:r>
          </w:p>
        </w:tc>
      </w:tr>
      <w:tr>
        <w:trPr>
          <w:trHeight w:val="218"/>
        </w:trPr>
        <w:tc>
          <w:tcPr>
            <w:tcW w:w="260" w:type="dxa"/>
            <w:vAlign w:val="bottom"/>
          </w:tcPr>
          <w:p>
            <w:pPr>
              <w:spacing w:after="0"/>
              <w:rPr>
                <w:sz w:val="18"/>
                <w:szCs w:val="18"/>
                <w:color w:val="auto"/>
              </w:rPr>
            </w:pPr>
          </w:p>
        </w:tc>
        <w:tc>
          <w:tcPr>
            <w:tcW w:w="19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Mac Armstrong</w:t>
            </w: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2320" w:type="dxa"/>
            <w:vAlign w:val="bottom"/>
          </w:tcPr>
          <w:p>
            <w:pPr>
              <w:spacing w:after="0"/>
              <w:rPr>
                <w:sz w:val="18"/>
                <w:szCs w:val="18"/>
                <w:color w:val="auto"/>
              </w:rPr>
            </w:pPr>
          </w:p>
        </w:tc>
      </w:tr>
      <w:tr>
        <w:trPr>
          <w:trHeight w:val="216"/>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 7979 Ivanhoe Avenue, Suite 500</w:t>
            </w: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Address:</w:t>
            </w:r>
          </w:p>
        </w:tc>
      </w:tr>
      <w:tr>
        <w:trPr>
          <w:trHeight w:val="234"/>
        </w:trPr>
        <w:tc>
          <w:tcPr>
            <w:tcW w:w="260" w:type="dxa"/>
            <w:vAlign w:val="bottom"/>
          </w:tcPr>
          <w:p>
            <w:pPr>
              <w:spacing w:after="0"/>
              <w:rPr>
                <w:sz w:val="20"/>
                <w:szCs w:val="20"/>
                <w:color w:val="auto"/>
              </w:rPr>
            </w:pPr>
          </w:p>
        </w:tc>
        <w:tc>
          <w:tcPr>
            <w:tcW w:w="2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La Jolla, CA 92037</w:t>
            </w:r>
          </w:p>
        </w:tc>
        <w:tc>
          <w:tcPr>
            <w:tcW w:w="2320" w:type="dxa"/>
            <w:vAlign w:val="bottom"/>
          </w:tcPr>
          <w:p>
            <w:pPr>
              <w:spacing w:after="0"/>
              <w:rPr>
                <w:sz w:val="20"/>
                <w:szCs w:val="20"/>
                <w:color w:val="auto"/>
              </w:rPr>
            </w:pPr>
          </w:p>
        </w:tc>
      </w:tr>
    </w:tbl>
    <w:p>
      <w:pPr>
        <w:ind w:right="2900"/>
        <w:spacing w:after="0" w:line="260" w:lineRule="auto"/>
        <w:rPr>
          <w:sz w:val="20"/>
          <w:szCs w:val="20"/>
          <w:color w:val="auto"/>
        </w:rPr>
      </w:pPr>
      <w:r>
        <w:rPr>
          <w:rFonts w:ascii="Times New Roman" w:cs="Times New Roman" w:eastAsia="Times New Roman" w:hAnsi="Times New Roman"/>
          <w:sz w:val="18"/>
          <w:szCs w:val="18"/>
          <w:color w:val="auto"/>
        </w:rPr>
        <w:t>ATTACHMENTS: 2019 Equity Incentive Plan, as amended to the Date of Grant; Restricted Stock Units Agreement and Plan Prospectus</w:t>
      </w:r>
    </w:p>
    <w:p>
      <w:pPr>
        <w:sectPr>
          <w:pgSz w:w="11900" w:h="16838" w:orient="portrait"/>
          <w:cols w:equalWidth="0" w:num="1">
            <w:col w:w="11240"/>
          </w:cols>
          <w:pgMar w:left="320" w:top="54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b w:val="1"/>
          <w:bCs w:val="1"/>
          <w:color w:val="auto"/>
        </w:rPr>
        <w:t>PALOMAR HOLDINGS,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U.S. Participants)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Palomar Holdings, Inc. has granted to the Participant named in the </w:t>
      </w:r>
      <w:r>
        <w:rPr>
          <w:rFonts w:ascii="Times New Roman" w:cs="Times New Roman" w:eastAsia="Times New Roman" w:hAnsi="Times New Roman"/>
          <w:sz w:val="18"/>
          <w:szCs w:val="18"/>
          <w:i w:val="1"/>
          <w:iCs w:val="1"/>
          <w:color w:val="auto"/>
        </w:rPr>
        <w:t>Notice of Grant of Restricted Stock Units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to which this Restricted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attached an Award consisting of Restricted Stock Units (each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subject to the terms and conditions set forth in the Grant Notice and this Agreement. The Award has been granted pursuant to and shall in all respects be subject to the terms and conditions of the Palomar Holdings, Inc. 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18"/>
          <w:szCs w:val="18"/>
          <w:b w:val="1"/>
          <w:bCs w:val="1"/>
          <w:i w:val="1"/>
          <w:iCs w:val="1"/>
          <w:color w:val="auto"/>
        </w:rPr>
        <w:t>Plan Prospectus</w:t>
      </w:r>
      <w:r>
        <w:rPr>
          <w:rFonts w:ascii="Times New Roman" w:cs="Times New Roman" w:eastAsia="Times New Roman" w:hAnsi="Times New Roman"/>
          <w:sz w:val="18"/>
          <w:szCs w:val="18"/>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88" w:lineRule="exact"/>
        <w:rPr>
          <w:sz w:val="20"/>
          <w:szCs w:val="20"/>
          <w:color w:val="auto"/>
        </w:rPr>
      </w:pPr>
    </w:p>
    <w:p>
      <w:pPr>
        <w:ind w:left="1540" w:hanging="308"/>
        <w:spacing w:after="0"/>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and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-5080</wp:posOffset>
            </wp:positionV>
            <wp:extent cx="15582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205"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defined herein, capitalized terms shall have the meanings assigned to such terms in the Grant Notice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Plan.</w:t>
      </w:r>
    </w:p>
    <w:p>
      <w:pPr>
        <w:spacing w:after="0" w:line="203" w:lineRule="exact"/>
        <w:rPr>
          <w:sz w:val="20"/>
          <w:szCs w:val="20"/>
          <w:color w:val="auto"/>
        </w:rPr>
      </w:pPr>
    </w:p>
    <w:p>
      <w:pPr>
        <w:ind w:right="28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1" w:lineRule="exact"/>
        <w:rPr>
          <w:sz w:val="20"/>
          <w:szCs w:val="20"/>
          <w:color w:val="auto"/>
        </w:rPr>
      </w:pPr>
    </w:p>
    <w:p>
      <w:pPr>
        <w:ind w:left="1540" w:hanging="308"/>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por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88" w:lineRule="exact"/>
        <w:rPr>
          <w:sz w:val="20"/>
          <w:szCs w:val="20"/>
          <w:color w:val="auto"/>
        </w:rPr>
      </w:pPr>
    </w:p>
    <w:p>
      <w:pPr>
        <w:ind w:left="1540" w:hanging="308"/>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-5080</wp:posOffset>
            </wp:positionV>
            <wp:extent cx="6591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59130" cy="8890"/>
                    </a:xfrm>
                    <a:prstGeom prst="rect">
                      <a:avLst/>
                    </a:prstGeom>
                    <a:noFill/>
                  </pic:spPr>
                </pic:pic>
              </a:graphicData>
            </a:graphic>
          </wp:anchor>
        </w:drawing>
      </w:r>
    </w:p>
    <w:p>
      <w:pPr>
        <w:spacing w:after="0" w:line="205" w:lineRule="exact"/>
        <w:rPr>
          <w:sz w:val="20"/>
          <w:szCs w:val="20"/>
          <w:color w:val="auto"/>
        </w:rPr>
      </w:pPr>
    </w:p>
    <w:p>
      <w:pPr>
        <w:ind w:right="16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Grant of Units.</w:t>
      </w:r>
      <w:r>
        <w:rPr>
          <w:rFonts w:ascii="Times New Roman" w:cs="Times New Roman" w:eastAsia="Times New Roman" w:hAnsi="Times New Roman"/>
          <w:sz w:val="18"/>
          <w:szCs w:val="18"/>
          <w:color w:val="auto"/>
        </w:rPr>
        <w:t xml:space="preserve"> On the Date of Grant, the Participant shall acquire, subject to the provisions of this Agreement, the Total Number of Units set forth in the Grant Notice, subject to adjustment as provided in Section 9. Each Unit represents a right to receive on a date determined in accordance with the Grant Notice and this Agreement one (1) share of Stock.</w:t>
      </w:r>
    </w:p>
    <w:p>
      <w:pPr>
        <w:spacing w:after="0" w:line="171" w:lineRule="exact"/>
        <w:rPr>
          <w:sz w:val="20"/>
          <w:szCs w:val="20"/>
          <w:color w:val="auto"/>
        </w:rPr>
      </w:pPr>
    </w:p>
    <w:p>
      <w:pPr>
        <w:ind w:right="12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No Monetary Payment Required.</w:t>
      </w:r>
      <w:r>
        <w:rPr>
          <w:rFonts w:ascii="Times New Roman" w:cs="Times New Roman" w:eastAsia="Times New Roman" w:hAnsi="Times New Roman"/>
          <w:sz w:val="18"/>
          <w:szCs w:val="18"/>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79" w:lineRule="exact"/>
        <w:rPr>
          <w:sz w:val="20"/>
          <w:szCs w:val="20"/>
          <w:color w:val="auto"/>
        </w:rPr>
      </w:pPr>
    </w:p>
    <w:p>
      <w:pPr>
        <w:ind w:left="1540" w:hanging="308"/>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of Units.</w:t>
      </w:r>
    </w:p>
    <w:p>
      <w:pPr>
        <w:spacing w:after="0" w:line="229"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Units acquired pursuant to this Agreement shall become Vested Units as provided in the Grant Notice. For purposes of determining the number of Vested Units following an Ownership Change Event, credited Service shall include all Service with any Company which is a Participating Company at the time the Service is rendered, whether or not such Company is a Participating Company both before and after the Ownership Change Event.</w:t>
      </w:r>
    </w:p>
    <w:p>
      <w:pPr>
        <w:spacing w:after="0" w:line="172" w:lineRule="exact"/>
        <w:rPr>
          <w:sz w:val="20"/>
          <w:szCs w:val="20"/>
          <w:color w:val="auto"/>
        </w:rPr>
      </w:pPr>
    </w:p>
    <w:p>
      <w:pPr>
        <w:ind w:left="1540" w:hanging="308"/>
        <w:spacing w:after="0"/>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Reacquisition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-5080</wp:posOffset>
            </wp:positionV>
            <wp:extent cx="15868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586865" cy="8255"/>
                    </a:xfrm>
                    <a:prstGeom prst="rect">
                      <a:avLst/>
                    </a:prstGeom>
                    <a:noFill/>
                  </pic:spPr>
                </pic:pic>
              </a:graphicData>
            </a:graphic>
          </wp:anchor>
        </w:drawing>
      </w:r>
    </w:p>
    <w:p>
      <w:pPr>
        <w:spacing w:after="0" w:line="205" w:lineRule="exact"/>
        <w:rPr>
          <w:sz w:val="20"/>
          <w:szCs w:val="20"/>
          <w:color w:val="auto"/>
        </w:rPr>
      </w:pPr>
    </w:p>
    <w:p>
      <w:pPr>
        <w:ind w:right="30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Grant of Company Reacquisition Right.</w:t>
      </w:r>
      <w:r>
        <w:rPr>
          <w:rFonts w:ascii="Times New Roman" w:cs="Times New Roman" w:eastAsia="Times New Roman" w:hAnsi="Times New Roman"/>
          <w:sz w:val="18"/>
          <w:szCs w:val="18"/>
          <w:color w:val="auto"/>
        </w:rPr>
        <w:t xml:space="preserve"> Except to the extent otherwise provided by the Superseding 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18"/>
          <w:szCs w:val="18"/>
          <w:b w:val="1"/>
          <w:bCs w:val="1"/>
          <w:i w:val="1"/>
          <w:iCs w:val="1"/>
          <w:color w:val="auto"/>
        </w:rPr>
        <w:t>Unvested Units</w:t>
      </w:r>
      <w:r>
        <w:rPr>
          <w:rFonts w:ascii="Times New Roman" w:cs="Times New Roman" w:eastAsia="Times New Roman" w:hAnsi="Times New Roman"/>
          <w:sz w:val="18"/>
          <w:szCs w:val="18"/>
          <w:color w:val="auto"/>
        </w:rPr>
        <w:t>”), and the Participant shall not be entitled to any payment therefor (the “</w:t>
      </w:r>
      <w:r>
        <w:rPr>
          <w:rFonts w:ascii="Times New Roman" w:cs="Times New Roman" w:eastAsia="Times New Roman" w:hAnsi="Times New Roman"/>
          <w:sz w:val="18"/>
          <w:szCs w:val="18"/>
          <w:b w:val="1"/>
          <w:bCs w:val="1"/>
          <w:i w:val="1"/>
          <w:iCs w:val="1"/>
          <w:color w:val="auto"/>
        </w:rPr>
        <w:t>Company Reacquisition Right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Ownership Change Event, Non-Cash Dividends, Distributions and Adjustments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Company which is a Participating Company at the time the Service is rendered, whether or not such Company is a Participating Company both before and after any such event.</w:t>
      </w:r>
    </w:p>
    <w:p>
      <w:pPr>
        <w:spacing w:after="0" w:line="188" w:lineRule="exact"/>
        <w:rPr>
          <w:sz w:val="20"/>
          <w:szCs w:val="20"/>
          <w:color w:val="auto"/>
        </w:rPr>
      </w:pPr>
    </w:p>
    <w:p>
      <w:pPr>
        <w:ind w:left="1540" w:hanging="308"/>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-5080</wp:posOffset>
            </wp:positionV>
            <wp:extent cx="12954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ectPr>
          <w:pgSz w:w="11900" w:h="16838" w:orient="portrait"/>
          <w:cols w:equalWidth="0" w:num="1">
            <w:col w:w="11240"/>
          </w:cols>
          <w:pgMar w:left="320" w:top="567" w:right="339" w:bottom="100" w:gutter="0" w:footer="0" w:header="0"/>
        </w:sectPr>
      </w:pPr>
    </w:p>
    <w:bookmarkStart w:id="81" w:name="page82"/>
    <w:bookmarkEnd w:id="81"/>
    <w:p>
      <w:pPr>
        <w:ind w:right="200" w:firstLine="1296"/>
        <w:spacing w:after="0" w:line="28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b w:val="1"/>
          <w:bCs w:val="1"/>
          <w:color w:val="auto"/>
        </w:rPr>
        <w:t>Issuance of Shares of Stock</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The “Settlement Date” with respect to a Vested Unit will be the date on which such Unit becomes a Vested Unit or as soon as administratively practicable but no later within 30 days thereafter. The Company shall deliver to the Participant a number of shares of Stock equal to the number of Vested Units subject to this Award. Shares of Stock issued in settlement of Units shall not be subject to any restriction on transfer other than any such restriction as may be required pursuant to Section 6.3, Section 7 or the Company’s Trading Compliance Policy.</w:t>
      </w:r>
    </w:p>
    <w:p>
      <w:pPr>
        <w:spacing w:after="0" w:line="161" w:lineRule="exact"/>
        <w:rPr>
          <w:sz w:val="20"/>
          <w:szCs w:val="20"/>
          <w:color w:val="auto"/>
        </w:rPr>
      </w:pPr>
    </w:p>
    <w:p>
      <w:pPr>
        <w:ind w:right="10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Beneficial Ownership of Shares; Certificate Registration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7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Restrictions on Grant of the Award and Issuance of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88" w:lineRule="exact"/>
        <w:rPr>
          <w:sz w:val="20"/>
          <w:szCs w:val="20"/>
          <w:color w:val="auto"/>
        </w:rPr>
      </w:pPr>
    </w:p>
    <w:p>
      <w:pPr>
        <w:jc w:val="center"/>
        <w:ind w:right="-59"/>
        <w:spacing w:after="0"/>
        <w:tabs>
          <w:tab w:leader="none" w:pos="1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b w:val="1"/>
          <w:bCs w:val="1"/>
          <w:color w:val="auto"/>
        </w:rPr>
        <w:t>Fractional Shares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shall not be required to issue fractional shares upon the settlement of the Award.</w:t>
      </w:r>
    </w:p>
    <w:p>
      <w:pPr>
        <w:spacing w:after="0" w:line="225" w:lineRule="exact"/>
        <w:rPr>
          <w:sz w:val="20"/>
          <w:szCs w:val="20"/>
          <w:color w:val="auto"/>
        </w:rPr>
      </w:pPr>
    </w:p>
    <w:p>
      <w:pPr>
        <w:ind w:left="1540" w:hanging="308"/>
        <w:spacing w:after="0"/>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-5080</wp:posOffset>
            </wp:positionV>
            <wp:extent cx="9347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209"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7.1 To the extent that the receipt, vesting or settlement of Vested Units results in compensation income or wages to the Participant for federal, state, local and/or foreign tax purposes, the Participant shall make arrangements satisfactory to the Company regarding the payment of, any income tax, social insurance contribution or other applicable taxes that are required to be withheld in respect of this Award, which arrangements include the delivery of cash or cash equivalents, shares of Stock (including previously owned shares of Stock (which is not subject to any pledge or other security interest), net settlement, a broker-assisted sale, or other cashless withholding or reduction of the amount of shares otherwise issuable or delivered pursuant to this Award), other property, or any other legal consideration the Company deems appropriate.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such tax obligations are satisfied through net settlement or the surrender of previously owned shares of Stock,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spacing w:after="0" w:line="190" w:lineRule="exact"/>
        <w:rPr>
          <w:sz w:val="20"/>
          <w:szCs w:val="20"/>
          <w:color w:val="auto"/>
        </w:rPr>
      </w:pPr>
    </w:p>
    <w:p>
      <w:pPr>
        <w:ind w:right="8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Withholding in Shares.</w:t>
      </w:r>
      <w:r>
        <w:rPr>
          <w:rFonts w:ascii="Times New Roman" w:cs="Times New Roman" w:eastAsia="Times New Roman" w:hAnsi="Times New Roman"/>
          <w:sz w:val="18"/>
          <w:szCs w:val="18"/>
          <w:color w:val="auto"/>
        </w:rPr>
        <w:t xml:space="preserve"> The Company will have the right (as determined by the Committee and as may be set forth in the Grant Notice or otherwise),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as described in Section 7.1.</w:t>
      </w:r>
    </w:p>
    <w:p>
      <w:pPr>
        <w:spacing w:after="0" w:line="179" w:lineRule="exact"/>
        <w:rPr>
          <w:sz w:val="20"/>
          <w:szCs w:val="20"/>
          <w:color w:val="auto"/>
        </w:rPr>
      </w:pPr>
    </w:p>
    <w:p>
      <w:pPr>
        <w:ind w:left="1540" w:hanging="308"/>
        <w:spacing w:after="0"/>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-5080</wp:posOffset>
            </wp:positionV>
            <wp:extent cx="14643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In the event of a Change in Control, the Award shall be subject to the definitive agreement entered into by the Company in connection with the Change in Control. Except to the extent that the Committee determines to cash out the Award in accordance with Section 13.1(c) of the Plan, the surviving, continuing, successor, or purchasing entity or parent thereof, as the case may be (the “</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of the Change in Control to the extent that Units subject to the Award are neither assumed or continued by the Acquiror in connection with the Change in Control nor settled as of the time of the Change in Control.</w:t>
      </w:r>
    </w:p>
    <w:p>
      <w:pPr>
        <w:spacing w:after="0" w:line="183" w:lineRule="exact"/>
        <w:rPr>
          <w:sz w:val="20"/>
          <w:szCs w:val="20"/>
          <w:color w:val="auto"/>
        </w:rPr>
      </w:pPr>
    </w:p>
    <w:p>
      <w:pPr>
        <w:ind w:left="1540" w:hanging="308"/>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for Changes in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-5080</wp:posOffset>
            </wp:positionV>
            <wp:extent cx="23622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spacing w:after="0" w:line="20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reinCompany,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w:t>
      </w:r>
    </w:p>
    <w:p>
      <w:pPr>
        <w:sectPr>
          <w:pgSz w:w="11900" w:h="16838" w:orient="portrait"/>
          <w:cols w:equalWidth="0" w:num="1">
            <w:col w:w="11240"/>
          </w:cols>
          <w:pgMar w:left="320" w:top="117" w:right="339" w:bottom="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76" w:lineRule="exact"/>
        <w:rPr>
          <w:sz w:val="20"/>
          <w:szCs w:val="20"/>
          <w:color w:val="auto"/>
        </w:rPr>
      </w:pPr>
    </w:p>
    <w:p>
      <w:pPr>
        <w:ind w:left="1640" w:hanging="408"/>
        <w:spacing w:after="0"/>
        <w:tabs>
          <w:tab w:leader="none" w:pos="1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Stockholder, Director, Employee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-5080</wp:posOffset>
            </wp:positionV>
            <wp:extent cx="29565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956560" cy="8255"/>
                    </a:xfrm>
                    <a:prstGeom prst="rect">
                      <a:avLst/>
                    </a:prstGeom>
                    <a:noFill/>
                  </pic:spPr>
                </pic:pic>
              </a:graphicData>
            </a:graphic>
          </wp:anchor>
        </w:drawing>
      </w:r>
    </w:p>
    <w:p>
      <w:pPr>
        <w:spacing w:after="0" w:line="20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85" w:lineRule="exact"/>
        <w:rPr>
          <w:sz w:val="20"/>
          <w:szCs w:val="20"/>
          <w:color w:val="auto"/>
        </w:rPr>
      </w:pPr>
    </w:p>
    <w:p>
      <w:pPr>
        <w:ind w:left="1620" w:hanging="388"/>
        <w:spacing w:after="0"/>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-5080</wp:posOffset>
            </wp:positionV>
            <wp:extent cx="520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20700" cy="8255"/>
                    </a:xfrm>
                    <a:prstGeom prst="rect">
                      <a:avLst/>
                    </a:prstGeom>
                    <a:noFill/>
                  </pic:spPr>
                </pic:pic>
              </a:graphicData>
            </a:graphic>
          </wp:anchor>
        </w:drawing>
      </w:r>
    </w:p>
    <w:p>
      <w:pPr>
        <w:spacing w:after="0" w:line="20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76" w:lineRule="exact"/>
        <w:rPr>
          <w:sz w:val="20"/>
          <w:szCs w:val="20"/>
          <w:color w:val="auto"/>
        </w:rPr>
      </w:pPr>
    </w:p>
    <w:p>
      <w:pPr>
        <w:ind w:left="1640" w:hanging="408"/>
        <w:spacing w:after="0"/>
        <w:tabs>
          <w:tab w:leader="none" w:pos="1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pacing w:after="0" w:line="3" w:lineRule="exact"/>
        <w:rPr>
          <w:sz w:val="20"/>
          <w:szCs w:val="20"/>
          <w:color w:val="auto"/>
        </w:rPr>
      </w:pPr>
    </w:p>
    <w:p>
      <w:pPr>
        <w:ind w:right="60" w:firstLine="1296"/>
        <w:spacing w:after="0" w:line="251"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Separation from Service; Required Delay in Payment to Specified Employee.</w:t>
      </w:r>
      <w:r>
        <w:rPr>
          <w:rFonts w:ascii="Times New Roman" w:cs="Times New Roman" w:eastAsia="Times New Roman" w:hAnsi="Times New Roman"/>
          <w:sz w:val="18"/>
          <w:szCs w:val="18"/>
          <w:color w:val="auto"/>
        </w:rPr>
        <w:t xml:space="preserve"> 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18"/>
          <w:szCs w:val="18"/>
          <w:b w:val="1"/>
          <w:bCs w:val="1"/>
          <w:i w:val="1"/>
          <w:iCs w:val="1"/>
          <w:color w:val="auto"/>
        </w:rPr>
        <w:t>Section 409A Regulations</w:t>
      </w:r>
      <w:r>
        <w:rPr>
          <w:rFonts w:ascii="Times New Roman" w:cs="Times New Roman" w:eastAsia="Times New Roman" w:hAnsi="Times New Roman"/>
          <w:sz w:val="18"/>
          <w:szCs w:val="18"/>
          <w:color w:val="auto"/>
        </w:rPr>
        <w:t>”)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18"/>
          <w:szCs w:val="18"/>
          <w:b w:val="1"/>
          <w:bCs w:val="1"/>
          <w:i w:val="1"/>
          <w:iCs w:val="1"/>
          <w:color w:val="auto"/>
        </w:rPr>
        <w:t>Delayed Payment Date</w:t>
      </w:r>
      <w:r>
        <w:rPr>
          <w:rFonts w:ascii="Times New Roman" w:cs="Times New Roman" w:eastAsia="Times New Roman" w:hAnsi="Times New Roman"/>
          <w:sz w:val="18"/>
          <w:szCs w:val="18"/>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89" w:lineRule="exact"/>
        <w:rPr>
          <w:sz w:val="20"/>
          <w:szCs w:val="20"/>
          <w:color w:val="auto"/>
        </w:rPr>
      </w:pPr>
    </w:p>
    <w:p>
      <w:pPr>
        <w:ind w:right="34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color w:val="auto"/>
        </w:rPr>
        <w:t>Other Changes in Time of Payment.</w:t>
      </w:r>
      <w:r>
        <w:rPr>
          <w:rFonts w:ascii="Times New Roman" w:cs="Times New Roman" w:eastAsia="Times New Roman" w:hAnsi="Times New Roman"/>
          <w:sz w:val="18"/>
          <w:szCs w:val="18"/>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55"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b w:val="1"/>
          <w:bCs w:val="1"/>
          <w:color w:val="auto"/>
        </w:rPr>
        <w:t>Amendments to Comply with Section 409A; Indemnification.</w:t>
      </w:r>
      <w:r>
        <w:rPr>
          <w:rFonts w:ascii="Times New Roman" w:cs="Times New Roman" w:eastAsia="Times New Roman" w:hAnsi="Times New Roman"/>
          <w:sz w:val="18"/>
          <w:szCs w:val="18"/>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82"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b w:val="1"/>
          <w:bCs w:val="1"/>
          <w:color w:val="auto"/>
        </w:rPr>
        <w:t>Advice of Independent Tax Advisor.</w:t>
      </w:r>
      <w:r>
        <w:rPr>
          <w:rFonts w:ascii="Times New Roman" w:cs="Times New Roman" w:eastAsia="Times New Roman" w:hAnsi="Times New Roman"/>
          <w:sz w:val="18"/>
          <w:szCs w:val="18"/>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79" w:lineRule="exact"/>
        <w:rPr>
          <w:sz w:val="20"/>
          <w:szCs w:val="20"/>
          <w:color w:val="auto"/>
        </w:rPr>
      </w:pPr>
    </w:p>
    <w:p>
      <w:pPr>
        <w:ind w:left="1640" w:hanging="408"/>
        <w:spacing w:after="0"/>
        <w:tabs>
          <w:tab w:leader="none" w:pos="1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-5080</wp:posOffset>
            </wp:positionV>
            <wp:extent cx="13341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205" w:lineRule="exact"/>
        <w:rPr>
          <w:sz w:val="20"/>
          <w:szCs w:val="20"/>
          <w:color w:val="auto"/>
        </w:rPr>
      </w:pPr>
    </w:p>
    <w:p>
      <w:pPr>
        <w:ind w:right="10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Termination or Amendment.</w:t>
      </w:r>
      <w:r>
        <w:rPr>
          <w:rFonts w:ascii="Times New Roman" w:cs="Times New Roman" w:eastAsia="Times New Roman" w:hAnsi="Times New Roman"/>
          <w:sz w:val="18"/>
          <w:szCs w:val="18"/>
          <w:color w:val="auto"/>
        </w:rPr>
        <w:t xml:space="preserve"> 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179" w:lineRule="exact"/>
        <w:rPr>
          <w:sz w:val="20"/>
          <w:szCs w:val="20"/>
          <w:color w:val="auto"/>
        </w:rPr>
      </w:pPr>
    </w:p>
    <w:p>
      <w:pPr>
        <w:ind w:right="6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Nontransferability of the Award.</w:t>
      </w:r>
      <w:r>
        <w:rPr>
          <w:rFonts w:ascii="Times New Roman" w:cs="Times New Roman" w:eastAsia="Times New Roman" w:hAnsi="Times New Roman"/>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76" w:lineRule="exact"/>
        <w:rPr>
          <w:sz w:val="20"/>
          <w:szCs w:val="20"/>
          <w:color w:val="auto"/>
        </w:rPr>
      </w:pPr>
    </w:p>
    <w:p>
      <w:pPr>
        <w:ind w:right="68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b w:val="1"/>
          <w:bCs w:val="1"/>
          <w:color w:val="auto"/>
        </w:rPr>
        <w:t>Further Instruments.</w:t>
      </w:r>
      <w:r>
        <w:rPr>
          <w:rFonts w:ascii="Times New Roman" w:cs="Times New Roman" w:eastAsia="Times New Roman" w:hAnsi="Times New Roman"/>
          <w:sz w:val="18"/>
          <w:szCs w:val="18"/>
          <w:color w:val="auto"/>
        </w:rPr>
        <w:t xml:space="preserve"> The parties hereto agree to execute such further instruments and to take such further action as may reasonably be necessary to carry out the intent of this Agreement.</w:t>
      </w:r>
    </w:p>
    <w:p>
      <w:pPr>
        <w:spacing w:after="0" w:line="155" w:lineRule="exact"/>
        <w:rPr>
          <w:sz w:val="20"/>
          <w:szCs w:val="20"/>
          <w:color w:val="auto"/>
        </w:rPr>
      </w:pPr>
    </w:p>
    <w:p>
      <w:pPr>
        <w:jc w:val="both"/>
        <w:ind w:right="560" w:firstLine="1296"/>
        <w:spacing w:after="0" w:line="317"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b w:val="1"/>
          <w:bCs w:val="1"/>
          <w:color w:val="auto"/>
        </w:rPr>
        <w:t>Binding Effect.</w:t>
      </w:r>
      <w:r>
        <w:rPr>
          <w:rFonts w:ascii="Times New Roman" w:cs="Times New Roman" w:eastAsia="Times New Roman" w:hAnsi="Times New Roman"/>
          <w:sz w:val="17"/>
          <w:szCs w:val="17"/>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ectPr>
          <w:pgSz w:w="11900" w:h="16838" w:orient="portrait"/>
          <w:cols w:equalWidth="0" w:num="1">
            <w:col w:w="11240"/>
          </w:cols>
          <w:pgMar w:left="320" w:top="121" w:right="339" w:bottom="0" w:gutter="0" w:footer="0" w:header="0"/>
        </w:sectPr>
      </w:pPr>
    </w:p>
    <w:bookmarkStart w:id="83" w:name="page84"/>
    <w:bookmarkEnd w:id="83"/>
    <w:p>
      <w:pPr>
        <w:ind w:right="2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b w:val="1"/>
          <w:bCs w:val="1"/>
          <w:color w:val="auto"/>
        </w:rPr>
        <w:t>Delivery of Documents and Notices.</w:t>
      </w:r>
      <w:r>
        <w:rPr>
          <w:rFonts w:ascii="Times New Roman" w:cs="Times New Roman" w:eastAsia="Times New Roman" w:hAnsi="Times New Roman"/>
          <w:sz w:val="18"/>
          <w:szCs w:val="18"/>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82" w:lineRule="exact"/>
        <w:rPr>
          <w:sz w:val="20"/>
          <w:szCs w:val="20"/>
          <w:color w:val="auto"/>
        </w:rPr>
      </w:pPr>
    </w:p>
    <w:p>
      <w:pPr>
        <w:ind w:firstLine="1952"/>
        <w:spacing w:after="0" w:line="256" w:lineRule="auto"/>
        <w:tabs>
          <w:tab w:leader="none" w:pos="232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Description of Electronic Delivery and Signature. </w:t>
      </w:r>
      <w:r>
        <w:rPr>
          <w:rFonts w:ascii="Times New Roman" w:cs="Times New Roman" w:eastAsia="Times New Roman" w:hAnsi="Times New Roman"/>
          <w:sz w:val="18"/>
          <w:szCs w:val="18"/>
          <w:color w:val="auto"/>
        </w:rPr>
        <w:t>The Plan documents, which may include but do not necessarily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82" w:lineRule="exact"/>
        <w:rPr>
          <w:rFonts w:ascii="Times New Roman" w:cs="Times New Roman" w:eastAsia="Times New Roman" w:hAnsi="Times New Roman"/>
          <w:sz w:val="18"/>
          <w:szCs w:val="18"/>
          <w:color w:val="auto"/>
        </w:rPr>
      </w:pPr>
    </w:p>
    <w:p>
      <w:pPr>
        <w:ind w:right="60" w:firstLine="1952"/>
        <w:spacing w:after="0" w:line="253" w:lineRule="auto"/>
        <w:tabs>
          <w:tab w:leader="none" w:pos="233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Consent to Electronic Delivery and Signature. </w:t>
      </w:r>
      <w:r>
        <w:rPr>
          <w:rFonts w:ascii="Times New Roman" w:cs="Times New Roman" w:eastAsia="Times New Roman" w:hAnsi="Times New Roman"/>
          <w:sz w:val="18"/>
          <w:szCs w:val="18"/>
          <w:color w:val="auto"/>
        </w:rPr>
        <w:t>The Participant acknowledges that the Participant has read Section 13.5(a)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90" w:lineRule="exact"/>
        <w:rPr>
          <w:sz w:val="20"/>
          <w:szCs w:val="20"/>
          <w:color w:val="auto"/>
        </w:rPr>
      </w:pPr>
    </w:p>
    <w:p>
      <w:pPr>
        <w:ind w:right="260"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b w:val="1"/>
          <w:bCs w:val="1"/>
          <w:color w:val="auto"/>
        </w:rPr>
        <w:t>Integrated Agreement.</w:t>
      </w:r>
      <w:r>
        <w:rPr>
          <w:rFonts w:ascii="Times New Roman" w:cs="Times New Roman" w:eastAsia="Times New Roman" w:hAnsi="Times New Roman"/>
          <w:sz w:val="18"/>
          <w:szCs w:val="18"/>
          <w:color w:val="auto"/>
        </w:rPr>
        <w:t xml:space="preserve"> 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79" w:lineRule="exact"/>
        <w:rPr>
          <w:sz w:val="20"/>
          <w:szCs w:val="20"/>
          <w:color w:val="auto"/>
        </w:rPr>
      </w:pPr>
    </w:p>
    <w:p>
      <w:pPr>
        <w:ind w:right="18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xml:space="preserve"> This Agreement shall be governed by the laws of the State of Delaware as such laws are applied to agreements between Delaware residents entered into and to be performed entirely within the State of Delaware.</w:t>
      </w:r>
    </w:p>
    <w:p>
      <w:pPr>
        <w:spacing w:after="0" w:line="155" w:lineRule="exact"/>
        <w:rPr>
          <w:sz w:val="20"/>
          <w:szCs w:val="20"/>
          <w:color w:val="auto"/>
        </w:rPr>
      </w:pPr>
    </w:p>
    <w:p>
      <w:pPr>
        <w:ind w:right="34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The Grant Notice may be executed in counterparts, each of which shall be deemed an original, but all of which together shall constitute one and the same instrument.</w:t>
      </w:r>
    </w:p>
    <w:p>
      <w:pPr>
        <w:sectPr>
          <w:pgSz w:w="11900" w:h="16838" w:orient="portrait"/>
          <w:cols w:equalWidth="0" w:num="1">
            <w:col w:w="11240"/>
          </w:cols>
          <w:pgMar w:left="320" w:top="117"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PALOMAR HOLDINGS,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GRANT OF PERFORMANCE STOCK UNITS</w:t>
      </w:r>
    </w:p>
    <w:p>
      <w:pPr>
        <w:jc w:val="center"/>
        <w:spacing w:after="0"/>
        <w:rPr>
          <w:sz w:val="20"/>
          <w:szCs w:val="20"/>
          <w:color w:val="auto"/>
        </w:rPr>
      </w:pPr>
      <w:r>
        <w:rPr>
          <w:rFonts w:ascii="Times New Roman" w:cs="Times New Roman" w:eastAsia="Times New Roman" w:hAnsi="Times New Roman"/>
          <w:sz w:val="18"/>
          <w:szCs w:val="18"/>
          <w:b w:val="1"/>
          <w:bCs w:val="1"/>
          <w:color w:val="auto"/>
        </w:rPr>
        <w:t>(For U.S.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spacing w:after="0" w:line="263" w:lineRule="auto"/>
        <w:rPr>
          <w:sz w:val="20"/>
          <w:szCs w:val="20"/>
          <w:color w:val="auto"/>
        </w:rPr>
      </w:pPr>
      <w:r>
        <w:rPr>
          <w:rFonts w:ascii="Times New Roman" w:cs="Times New Roman" w:eastAsia="Times New Roman" w:hAnsi="Times New Roman"/>
          <w:sz w:val="18"/>
          <w:szCs w:val="18"/>
          <w:color w:val="auto"/>
        </w:rPr>
        <w:t>Palomar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an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of certain Performance Stock Units pursuant to the Palomar Holdings, Inc. 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each of which represents the right to receive on the applicable Settlement Date one</w:t>
      </w:r>
    </w:p>
    <w:p>
      <w:pPr>
        <w:spacing w:after="0" w:line="1" w:lineRule="exact"/>
        <w:rPr>
          <w:sz w:val="20"/>
          <w:szCs w:val="20"/>
          <w:color w:val="auto"/>
        </w:rPr>
      </w:pPr>
    </w:p>
    <w:p>
      <w:pPr>
        <w:ind w:left="460" w:hanging="2"/>
        <w:spacing w:after="0" w:line="260" w:lineRule="auto"/>
        <w:tabs>
          <w:tab w:leader="none" w:pos="7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Stock, as follows. Capitalized terms used herein and not otherwise defined have the meanings set forth in the Plan or the Performance Stock Units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Participant: Employee ID:</w:t>
            </w:r>
          </w:p>
        </w:tc>
        <w:tc>
          <w:tcPr>
            <w:tcW w:w="1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1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Target Number of Units:</w:t>
            </w:r>
          </w:p>
        </w:tc>
        <w:tc>
          <w:tcPr>
            <w:tcW w:w="870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w w:val="99"/>
              </w:rPr>
              <w:t>TOTAL_SHARES_GRANTED, (each a “</w:t>
            </w:r>
            <w:r>
              <w:rPr>
                <w:rFonts w:ascii="Times New Roman" w:cs="Times New Roman" w:eastAsia="Times New Roman" w:hAnsi="Times New Roman"/>
                <w:sz w:val="18"/>
                <w:szCs w:val="18"/>
                <w:b w:val="1"/>
                <w:bCs w:val="1"/>
                <w:i w:val="1"/>
                <w:iCs w:val="1"/>
                <w:color w:val="auto"/>
                <w:w w:val="99"/>
              </w:rPr>
              <w:t>Unit</w:t>
            </w:r>
            <w:r>
              <w:rPr>
                <w:rFonts w:ascii="Times New Roman" w:cs="Times New Roman" w:eastAsia="Times New Roman" w:hAnsi="Times New Roman"/>
                <w:sz w:val="18"/>
                <w:szCs w:val="18"/>
                <w:color w:val="auto"/>
                <w:w w:val="99"/>
              </w:rPr>
              <w:t>”), subject to adjustment as provided by the Performance Stock Units</w:t>
            </w:r>
          </w:p>
        </w:tc>
      </w:tr>
      <w:tr>
        <w:trPr>
          <w:trHeight w:val="234"/>
        </w:trPr>
        <w:tc>
          <w:tcPr>
            <w:tcW w:w="2480" w:type="dxa"/>
            <w:vAlign w:val="bottom"/>
          </w:tcPr>
          <w:p>
            <w:pPr>
              <w:spacing w:after="0"/>
              <w:rPr>
                <w:sz w:val="20"/>
                <w:szCs w:val="20"/>
                <w:color w:val="auto"/>
              </w:rPr>
            </w:pPr>
          </w:p>
        </w:tc>
        <w:tc>
          <w:tcPr>
            <w:tcW w:w="870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Agreement. Each Unit shall be a Performance Share for purposes of the Plan.</w:t>
            </w:r>
          </w:p>
        </w:tc>
      </w:tr>
      <w:tr>
        <w:trPr>
          <w:trHeight w:val="41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1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8"/>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Maximum Number of Units:</w:t>
            </w:r>
          </w:p>
        </w:tc>
        <w:tc>
          <w:tcPr>
            <w:tcW w:w="870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 of Target Number of Units</w:t>
            </w:r>
          </w:p>
        </w:tc>
      </w:tr>
      <w:tr>
        <w:trPr>
          <w:trHeight w:val="414"/>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87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Except as provided by the Performance Stock Units Agreement, the date on which a Unit becomes a Vested Unit.</w:t>
            </w:r>
          </w:p>
        </w:tc>
      </w:tr>
      <w:tr>
        <w:trPr>
          <w:trHeight w:val="216"/>
        </w:trPr>
        <w:tc>
          <w:tcPr>
            <w:tcW w:w="2480" w:type="dxa"/>
            <w:vAlign w:val="bottom"/>
          </w:tcPr>
          <w:p>
            <w:pPr>
              <w:spacing w:after="0"/>
              <w:rPr>
                <w:sz w:val="18"/>
                <w:szCs w:val="18"/>
                <w:color w:val="auto"/>
              </w:rPr>
            </w:pPr>
          </w:p>
        </w:tc>
        <w:tc>
          <w:tcPr>
            <w:tcW w:w="870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Participant’s continued Service from the Vesting Start Date through .</w:t>
            </w:r>
          </w:p>
        </w:tc>
      </w:tr>
      <w:tr>
        <w:trPr>
          <w:trHeight w:val="194"/>
        </w:trPr>
        <w:tc>
          <w:tcPr>
            <w:tcW w:w="2480" w:type="dxa"/>
            <w:vAlign w:val="bottom"/>
          </w:tcPr>
          <w:p>
            <w:pPr>
              <w:spacing w:after="0"/>
              <w:rPr>
                <w:sz w:val="16"/>
                <w:szCs w:val="16"/>
                <w:color w:val="auto"/>
              </w:rPr>
            </w:pPr>
          </w:p>
        </w:tc>
        <w:tc>
          <w:tcPr>
            <w:tcW w:w="8700" w:type="dxa"/>
            <w:vAlign w:val="bottom"/>
            <w:gridSpan w:val="7"/>
          </w:tcPr>
          <w:p>
            <w:pPr>
              <w:ind w:left="360"/>
              <w:spacing w:after="0" w:line="194" w:lineRule="exact"/>
              <w:rPr>
                <w:sz w:val="20"/>
                <w:szCs w:val="20"/>
                <w:color w:val="auto"/>
              </w:rPr>
            </w:pPr>
            <w:r>
              <w:rPr>
                <w:rFonts w:ascii="Times New Roman" w:cs="Times New Roman" w:eastAsia="Times New Roman" w:hAnsi="Times New Roman"/>
                <w:sz w:val="18"/>
                <w:szCs w:val="18"/>
                <w:color w:val="auto"/>
              </w:rPr>
              <w:t>Subject to Participant’s satisfaction of the Service Vesting Condition the number of Vested Units (disregarding any</w:t>
            </w:r>
          </w:p>
        </w:tc>
      </w:tr>
      <w:tr>
        <w:trPr>
          <w:trHeight w:val="20"/>
        </w:trPr>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8"/>
        </w:trPr>
        <w:tc>
          <w:tcPr>
            <w:tcW w:w="2480" w:type="dxa"/>
            <w:vAlign w:val="bottom"/>
          </w:tcPr>
          <w:p>
            <w:pPr>
              <w:spacing w:after="0"/>
              <w:rPr>
                <w:sz w:val="18"/>
                <w:szCs w:val="18"/>
                <w:color w:val="auto"/>
              </w:rPr>
            </w:pPr>
          </w:p>
        </w:tc>
        <w:tc>
          <w:tcPr>
            <w:tcW w:w="870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resulting fractional Unit) will be equal to the Target Number of Units multiplied by the applicable Payout Level</w:t>
            </w:r>
          </w:p>
        </w:tc>
      </w:tr>
      <w:tr>
        <w:trPr>
          <w:trHeight w:val="194"/>
        </w:trPr>
        <w:tc>
          <w:tcPr>
            <w:tcW w:w="2480" w:type="dxa"/>
            <w:vAlign w:val="bottom"/>
          </w:tcPr>
          <w:p>
            <w:pPr>
              <w:spacing w:after="0"/>
              <w:rPr>
                <w:sz w:val="16"/>
                <w:szCs w:val="16"/>
                <w:color w:val="auto"/>
              </w:rPr>
            </w:pPr>
          </w:p>
        </w:tc>
        <w:tc>
          <w:tcPr>
            <w:tcW w:w="8700" w:type="dxa"/>
            <w:vAlign w:val="bottom"/>
            <w:gridSpan w:val="7"/>
          </w:tcPr>
          <w:p>
            <w:pPr>
              <w:ind w:left="360"/>
              <w:spacing w:after="0" w:line="194" w:lineRule="exact"/>
              <w:rPr>
                <w:sz w:val="20"/>
                <w:szCs w:val="20"/>
                <w:color w:val="auto"/>
              </w:rPr>
            </w:pPr>
            <w:r>
              <w:rPr>
                <w:rFonts w:ascii="Times New Roman" w:cs="Times New Roman" w:eastAsia="Times New Roman" w:hAnsi="Times New Roman"/>
                <w:sz w:val="18"/>
                <w:szCs w:val="18"/>
                <w:color w:val="auto"/>
              </w:rPr>
              <w:t>determined by the Committee in accordance with the Performance Vesting Criteria set out in Attachment 1 to this</w:t>
            </w:r>
          </w:p>
        </w:tc>
      </w:tr>
      <w:tr>
        <w:trPr>
          <w:trHeight w:val="196"/>
        </w:trPr>
        <w:tc>
          <w:tcPr>
            <w:tcW w:w="2480" w:type="dxa"/>
            <w:vAlign w:val="bottom"/>
          </w:tcPr>
          <w:p>
            <w:pPr>
              <w:spacing w:after="0"/>
              <w:rPr>
                <w:sz w:val="17"/>
                <w:szCs w:val="17"/>
                <w:color w:val="auto"/>
              </w:rPr>
            </w:pPr>
          </w:p>
        </w:tc>
        <w:tc>
          <w:tcPr>
            <w:tcW w:w="706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Grant Notice (the “Performance Vesting Conditions”) for:</w:t>
            </w:r>
          </w:p>
        </w:tc>
        <w:tc>
          <w:tcPr>
            <w:tcW w:w="980" w:type="dxa"/>
            <w:vAlign w:val="bottom"/>
            <w:tcBorders>
              <w:top w:val="single" w:sz="8" w:color="auto"/>
            </w:tcBorders>
            <w:gridSpan w:val="2"/>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9" w:lineRule="exact"/>
        <w:rPr>
          <w:sz w:val="20"/>
          <w:szCs w:val="20"/>
          <w:color w:val="auto"/>
        </w:rPr>
      </w:pPr>
    </w:p>
    <w:p>
      <w:pPr>
        <w:ind w:left="3460" w:right="20" w:hanging="662"/>
        <w:spacing w:after="0" w:line="276" w:lineRule="auto"/>
        <w:tabs>
          <w:tab w:leader="none" w:pos="336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one-year Performance Period commencing on , and ending on , with respect to % of the Target Number of Units, which are eligible to vest subject to the level of attainment of the during such Performance Period;</w:t>
      </w:r>
    </w:p>
    <w:p>
      <w:pPr>
        <w:ind w:left="3460" w:hanging="662"/>
        <w:spacing w:after="0" w:line="250" w:lineRule="auto"/>
        <w:tabs>
          <w:tab w:leader="none" w:pos="34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three-year Performance Period commencing on , and ending on , with respect to % of the Target Number of Units which are eligible to vest subject to the level of attainment of the performance metric during such Performance Period; and,</w:t>
      </w:r>
    </w:p>
    <w:p>
      <w:pPr>
        <w:spacing w:after="0" w:line="1" w:lineRule="exact"/>
        <w:rPr>
          <w:rFonts w:ascii="Times New Roman" w:cs="Times New Roman" w:eastAsia="Times New Roman" w:hAnsi="Times New Roman"/>
          <w:sz w:val="18"/>
          <w:szCs w:val="18"/>
          <w:color w:val="auto"/>
        </w:rPr>
      </w:pPr>
    </w:p>
    <w:p>
      <w:pPr>
        <w:ind w:left="3480" w:hanging="682"/>
        <w:spacing w:after="0"/>
        <w:tabs>
          <w:tab w:leader="none" w:pos="3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 as further specified in the Performance Vesting Conditions.</w:t>
      </w: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 the avoidance of doubt, no Units will become Vested Units unless each of the Service Vesting Condition and the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Performance Vesting Conditions are both met with respect to such Units as determined by the Compensation</w:t>
            </w:r>
          </w:p>
        </w:tc>
        <w:tc>
          <w:tcPr>
            <w:tcW w:w="0" w:type="dxa"/>
            <w:vAlign w:val="bottom"/>
          </w:tcPr>
          <w:p>
            <w:pPr>
              <w:spacing w:after="0"/>
              <w:rPr>
                <w:sz w:val="1"/>
                <w:szCs w:val="1"/>
                <w:color w:val="auto"/>
              </w:rPr>
            </w:pPr>
          </w:p>
        </w:tc>
      </w:tr>
      <w:tr>
        <w:trPr>
          <w:trHeight w:val="234"/>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Committee.</w:t>
            </w:r>
          </w:p>
        </w:tc>
        <w:tc>
          <w:tcPr>
            <w:tcW w:w="0" w:type="dxa"/>
            <w:vAlign w:val="bottom"/>
          </w:tcPr>
          <w:p>
            <w:pPr>
              <w:spacing w:after="0"/>
              <w:rPr>
                <w:sz w:val="1"/>
                <w:szCs w:val="1"/>
                <w:color w:val="auto"/>
              </w:rPr>
            </w:pPr>
          </w:p>
        </w:tc>
      </w:tr>
      <w:tr>
        <w:trPr>
          <w:trHeight w:val="194"/>
        </w:trPr>
        <w:tc>
          <w:tcPr>
            <w:tcW w:w="2380" w:type="dxa"/>
            <w:vAlign w:val="bottom"/>
            <w:vMerge w:val="continue"/>
          </w:tcPr>
          <w:p>
            <w:pPr>
              <w:spacing w:after="0"/>
              <w:rPr>
                <w:sz w:val="16"/>
                <w:szCs w:val="16"/>
                <w:color w:val="auto"/>
              </w:rPr>
            </w:pPr>
          </w:p>
        </w:tc>
        <w:tc>
          <w:tcPr>
            <w:tcW w:w="8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Vesting Condition:</w:t>
            </w: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Vested Units:</w:t>
            </w: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Superseding Agreement:</w:t>
            </w: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410"/>
        </w:trPr>
        <w:tc>
          <w:tcPr>
            <w:tcW w:w="2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Mandatory Sale To Cover</w:t>
            </w: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a condition to acceptance of this Award, to the fullest extent permitted under the Plan, Article 7 of the Restricted</w:t>
            </w:r>
          </w:p>
        </w:tc>
        <w:tc>
          <w:tcPr>
            <w:tcW w:w="0" w:type="dxa"/>
            <w:vAlign w:val="bottom"/>
          </w:tcPr>
          <w:p>
            <w:pPr>
              <w:spacing w:after="0"/>
              <w:rPr>
                <w:sz w:val="1"/>
                <w:szCs w:val="1"/>
                <w:color w:val="auto"/>
              </w:rPr>
            </w:pPr>
          </w:p>
        </w:tc>
      </w:tr>
      <w:tr>
        <w:trPr>
          <w:trHeight w:val="220"/>
        </w:trPr>
        <w:tc>
          <w:tcPr>
            <w:tcW w:w="2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Withholding Taxes</w:t>
            </w: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Units Agreement and applicable law, withholding taxes and other tax related items will be satisfied through</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sale of a number of the shares of Stock issued on the settlement of Vested Units and the remittance of the cash</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to the Company. The Company is authorized and directed by the Participant to make payment from the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proceeds of this sale directly to the appropriate taxing authorities in an amount equal to the taxes required to be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withheld. The mandatory sale of shares of Stock to cover withholding taxes and tax related items is imposed by the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 on the Participant in connection with the receipt of this Award, and it is intended to comply with the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requirements of Rule 10b5-1(c)(1)(i)(B) under the Exchange Act and be interpreted to meet the requirements of</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Rule 10b5-1(c).</w:t>
            </w:r>
          </w:p>
        </w:tc>
        <w:tc>
          <w:tcPr>
            <w:tcW w:w="0" w:type="dxa"/>
            <w:vAlign w:val="bottom"/>
          </w:tcPr>
          <w:p>
            <w:pPr>
              <w:spacing w:after="0"/>
              <w:rPr>
                <w:sz w:val="1"/>
                <w:szCs w:val="1"/>
                <w:color w:val="auto"/>
              </w:rPr>
            </w:pPr>
          </w:p>
        </w:tc>
      </w:tr>
      <w:tr>
        <w:trPr>
          <w:trHeight w:val="358"/>
        </w:trPr>
        <w:tc>
          <w:tcPr>
            <w:tcW w:w="23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4" w:right="339" w:bottom="1440" w:gutter="0" w:footer="0" w:header="0"/>
        </w:sectPr>
      </w:pPr>
    </w:p>
    <w:bookmarkStart w:id="85" w:name="page86"/>
    <w:bookmarkEnd w:id="85"/>
    <w:p>
      <w:pPr>
        <w:ind w:left="340"/>
        <w:spacing w:after="0" w:line="256" w:lineRule="auto"/>
        <w:rPr>
          <w:sz w:val="20"/>
          <w:szCs w:val="20"/>
          <w:color w:val="auto"/>
        </w:rPr>
      </w:pPr>
      <w:r>
        <w:rPr>
          <w:rFonts w:ascii="Times New Roman" w:cs="Times New Roman" w:eastAsia="Times New Roman" w:hAnsi="Times New Roman"/>
          <w:sz w:val="18"/>
          <w:szCs w:val="18"/>
          <w:color w:val="auto"/>
        </w:rPr>
        <w:t>By their signatures below or by electronic acceptance or authentication in a form authorized by the Company, the Company and the Participant agree that the Award is governed by this Grant Notice and by the provisions of the Performance Stock Units Agreement and the Plan, both of which are made a part of this document, and by the Superseding Agreement, if any. The Participant acknowledges that copies of the Plan, the Performance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Performance Stock Units Agreement and the Plan, and hereby accepts the Award subject to all of their terms and conditions.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PALOMAR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5715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440" w:top="1012" w:right="39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7979 Ivanhoe Avenue, 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2209800</wp:posOffset>
            </wp:positionH>
            <wp:positionV relativeFrom="paragraph">
              <wp:posOffset>-120650</wp:posOffset>
            </wp:positionV>
            <wp:extent cx="41148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 92037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2209800</wp:posOffset>
            </wp:positionH>
            <wp:positionV relativeFrom="paragraph">
              <wp:posOffset>5715</wp:posOffset>
            </wp:positionV>
            <wp:extent cx="41148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ectPr>
          <w:pgSz w:w="11900" w:h="16838" w:orient="portrait"/>
          <w:cols w:equalWidth="0" w:num="2">
            <w:col w:w="640" w:space="520"/>
            <w:col w:w="9900"/>
          </w:cols>
          <w:pgMar w:left="440" w:top="1012" w:right="39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2"/>
          <w:szCs w:val="22"/>
          <w:b w:val="1"/>
          <w:bCs w:val="1"/>
          <w:color w:val="auto"/>
        </w:rPr>
        <w:t>PALOMAR HOLDINGS,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jc w:val="center"/>
        <w:spacing w:after="0"/>
        <w:rPr>
          <w:sz w:val="20"/>
          <w:szCs w:val="20"/>
          <w:color w:val="auto"/>
        </w:rPr>
      </w:pPr>
      <w:r>
        <w:rPr>
          <w:rFonts w:ascii="Times New Roman" w:cs="Times New Roman" w:eastAsia="Times New Roman" w:hAnsi="Times New Roman"/>
          <w:sz w:val="18"/>
          <w:szCs w:val="18"/>
          <w:b w:val="1"/>
          <w:bCs w:val="1"/>
          <w:color w:val="auto"/>
        </w:rPr>
        <w:t>(For U.S. Participants)</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Palomar Holdings, Inc. has granted to the Participant named in the </w:t>
      </w:r>
      <w:r>
        <w:rPr>
          <w:rFonts w:ascii="Times New Roman" w:cs="Times New Roman" w:eastAsia="Times New Roman" w:hAnsi="Times New Roman"/>
          <w:sz w:val="18"/>
          <w:szCs w:val="18"/>
          <w:i w:val="1"/>
          <w:iCs w:val="1"/>
          <w:color w:val="auto"/>
        </w:rPr>
        <w:t>Notice of Grant of Performance Stock Units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to which this Performance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attached an Award consisting of Performance Stock Units (each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subject to the terms and conditions set forth in the Grant Notice and this Agreement. The Award has been granted pursuant to and shall in all respects be subject to the terms and conditions of the Palomar Holdings, Inc. 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18"/>
          <w:szCs w:val="18"/>
          <w:b w:val="1"/>
          <w:bCs w:val="1"/>
          <w:i w:val="1"/>
          <w:iCs w:val="1"/>
          <w:color w:val="auto"/>
        </w:rPr>
        <w:t>Plan Prospectus</w:t>
      </w:r>
      <w:r>
        <w:rPr>
          <w:rFonts w:ascii="Times New Roman" w:cs="Times New Roman" w:eastAsia="Times New Roman" w:hAnsi="Times New Roman"/>
          <w:sz w:val="18"/>
          <w:szCs w:val="18"/>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88" w:lineRule="exact"/>
        <w:rPr>
          <w:sz w:val="20"/>
          <w:szCs w:val="20"/>
          <w:color w:val="auto"/>
        </w:rPr>
      </w:pPr>
    </w:p>
    <w:p>
      <w:pPr>
        <w:ind w:left="180" w:hanging="172"/>
        <w:spacing w:after="0"/>
        <w:tabs>
          <w:tab w:leader="none" w:pos="1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 AND CONSTRUCTION.</w:t>
      </w:r>
    </w:p>
    <w:p>
      <w:pPr>
        <w:spacing w:after="0" w:line="2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Unless otherwise defined herein, capitalized terms shall have the meanings assigned to such terms in the Grant Notice or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1.2 Construction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Captions and titles contained herein are for convenience only and shall not affect the meaning or interpretation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1" w:lineRule="exact"/>
        <w:rPr>
          <w:sz w:val="20"/>
          <w:szCs w:val="20"/>
          <w:color w:val="auto"/>
        </w:rPr>
      </w:pPr>
    </w:p>
    <w:p>
      <w:pPr>
        <w:ind w:left="180" w:hanging="172"/>
        <w:spacing w:after="0"/>
        <w:tabs>
          <w:tab w:leader="none" w:pos="1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ind w:left="180" w:hanging="172"/>
        <w:spacing w:after="0"/>
        <w:tabs>
          <w:tab w:leader="none" w:pos="1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AWARD.</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 Grant of Units. </w:t>
      </w:r>
      <w:r>
        <w:rPr>
          <w:rFonts w:ascii="Times New Roman" w:cs="Times New Roman" w:eastAsia="Times New Roman" w:hAnsi="Times New Roman"/>
          <w:sz w:val="18"/>
          <w:szCs w:val="18"/>
          <w:color w:val="auto"/>
        </w:rPr>
        <w:t>On the Date of Grant, the Company hereby awards to the Participant up to the Maximum Units set forth in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which, depending on the level of the Performance Metric attained during the Performance Period, may result in the Participant earning as little as zero (0) Units or as many as the Maximum Units. Subject to the terms of this Agreement and the Plan, each Unit, to the extent it is earned and becomes a Vested Unit, represents a right to receive one (1) share of Stock on the Settlement Date (as defined in Section 6.1). Unless and until a Unit has been determined to be an earned unit and has vested and become a Vested Unit as set forth in the Grant Notice (including any appendix) and this Agreement, the Participant will have no right to settlement of such Units. Prior to settlement of any Units, such Units will represent an unfunded and unsecured obligation of the Company.</w:t>
      </w:r>
    </w:p>
    <w:p>
      <w:pPr>
        <w:spacing w:after="0" w:line="183"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 No Monetary Payment Required. </w:t>
      </w:r>
      <w:r>
        <w:rPr>
          <w:rFonts w:ascii="Times New Roman" w:cs="Times New Roman" w:eastAsia="Times New Roman" w:hAnsi="Times New Roman"/>
          <w:sz w:val="18"/>
          <w:szCs w:val="18"/>
          <w:color w:val="auto"/>
        </w:rPr>
        <w:t>The Participant is not required to make any monetary payment (other than applicable tax withholding,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79" w:lineRule="exact"/>
        <w:rPr>
          <w:sz w:val="20"/>
          <w:szCs w:val="20"/>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OF UNITS.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Units acquired pursuant to this Agreement shall become Vested Units as provided in the Grant Notice. For purposes of determining the number of Vested Units following an Ownership Change Event, credited Service shall include all Service with any Company which is a Participating Company at the time the Service is rendered, whether or not such Company is a Participating Company both before and after the Ownership Change Event.</w:t>
      </w:r>
    </w:p>
    <w:p>
      <w:pPr>
        <w:spacing w:after="0" w:line="172" w:lineRule="exact"/>
        <w:rPr>
          <w:sz w:val="20"/>
          <w:szCs w:val="20"/>
          <w:color w:val="auto"/>
        </w:rPr>
      </w:pPr>
    </w:p>
    <w:p>
      <w:pPr>
        <w:ind w:left="180" w:hanging="172"/>
        <w:spacing w:after="0"/>
        <w:tabs>
          <w:tab w:leader="none" w:pos="1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 REACQUISITION RIGHT.</w:t>
      </w:r>
    </w:p>
    <w:p>
      <w:pPr>
        <w:spacing w:after="0" w:line="225"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 Grant of Company Reacquisition Right. </w:t>
      </w:r>
      <w:r>
        <w:rPr>
          <w:rFonts w:ascii="Times New Roman" w:cs="Times New Roman" w:eastAsia="Times New Roman" w:hAnsi="Times New Roman"/>
          <w:sz w:val="18"/>
          <w:szCs w:val="18"/>
          <w:color w:val="auto"/>
        </w:rPr>
        <w:t>Except to the extent otherwise provided by the Superseding Agreement, if any, in the event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18"/>
          <w:szCs w:val="18"/>
          <w:b w:val="1"/>
          <w:bCs w:val="1"/>
          <w:i w:val="1"/>
          <w:iCs w:val="1"/>
          <w:color w:val="auto"/>
        </w:rPr>
        <w:t>Unvested Units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the Participant shall not be entitled to any payment therefor (the “</w:t>
      </w:r>
      <w:r>
        <w:rPr>
          <w:rFonts w:ascii="Times New Roman" w:cs="Times New Roman" w:eastAsia="Times New Roman" w:hAnsi="Times New Roman"/>
          <w:sz w:val="18"/>
          <w:szCs w:val="18"/>
          <w:b w:val="1"/>
          <w:bCs w:val="1"/>
          <w:i w:val="1"/>
          <w:iCs w:val="1"/>
          <w:color w:val="auto"/>
        </w:rPr>
        <w:t>Company Reacquisition Right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5.2 Ownership Change Event, Non-Cash Dividends, Distributions and Adjustments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occurrence of an Ownership Change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Company which is a Participating Company at the time the Service is rendered, whether or not such Company is a Participating Company both before and after any such event.</w:t>
      </w:r>
    </w:p>
    <w:p>
      <w:pPr>
        <w:spacing w:after="0" w:line="188" w:lineRule="exact"/>
        <w:rPr>
          <w:sz w:val="20"/>
          <w:szCs w:val="20"/>
          <w:color w:val="auto"/>
        </w:rPr>
      </w:pPr>
    </w:p>
    <w:p>
      <w:pPr>
        <w:ind w:left="180" w:hanging="172"/>
        <w:spacing w:after="0"/>
        <w:tabs>
          <w:tab w:leader="none" w:pos="1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THE AWARD</w:t>
      </w:r>
    </w:p>
    <w:p>
      <w:pPr>
        <w:spacing w:after="0" w:line="225"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6.1 Issuance of Shares of Stock</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“Settlement Date” with respect to a Vested Unit will be the date on which such Unit becomes a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or as soon as administratively practicable but no later within 30 days thereafter. The Company shall deliver to the Participant a number of shares of Stock equal to the number of Vested Units subject to this Award. Shares of Stock issued in settlement of Units shall not be subject to any restriction on transfer other than any such restriction as may be required pursuant to Section 6.3, Section 7 or the Company’s Trading Compliance Policy.</w:t>
      </w:r>
    </w:p>
    <w:p>
      <w:pPr>
        <w:spacing w:after="0" w:line="176"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6.2 Beneficial Ownership of Shares; Certificate Registration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hereby authorizes the Company, in its sole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7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6.3 Restrictions on Grant of the Award and Issuance of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the Award and issuance of shares of Stock upon settlement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8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Fractional Shares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shall not be required to issue fractional shares upon the settlement of the Award.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7.1 Withholding Taxes. </w:t>
      </w:r>
      <w:r>
        <w:rPr>
          <w:rFonts w:ascii="Times New Roman" w:cs="Times New Roman" w:eastAsia="Times New Roman" w:hAnsi="Times New Roman"/>
          <w:sz w:val="18"/>
          <w:szCs w:val="18"/>
          <w:color w:val="auto"/>
        </w:rPr>
        <w:t>Participant understands and acknowledges that on each Settlement Date, Participant is responsible for making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to satisfy the federal, state, local and foreign tax withholding obligations of the Company that arise in connection with your Award (the “Withholding Taxes”). Specifically, pursuant to the Grant Notice and this Section 7, Participant hereby agrees to a “same day sale” commitment with a broker-dealer that is a member of the Financial Industry Regulatory Authority (a “ FINRA Dealer “) whereby the Agent is irrevocably authorized to sell a</w:t>
      </w:r>
    </w:p>
    <w:p>
      <w:pPr>
        <w:sectPr>
          <w:pgSz w:w="11900" w:h="16838" w:orient="portrait"/>
          <w:cols w:equalWidth="0" w:num="1">
            <w:col w:w="11240"/>
          </w:cols>
          <w:pgMar w:left="320" w:top="1008" w:right="339" w:bottom="0" w:gutter="0" w:footer="0" w:header="0"/>
        </w:sectPr>
      </w:pPr>
    </w:p>
    <w:bookmarkStart w:id="88" w:name="page89"/>
    <w:bookmarkEnd w:id="88"/>
    <w:p>
      <w:pPr>
        <w:ind w:right="80"/>
        <w:spacing w:after="0" w:line="254" w:lineRule="auto"/>
        <w:rPr>
          <w:sz w:val="20"/>
          <w:szCs w:val="20"/>
          <w:color w:val="auto"/>
        </w:rPr>
      </w:pPr>
      <w:r>
        <w:rPr>
          <w:rFonts w:ascii="Times New Roman" w:cs="Times New Roman" w:eastAsia="Times New Roman" w:hAnsi="Times New Roman"/>
          <w:sz w:val="18"/>
          <w:szCs w:val="18"/>
          <w:color w:val="auto"/>
        </w:rPr>
        <w:t>portion of the shares to be issued on the Settlement Date to satisfy the Withholding Taxes and whereby the FINRA Dealer will forward the proceeds necessary to satisfy the Withholding Taxes directly to the Company. If, for any reason, such “same day sale” commitment pursuant to Section 7 does not result in sufficient proceeds to satisfy the Withholding Taxes or would be prohibited by applicable law at the applicable time, Participant hereby authorizes the Company to satisfy the obligations with regard to all Withholding Taxes by one or a combination of the following: (a) withholding from any compensation otherwise payable to you by the Company; (b) causing you to tender a cash payment (which may be in the form of a check, electronic wire transfer or other method permitted by the Company); or (c) withholding a number of whole shares having a fair market value, as determined by the Company as of the date on which the tax withholding obligations arise, not in excess of the amount of such tax withholding obligations determined by the applicable minimum statutory withholding rates if required to avoid liability classification of the Award under generally accepted accounting principles in the United States.</w:t>
      </w:r>
    </w:p>
    <w:p>
      <w:pPr>
        <w:spacing w:after="0" w:line="184" w:lineRule="exact"/>
        <w:rPr>
          <w:sz w:val="20"/>
          <w:szCs w:val="20"/>
          <w:color w:val="auto"/>
        </w:rPr>
      </w:pPr>
    </w:p>
    <w:p>
      <w:pPr>
        <w:ind w:right="55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7.2 Sell to Cover. </w:t>
      </w:r>
      <w:r>
        <w:rPr>
          <w:rFonts w:ascii="Times New Roman" w:cs="Times New Roman" w:eastAsia="Times New Roman" w:hAnsi="Times New Roman"/>
          <w:sz w:val="18"/>
          <w:szCs w:val="18"/>
          <w:color w:val="auto"/>
        </w:rPr>
        <w:t>Participant by accepting this Award agrees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159" w:lineRule="exact"/>
        <w:rPr>
          <w:sz w:val="20"/>
          <w:szCs w:val="20"/>
          <w:color w:val="auto"/>
        </w:rPr>
      </w:pPr>
    </w:p>
    <w:p>
      <w:pPr>
        <w:ind w:firstLine="1304"/>
        <w:spacing w:after="0" w:line="282" w:lineRule="auto"/>
        <w:tabs>
          <w:tab w:leader="none" w:pos="1731"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 hereby appoints such FINRA Dealer appointed by the Company for purposes of this Section 7 as Participant’s agent (the “Agent”), and hereby authorizes the Agent to:</w:t>
      </w:r>
    </w:p>
    <w:p>
      <w:pPr>
        <w:spacing w:after="0" w:line="161" w:lineRule="exact"/>
        <w:rPr>
          <w:rFonts w:ascii="Times New Roman" w:cs="Times New Roman" w:eastAsia="Times New Roman" w:hAnsi="Times New Roman"/>
          <w:sz w:val="18"/>
          <w:szCs w:val="18"/>
          <w:b w:val="1"/>
          <w:bCs w:val="1"/>
          <w:color w:val="auto"/>
        </w:rPr>
      </w:pPr>
    </w:p>
    <w:p>
      <w:pPr>
        <w:ind w:right="360" w:firstLine="1952"/>
        <w:spacing w:after="0" w:line="261" w:lineRule="auto"/>
        <w:tabs>
          <w:tab w:leader="none" w:pos="229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on the open market at the then prevailing market price(s), on Participant’s behalf, as soon as practicable on or after each Settlement Date on which shares of Stock are issued to the Participant, the number (rounded up to the next whole number) of the shares of Stock issued on the Settlement Date sufficient to generate proceeds to cover (A) the Withholding Taxes resulting from the issuance of such shares and (B) all applicable fees and commissions due to, or required to be collected by, the Agent with respect thereto; and</w:t>
      </w:r>
    </w:p>
    <w:p>
      <w:pPr>
        <w:spacing w:after="0" w:line="179"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 any remaining funds to the Participant.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741"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 hereby authorizes the Company and the Agent to cooperate and communicate with one another to determine the number of Shares that must be sold pursuant to this Section 7.</w:t>
      </w:r>
    </w:p>
    <w:p>
      <w:pPr>
        <w:spacing w:after="0" w:line="161" w:lineRule="exact"/>
        <w:rPr>
          <w:rFonts w:ascii="Times New Roman" w:cs="Times New Roman" w:eastAsia="Times New Roman" w:hAnsi="Times New Roman"/>
          <w:sz w:val="18"/>
          <w:szCs w:val="18"/>
          <w:b w:val="1"/>
          <w:bCs w:val="1"/>
          <w:color w:val="auto"/>
        </w:rPr>
      </w:pPr>
    </w:p>
    <w:p>
      <w:pPr>
        <w:ind w:right="20" w:firstLine="1304"/>
        <w:spacing w:after="0" w:line="255" w:lineRule="auto"/>
        <w:tabs>
          <w:tab w:leader="none" w:pos="17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 understands that the Agent may effect sales as provided in this Section 7 in one or more sales and that the average price for executions resulting from bunched orders will be assigned to the Participant’s account. In addition, Participant acknowledges that it may not be possible to sell shares of Stock as provided by in this Section 7 due to (1) a legal or contractual restriction applicable to the Participant or the Agent, (2) a market disruption, or (3) rules governing order execution priority on the national exchange where the Stock may be traded. In the event of the Agent’s inability to sell shares of Stock, Participant will continue to be responsible for the timely payment to the Company of all Withholding Taxes and any other federal, state, local and foreign taxes that are required by applicable laws and regulations to be withheld, including but not limited to those amounts specified in this Section 7.</w:t>
      </w:r>
    </w:p>
    <w:p>
      <w:pPr>
        <w:spacing w:after="0" w:line="200" w:lineRule="exact"/>
        <w:rPr>
          <w:sz w:val="20"/>
          <w:szCs w:val="20"/>
          <w:color w:val="auto"/>
        </w:rPr>
      </w:pPr>
    </w:p>
    <w:p>
      <w:pPr>
        <w:spacing w:after="0" w:line="201" w:lineRule="exact"/>
        <w:rPr>
          <w:sz w:val="20"/>
          <w:szCs w:val="20"/>
          <w:color w:val="auto"/>
        </w:rPr>
      </w:pPr>
    </w:p>
    <w:p>
      <w:pPr>
        <w:ind w:left="180" w:hanging="172"/>
        <w:spacing w:after="0"/>
        <w:tabs>
          <w:tab w:leader="none" w:pos="1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b w:val="1"/>
          <w:bCs w:val="1"/>
          <w:i w:val="1"/>
          <w:iCs w:val="1"/>
          <w:u w:val="single" w:color="auto"/>
          <w:color w:val="auto"/>
        </w:rPr>
        <w:t>.</w:t>
      </w:r>
    </w:p>
    <w:p>
      <w:pPr>
        <w:spacing w:after="0" w:line="229" w:lineRule="exact"/>
        <w:rPr>
          <w:sz w:val="20"/>
          <w:szCs w:val="20"/>
          <w:color w:val="auto"/>
        </w:rPr>
      </w:pPr>
    </w:p>
    <w:p>
      <w:pPr>
        <w:jc w:val="both"/>
        <w:ind w:firstLine="738"/>
        <w:spacing w:after="0" w:line="253" w:lineRule="auto"/>
        <w:rPr>
          <w:sz w:val="20"/>
          <w:szCs w:val="20"/>
          <w:color w:val="auto"/>
        </w:rPr>
      </w:pPr>
      <w:r>
        <w:rPr>
          <w:rFonts w:ascii="Times New Roman" w:cs="Times New Roman" w:eastAsia="Times New Roman" w:hAnsi="Times New Roman"/>
          <w:sz w:val="18"/>
          <w:szCs w:val="18"/>
          <w:color w:val="auto"/>
        </w:rPr>
        <w:t>In the event of a Change in Control, the Award shall be subject to the definitive agreement entered into by the Company in connection with the Change in Control. Except to the extent that the Committee determines to cash out the Award in accordance with Section 13.1(c) of the Plan, the surviving, continuing, successor, or purchasing entity or parent thereof, as the case may be (the “</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of the Change in Control to the extent that Units subject to the Award are neither assumed or continued by the Acquiror in connection with the Change in Control nor settled as of the time of the Change in Control.</w:t>
      </w:r>
    </w:p>
    <w:p>
      <w:pPr>
        <w:spacing w:after="0" w:line="183" w:lineRule="exact"/>
        <w:rPr>
          <w:sz w:val="20"/>
          <w:szCs w:val="20"/>
          <w:color w:val="auto"/>
        </w:rPr>
      </w:pPr>
    </w:p>
    <w:p>
      <w:pPr>
        <w:ind w:left="180" w:hanging="172"/>
        <w:spacing w:after="0"/>
        <w:tabs>
          <w:tab w:leader="none" w:pos="1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FOR CHANGES IN CAPITAL STRUCTURE.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83" w:lineRule="exact"/>
        <w:rPr>
          <w:sz w:val="20"/>
          <w:szCs w:val="20"/>
          <w:color w:val="auto"/>
        </w:rPr>
      </w:pPr>
    </w:p>
    <w:p>
      <w:pPr>
        <w:ind w:left="280" w:hanging="272"/>
        <w:spacing w:after="0"/>
        <w:tabs>
          <w:tab w:leader="none" w:pos="2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 DIRECTOR, EMPLOYEE OR CONSULTANT.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ectPr>
          <w:pgSz w:w="11900" w:h="16838" w:orient="portrait"/>
          <w:cols w:equalWidth="0" w:num="1">
            <w:col w:w="11240"/>
          </w:cols>
          <w:pgMar w:left="320" w:top="121" w:right="339" w:bottom="0" w:gutter="0" w:footer="0" w:header="0"/>
        </w:sectPr>
      </w:pPr>
    </w:p>
    <w:bookmarkStart w:id="89" w:name="page90"/>
    <w:bookmarkEnd w:id="89"/>
    <w:p>
      <w:pPr>
        <w:ind w:left="260" w:hanging="252"/>
        <w:spacing w:after="0"/>
        <w:tabs>
          <w:tab w:leader="none" w:pos="2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76" w:lineRule="exact"/>
        <w:rPr>
          <w:sz w:val="20"/>
          <w:szCs w:val="20"/>
          <w:color w:val="auto"/>
        </w:rPr>
      </w:pPr>
    </w:p>
    <w:p>
      <w:pPr>
        <w:ind w:left="280" w:hanging="272"/>
        <w:spacing w:after="0"/>
        <w:tabs>
          <w:tab w:leader="none" w:pos="2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SECTION 409A.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pacing w:after="0" w:line="17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12.1 Separation from Service; Required Delay in Payment to Specified Employee. </w:t>
      </w:r>
      <w:r>
        <w:rPr>
          <w:rFonts w:ascii="Times New Roman" w:cs="Times New Roman" w:eastAsia="Times New Roman" w:hAnsi="Times New Roman"/>
          <w:sz w:val="18"/>
          <w:szCs w:val="18"/>
          <w:color w:val="auto"/>
        </w:rPr>
        <w:t>Notwithstanding anything set forth herein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18"/>
          <w:szCs w:val="18"/>
          <w:b w:val="1"/>
          <w:bCs w:val="1"/>
          <w:i w:val="1"/>
          <w:iCs w:val="1"/>
          <w:color w:val="auto"/>
        </w:rPr>
        <w:t>Section 409A Regulations</w:t>
      </w:r>
      <w:r>
        <w:rPr>
          <w:rFonts w:ascii="Times New Roman" w:cs="Times New Roman" w:eastAsia="Times New Roman" w:hAnsi="Times New Roman"/>
          <w:sz w:val="18"/>
          <w:szCs w:val="18"/>
          <w:color w:val="auto"/>
        </w:rPr>
        <w:t>”)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18"/>
          <w:szCs w:val="18"/>
          <w:b w:val="1"/>
          <w:bCs w:val="1"/>
          <w:i w:val="1"/>
          <w:iCs w:val="1"/>
          <w:color w:val="auto"/>
        </w:rPr>
        <w:t>Delayed Payment Date</w:t>
      </w:r>
      <w:r>
        <w:rPr>
          <w:rFonts w:ascii="Times New Roman" w:cs="Times New Roman" w:eastAsia="Times New Roman" w:hAnsi="Times New Roman"/>
          <w:sz w:val="18"/>
          <w:szCs w:val="18"/>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88"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12.2 Other Changes in Time of Payment. </w:t>
      </w:r>
      <w:r>
        <w:rPr>
          <w:rFonts w:ascii="Times New Roman" w:cs="Times New Roman" w:eastAsia="Times New Roman" w:hAnsi="Times New Roman"/>
          <w:sz w:val="18"/>
          <w:szCs w:val="18"/>
          <w:color w:val="auto"/>
        </w:rPr>
        <w:t>Neither the Participant nor the Company shall take any action to accelerate or delay the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benefits under this Agreement in any manner which would not be in compliance with the Section 409A Regulations.</w:t>
      </w:r>
    </w:p>
    <w:p>
      <w:pPr>
        <w:spacing w:after="0" w:line="155"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12.3 Amendments to Comply with Section 409A; Indemnification. </w:t>
      </w:r>
      <w:r>
        <w:rPr>
          <w:rFonts w:ascii="Times New Roman" w:cs="Times New Roman" w:eastAsia="Times New Roman" w:hAnsi="Times New Roman"/>
          <w:sz w:val="18"/>
          <w:szCs w:val="18"/>
          <w:color w:val="auto"/>
        </w:rPr>
        <w:t>Notwithstanding any other provision of this Agreement 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82"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12.4 Advice of Independent Tax Advisor. </w:t>
      </w:r>
      <w:r>
        <w:rPr>
          <w:rFonts w:ascii="Times New Roman" w:cs="Times New Roman" w:eastAsia="Times New Roman" w:hAnsi="Times New Roman"/>
          <w:sz w:val="18"/>
          <w:szCs w:val="18"/>
          <w:color w:val="auto"/>
        </w:rPr>
        <w:t>The Company has not obtained a tax ruling or other confirmation from the Internal Revenue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79" w:lineRule="exact"/>
        <w:rPr>
          <w:sz w:val="20"/>
          <w:szCs w:val="20"/>
          <w:color w:val="auto"/>
        </w:rPr>
      </w:pPr>
    </w:p>
    <w:p>
      <w:pPr>
        <w:ind w:left="280" w:hanging="272"/>
        <w:spacing w:after="0"/>
        <w:tabs>
          <w:tab w:leader="none" w:pos="2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13.1 Termination or Amendment. </w:t>
      </w:r>
      <w:r>
        <w:rPr>
          <w:rFonts w:ascii="Times New Roman" w:cs="Times New Roman" w:eastAsia="Times New Roman" w:hAnsi="Times New Roman"/>
          <w:sz w:val="18"/>
          <w:szCs w:val="18"/>
          <w:color w:val="auto"/>
        </w:rPr>
        <w:t>The Committee may terminate or amend the Plan or this Agreement at any time; provided, however,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179"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13.2 Nontransferability of the Award. </w:t>
      </w:r>
      <w:r>
        <w:rPr>
          <w:rFonts w:ascii="Times New Roman" w:cs="Times New Roman" w:eastAsia="Times New Roman" w:hAnsi="Times New Roman"/>
          <w:sz w:val="18"/>
          <w:szCs w:val="18"/>
          <w:color w:val="auto"/>
        </w:rPr>
        <w:t>Prior to the issuance of shares of Stock on the applicable Settlement Date, neither this Award nor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76"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13.3 Further Instruments. </w:t>
      </w:r>
      <w:r>
        <w:rPr>
          <w:rFonts w:ascii="Times New Roman" w:cs="Times New Roman" w:eastAsia="Times New Roman" w:hAnsi="Times New Roman"/>
          <w:sz w:val="18"/>
          <w:szCs w:val="18"/>
          <w:color w:val="auto"/>
        </w:rPr>
        <w:t>The parties hereto agree to execute such further instruments and to take such further action as may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carry out the intent of this Agreement.</w:t>
      </w:r>
    </w:p>
    <w:p>
      <w:pPr>
        <w:spacing w:after="0" w:line="15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13.4 Binding Effect. </w:t>
      </w:r>
      <w:r>
        <w:rPr>
          <w:rFonts w:ascii="Times New Roman" w:cs="Times New Roman" w:eastAsia="Times New Roman" w:hAnsi="Times New Roman"/>
          <w:sz w:val="18"/>
          <w:szCs w:val="18"/>
          <w:color w:val="auto"/>
        </w:rPr>
        <w:t>This Agreement shall inure to the benefit of the successors and assigns of the Company and, subject to the restrictions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set forth herein, be binding upon the Participant and the Participant’s heirs, executors, administrators, successors and assigns.</w:t>
      </w:r>
    </w:p>
    <w:p>
      <w:pPr>
        <w:spacing w:after="0" w:line="15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13.5 Delivery of Documents and Notices. </w:t>
      </w:r>
      <w:r>
        <w:rPr>
          <w:rFonts w:ascii="Times New Roman" w:cs="Times New Roman" w:eastAsia="Times New Roman" w:hAnsi="Times New Roman"/>
          <w:sz w:val="18"/>
          <w:szCs w:val="18"/>
          <w:color w:val="auto"/>
        </w:rPr>
        <w:t>Any document relating to participation in the Plan or any notice required or permitted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82" w:lineRule="exact"/>
        <w:rPr>
          <w:sz w:val="20"/>
          <w:szCs w:val="20"/>
          <w:color w:val="auto"/>
        </w:rPr>
      </w:pPr>
    </w:p>
    <w:p>
      <w:pPr>
        <w:ind w:firstLine="1304"/>
        <w:spacing w:after="0" w:line="256" w:lineRule="auto"/>
        <w:tabs>
          <w:tab w:leader="none" w:pos="1731"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Description of Electronic Delivery and Signature. </w:t>
      </w:r>
      <w:r>
        <w:rPr>
          <w:rFonts w:ascii="Times New Roman" w:cs="Times New Roman" w:eastAsia="Times New Roman" w:hAnsi="Times New Roman"/>
          <w:sz w:val="18"/>
          <w:szCs w:val="18"/>
          <w:color w:val="auto"/>
        </w:rPr>
        <w:t>The Plan documents, which may include but do not necessarily include: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ectPr>
          <w:pgSz w:w="11900" w:h="16838" w:orient="portrait"/>
          <w:cols w:equalWidth="0" w:num="1">
            <w:col w:w="11240"/>
          </w:cols>
          <w:pgMar w:left="320" w:top="333" w:right="339" w:bottom="139" w:gutter="0" w:footer="0" w:header="0"/>
        </w:sectPr>
      </w:pPr>
    </w:p>
    <w:bookmarkStart w:id="90" w:name="page91"/>
    <w:bookmarkEnd w:id="90"/>
    <w:p>
      <w:pPr>
        <w:ind w:firstLine="1304"/>
        <w:spacing w:after="0" w:line="253" w:lineRule="auto"/>
        <w:tabs>
          <w:tab w:leader="none" w:pos="1741"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Consent to Electronic Delivery and Signature. </w:t>
      </w:r>
      <w:r>
        <w:rPr>
          <w:rFonts w:ascii="Times New Roman" w:cs="Times New Roman" w:eastAsia="Times New Roman" w:hAnsi="Times New Roman"/>
          <w:sz w:val="18"/>
          <w:szCs w:val="18"/>
          <w:color w:val="auto"/>
        </w:rPr>
        <w:t>The Participant acknowledges that the Participant has read Section 13.5(a)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9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13.6 Integrated Agreement. </w:t>
      </w:r>
      <w:r>
        <w:rPr>
          <w:rFonts w:ascii="Times New Roman" w:cs="Times New Roman" w:eastAsia="Times New Roman" w:hAnsi="Times New Roman"/>
          <w:sz w:val="18"/>
          <w:szCs w:val="18"/>
          <w:color w:val="auto"/>
        </w:rPr>
        <w:t>The Grant Notice, this Agreement and the Plan, together with the Superseding Agreement, if any, shall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79"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13.7 Applicable Law. </w:t>
      </w:r>
      <w:r>
        <w:rPr>
          <w:rFonts w:ascii="Times New Roman" w:cs="Times New Roman" w:eastAsia="Times New Roman" w:hAnsi="Times New Roman"/>
          <w:sz w:val="18"/>
          <w:szCs w:val="18"/>
          <w:color w:val="auto"/>
        </w:rPr>
        <w:t>This Agreement shall be governed by the laws of the State of Delaware as such laws are applied to agreements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residents entered into and to be performed entirely within the State of Delaware.</w:t>
      </w:r>
    </w:p>
    <w:p>
      <w:pPr>
        <w:spacing w:after="0" w:line="15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13.8 Counterparts. </w:t>
      </w:r>
      <w:r>
        <w:rPr>
          <w:rFonts w:ascii="Times New Roman" w:cs="Times New Roman" w:eastAsia="Times New Roman" w:hAnsi="Times New Roman"/>
          <w:sz w:val="18"/>
          <w:szCs w:val="18"/>
          <w:color w:val="auto"/>
        </w:rPr>
        <w:t>The Grant Notice may be executed in counterparts, each of which shall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instrument.</w:t>
      </w:r>
    </w:p>
    <w:p>
      <w:pPr>
        <w:sectPr>
          <w:pgSz w:w="11900" w:h="16838" w:orient="portrait"/>
          <w:cols w:equalWidth="0" w:num="1">
            <w:col w:w="11120"/>
          </w:cols>
          <w:pgMar w:left="320" w:top="117" w:right="45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PALOMAR HOLDINGS,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GRANT OF PERFORMANCE STOCK UNITS</w:t>
      </w:r>
    </w:p>
    <w:p>
      <w:pPr>
        <w:jc w:val="center"/>
        <w:spacing w:after="0"/>
        <w:rPr>
          <w:sz w:val="20"/>
          <w:szCs w:val="20"/>
          <w:color w:val="auto"/>
        </w:rPr>
      </w:pPr>
      <w:r>
        <w:rPr>
          <w:rFonts w:ascii="Times New Roman" w:cs="Times New Roman" w:eastAsia="Times New Roman" w:hAnsi="Times New Roman"/>
          <w:sz w:val="18"/>
          <w:szCs w:val="18"/>
          <w:b w:val="1"/>
          <w:bCs w:val="1"/>
          <w:color w:val="auto"/>
        </w:rPr>
        <w:t>(For U.S.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spacing w:after="0" w:line="263" w:lineRule="auto"/>
        <w:rPr>
          <w:sz w:val="20"/>
          <w:szCs w:val="20"/>
          <w:color w:val="auto"/>
        </w:rPr>
      </w:pPr>
      <w:r>
        <w:rPr>
          <w:rFonts w:ascii="Times New Roman" w:cs="Times New Roman" w:eastAsia="Times New Roman" w:hAnsi="Times New Roman"/>
          <w:sz w:val="18"/>
          <w:szCs w:val="18"/>
          <w:color w:val="auto"/>
        </w:rPr>
        <w:t>Palomar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an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of certain Performance Stock Units pursuant to the Palomar Holdings, Inc. 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each of which represents the right to receive on the applicable Settlement Date one</w:t>
      </w:r>
    </w:p>
    <w:p>
      <w:pPr>
        <w:spacing w:after="0" w:line="1" w:lineRule="exact"/>
        <w:rPr>
          <w:sz w:val="20"/>
          <w:szCs w:val="20"/>
          <w:color w:val="auto"/>
        </w:rPr>
      </w:pPr>
    </w:p>
    <w:p>
      <w:pPr>
        <w:ind w:left="460" w:hanging="2"/>
        <w:spacing w:after="0" w:line="260" w:lineRule="auto"/>
        <w:tabs>
          <w:tab w:leader="none" w:pos="72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Stock, as follows. Capitalized terms used herein and not otherwise defined have the meanings set forth in the Plan or the Performance Stock Units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Participant: Employee ID:</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Target Number of Units:</w:t>
            </w:r>
          </w:p>
        </w:tc>
        <w:tc>
          <w:tcPr>
            <w:tcW w:w="360" w:type="dxa"/>
            <w:vAlign w:val="bottom"/>
          </w:tcPr>
          <w:p>
            <w:pPr>
              <w:spacing w:after="0"/>
              <w:rPr>
                <w:sz w:val="19"/>
                <w:szCs w:val="19"/>
                <w:color w:val="auto"/>
              </w:rPr>
            </w:pPr>
          </w:p>
        </w:tc>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TOTAL_SHARES_GRANTED, (each a “</w:t>
            </w:r>
            <w:r>
              <w:rPr>
                <w:rFonts w:ascii="Times New Roman" w:cs="Times New Roman" w:eastAsia="Times New Roman" w:hAnsi="Times New Roman"/>
                <w:sz w:val="18"/>
                <w:szCs w:val="18"/>
                <w:b w:val="1"/>
                <w:bCs w:val="1"/>
                <w:i w:val="1"/>
                <w:iCs w:val="1"/>
                <w:color w:val="auto"/>
                <w:w w:val="99"/>
              </w:rPr>
              <w:t>Unit</w:t>
            </w:r>
            <w:r>
              <w:rPr>
                <w:rFonts w:ascii="Times New Roman" w:cs="Times New Roman" w:eastAsia="Times New Roman" w:hAnsi="Times New Roman"/>
                <w:sz w:val="18"/>
                <w:szCs w:val="18"/>
                <w:color w:val="auto"/>
                <w:w w:val="99"/>
              </w:rPr>
              <w:t>”), subject to adjustment as provided by the Performance Stock Units</w:t>
            </w:r>
          </w:p>
        </w:tc>
      </w:tr>
      <w:tr>
        <w:trPr>
          <w:trHeight w:val="234"/>
        </w:trPr>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Agreement. Each Unit shall be a Performance Share for purposes of the Plan.</w:t>
            </w:r>
          </w:p>
        </w:tc>
      </w:tr>
      <w:tr>
        <w:trPr>
          <w:trHeight w:val="410"/>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8"/>
        </w:trPr>
        <w:tc>
          <w:tcPr>
            <w:tcW w:w="2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Maximum Number of Units:</w:t>
            </w:r>
          </w:p>
        </w:tc>
        <w:tc>
          <w:tcPr>
            <w:tcW w:w="360" w:type="dxa"/>
            <w:vAlign w:val="bottom"/>
          </w:tcPr>
          <w:p>
            <w:pPr>
              <w:spacing w:after="0"/>
              <w:rPr>
                <w:sz w:val="20"/>
                <w:szCs w:val="20"/>
                <w:color w:val="auto"/>
              </w:rPr>
            </w:pPr>
          </w:p>
        </w:tc>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of Target Number of Units</w:t>
            </w:r>
          </w:p>
        </w:tc>
      </w:tr>
      <w:tr>
        <w:trPr>
          <w:trHeight w:val="414"/>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p>
        </w:tc>
        <w:tc>
          <w:tcPr>
            <w:tcW w:w="870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Except as provided by the Performance Stock Units Agreement, the date on which a Unit becomes a Vested Unit.</w:t>
            </w:r>
          </w:p>
        </w:tc>
      </w:tr>
      <w:tr>
        <w:trPr>
          <w:trHeight w:val="216"/>
        </w:trPr>
        <w:tc>
          <w:tcPr>
            <w:tcW w:w="2480" w:type="dxa"/>
            <w:vAlign w:val="bottom"/>
          </w:tcPr>
          <w:p>
            <w:pPr>
              <w:spacing w:after="0"/>
              <w:rPr>
                <w:sz w:val="18"/>
                <w:szCs w:val="18"/>
                <w:color w:val="auto"/>
              </w:rPr>
            </w:pPr>
          </w:p>
        </w:tc>
        <w:tc>
          <w:tcPr>
            <w:tcW w:w="870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Participant’s continued Service from the Vesting Start Date through .</w:t>
            </w:r>
          </w:p>
        </w:tc>
      </w:tr>
      <w:tr>
        <w:trPr>
          <w:trHeight w:val="216"/>
        </w:trPr>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Subject to Participant’s satisfaction of the Service Vesting Condition [and further subject to the terms in the</w:t>
            </w:r>
          </w:p>
        </w:tc>
      </w:tr>
      <w:tr>
        <w:trPr>
          <w:trHeight w:val="194"/>
        </w:trPr>
        <w:tc>
          <w:tcPr>
            <w:tcW w:w="2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3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Employment Agreement,] the number of Vested Units (disregarding any resulting fractional Unit) will be equal to</w:t>
            </w:r>
          </w:p>
        </w:tc>
      </w:tr>
      <w:tr>
        <w:trPr>
          <w:trHeight w:val="20"/>
        </w:trPr>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8"/>
        </w:trPr>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Target Number of Units multiplied by the applicable Payout Level determined by the Committee in accordance</w:t>
            </w:r>
          </w:p>
        </w:tc>
      </w:tr>
      <w:tr>
        <w:trPr>
          <w:trHeight w:val="194"/>
        </w:trPr>
        <w:tc>
          <w:tcPr>
            <w:tcW w:w="2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3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with the Performance Vesting Criteria set out in Attachment 1 to this Grant Notice (the “Performance Vesting</w:t>
            </w:r>
          </w:p>
        </w:tc>
      </w:tr>
      <w:tr>
        <w:trPr>
          <w:trHeight w:val="196"/>
        </w:trPr>
        <w:tc>
          <w:tcPr>
            <w:tcW w:w="2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Conditions”) for:</w:t>
            </w:r>
          </w:p>
        </w:tc>
        <w:tc>
          <w:tcPr>
            <w:tcW w:w="960" w:type="dxa"/>
            <w:vAlign w:val="bottom"/>
            <w:tcBorders>
              <w:top w:val="single" w:sz="8" w:color="auto"/>
            </w:tcBorders>
            <w:gridSpan w:val="2"/>
          </w:tcPr>
          <w:p>
            <w:pPr>
              <w:spacing w:after="0"/>
              <w:rPr>
                <w:sz w:val="17"/>
                <w:szCs w:val="17"/>
                <w:color w:val="auto"/>
              </w:rPr>
            </w:pPr>
          </w:p>
        </w:tc>
        <w:tc>
          <w:tcPr>
            <w:tcW w:w="19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9" w:lineRule="exact"/>
        <w:rPr>
          <w:sz w:val="20"/>
          <w:szCs w:val="20"/>
          <w:color w:val="auto"/>
        </w:rPr>
      </w:pPr>
    </w:p>
    <w:p>
      <w:pPr>
        <w:ind w:left="3460" w:right="20" w:hanging="662"/>
        <w:spacing w:after="0" w:line="276" w:lineRule="auto"/>
        <w:tabs>
          <w:tab w:leader="none" w:pos="336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one-year Performance Period commencing on , and ending on , with respect to % of the Target Number of Units, which are eligible to vest subject to the level of attainment of the during such Performance Period;</w:t>
      </w:r>
    </w:p>
    <w:p>
      <w:pPr>
        <w:ind w:left="3460" w:hanging="662"/>
        <w:spacing w:after="0" w:line="250" w:lineRule="auto"/>
        <w:tabs>
          <w:tab w:leader="none" w:pos="34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three-year Performance Period commencing on , and ending on , with respect to % of the Target Number of Units which are eligible to vest subject to the level of attainment of the performance metric during such Performance Period; and,</w:t>
      </w:r>
    </w:p>
    <w:p>
      <w:pPr>
        <w:spacing w:after="0" w:line="1" w:lineRule="exact"/>
        <w:rPr>
          <w:rFonts w:ascii="Times New Roman" w:cs="Times New Roman" w:eastAsia="Times New Roman" w:hAnsi="Times New Roman"/>
          <w:sz w:val="18"/>
          <w:szCs w:val="18"/>
          <w:color w:val="auto"/>
        </w:rPr>
      </w:pPr>
    </w:p>
    <w:p>
      <w:pPr>
        <w:ind w:left="3480" w:hanging="682"/>
        <w:spacing w:after="0"/>
        <w:tabs>
          <w:tab w:leader="none" w:pos="34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 as further specified in the Performance Vesting Conditions.</w:t>
      </w: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 the avoidance of doubt, no Units will become Vested Units unless each of the Service Vesting Condition and the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Performance Vesting Conditions are both met with respect to such Units as determined by the Compensation</w:t>
            </w:r>
          </w:p>
        </w:tc>
        <w:tc>
          <w:tcPr>
            <w:tcW w:w="0" w:type="dxa"/>
            <w:vAlign w:val="bottom"/>
          </w:tcPr>
          <w:p>
            <w:pPr>
              <w:spacing w:after="0"/>
              <w:rPr>
                <w:sz w:val="1"/>
                <w:szCs w:val="1"/>
                <w:color w:val="auto"/>
              </w:rPr>
            </w:pPr>
          </w:p>
        </w:tc>
      </w:tr>
      <w:tr>
        <w:trPr>
          <w:trHeight w:val="234"/>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Committee.</w:t>
            </w:r>
          </w:p>
        </w:tc>
        <w:tc>
          <w:tcPr>
            <w:tcW w:w="0" w:type="dxa"/>
            <w:vAlign w:val="bottom"/>
          </w:tcPr>
          <w:p>
            <w:pPr>
              <w:spacing w:after="0"/>
              <w:rPr>
                <w:sz w:val="1"/>
                <w:szCs w:val="1"/>
                <w:color w:val="auto"/>
              </w:rPr>
            </w:pPr>
          </w:p>
        </w:tc>
      </w:tr>
      <w:tr>
        <w:trPr>
          <w:trHeight w:val="194"/>
        </w:trPr>
        <w:tc>
          <w:tcPr>
            <w:tcW w:w="2380" w:type="dxa"/>
            <w:vAlign w:val="bottom"/>
            <w:vMerge w:val="continue"/>
          </w:tcPr>
          <w:p>
            <w:pPr>
              <w:spacing w:after="0"/>
              <w:rPr>
                <w:sz w:val="16"/>
                <w:szCs w:val="16"/>
                <w:color w:val="auto"/>
              </w:rPr>
            </w:pPr>
          </w:p>
        </w:tc>
        <w:tc>
          <w:tcPr>
            <w:tcW w:w="8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Vesting Condition:</w:t>
            </w: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Vested Units:</w:t>
            </w: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Superseding Agreement:</w:t>
            </w: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0"/>
        </w:trPr>
        <w:tc>
          <w:tcPr>
            <w:tcW w:w="2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Tax Withholding:</w:t>
            </w: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All tax withholding obligations shall be satisfied by deducting from the shares of Stock otherwise deliverable to the</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8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Participant in settlement of the Award as permitted by Section 7.2 of the Agreement.</w:t>
            </w:r>
          </w:p>
        </w:tc>
        <w:tc>
          <w:tcPr>
            <w:tcW w:w="0" w:type="dxa"/>
            <w:vAlign w:val="bottom"/>
          </w:tcPr>
          <w:p>
            <w:pPr>
              <w:spacing w:after="0"/>
              <w:rPr>
                <w:sz w:val="1"/>
                <w:szCs w:val="1"/>
                <w:color w:val="auto"/>
              </w:rPr>
            </w:pPr>
          </w:p>
        </w:tc>
      </w:tr>
      <w:tr>
        <w:trPr>
          <w:trHeight w:val="358"/>
        </w:trPr>
        <w:tc>
          <w:tcPr>
            <w:tcW w:w="23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4" w:right="339" w:bottom="1440" w:gutter="0" w:footer="0" w:header="0"/>
        </w:sectPr>
      </w:pPr>
    </w:p>
    <w:bookmarkStart w:id="92" w:name="page93"/>
    <w:bookmarkEnd w:id="92"/>
    <w:p>
      <w:pPr>
        <w:ind w:left="340"/>
        <w:spacing w:after="0" w:line="256" w:lineRule="auto"/>
        <w:rPr>
          <w:sz w:val="20"/>
          <w:szCs w:val="20"/>
          <w:color w:val="auto"/>
        </w:rPr>
      </w:pPr>
      <w:r>
        <w:rPr>
          <w:rFonts w:ascii="Times New Roman" w:cs="Times New Roman" w:eastAsia="Times New Roman" w:hAnsi="Times New Roman"/>
          <w:sz w:val="18"/>
          <w:szCs w:val="18"/>
          <w:color w:val="auto"/>
        </w:rPr>
        <w:t>By their signatures below or by electronic acceptance or authentication in a form authorized by the Company, the Company and the Participant agree that the Award is governed by this Grant Notice and by the provisions of the Performance Stock Units Agreement and the Plan, both of which are made a part of this document, and by the Superseding Agreement, if any. The Participant acknowledges that copies of the Plan, the Performance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Performance Stock Units Agreement and the Plan, and hereby accepts the Award subject to all of their terms and conditions.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PALOMAR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5715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440" w:top="1012" w:right="39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7979 Ivanhoe Avenue, 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2209800</wp:posOffset>
            </wp:positionH>
            <wp:positionV relativeFrom="paragraph">
              <wp:posOffset>-120650</wp:posOffset>
            </wp:positionV>
            <wp:extent cx="41148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 92037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2209800</wp:posOffset>
            </wp:positionH>
            <wp:positionV relativeFrom="paragraph">
              <wp:posOffset>5715</wp:posOffset>
            </wp:positionV>
            <wp:extent cx="41148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ectPr>
          <w:pgSz w:w="11900" w:h="16838" w:orient="portrait"/>
          <w:cols w:equalWidth="0" w:num="2">
            <w:col w:w="640" w:space="520"/>
            <w:col w:w="9900"/>
          </w:cols>
          <w:pgMar w:left="440" w:top="1012" w:right="39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2"/>
          <w:szCs w:val="22"/>
          <w:b w:val="1"/>
          <w:bCs w:val="1"/>
          <w:color w:val="auto"/>
        </w:rPr>
        <w:t>PALOMAR HOLDINGS,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jc w:val="center"/>
        <w:spacing w:after="0"/>
        <w:rPr>
          <w:sz w:val="20"/>
          <w:szCs w:val="20"/>
          <w:color w:val="auto"/>
        </w:rPr>
      </w:pPr>
      <w:r>
        <w:rPr>
          <w:rFonts w:ascii="Times New Roman" w:cs="Times New Roman" w:eastAsia="Times New Roman" w:hAnsi="Times New Roman"/>
          <w:sz w:val="18"/>
          <w:szCs w:val="18"/>
          <w:b w:val="1"/>
          <w:bCs w:val="1"/>
          <w:color w:val="auto"/>
        </w:rPr>
        <w:t>(For U.S. Participants)</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Palomar Holdings, Inc. has granted to the Participant named in the </w:t>
      </w:r>
      <w:r>
        <w:rPr>
          <w:rFonts w:ascii="Times New Roman" w:cs="Times New Roman" w:eastAsia="Times New Roman" w:hAnsi="Times New Roman"/>
          <w:sz w:val="18"/>
          <w:szCs w:val="18"/>
          <w:i w:val="1"/>
          <w:iCs w:val="1"/>
          <w:color w:val="auto"/>
        </w:rPr>
        <w:t>Notice of Grant of Performance Stock Units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to which this Performance Stock Units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attached an Award consisting of Performance Stock Units (each a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subject to the terms and conditions set forth in the Grant Notice and this Agreement. The Award has been granted pursuant to and shall in all respects be subject to the terms and conditions of the Palomar Holdings, Inc. 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cs="Times New Roman" w:eastAsia="Times New Roman" w:hAnsi="Times New Roman"/>
          <w:sz w:val="18"/>
          <w:szCs w:val="18"/>
          <w:b w:val="1"/>
          <w:bCs w:val="1"/>
          <w:i w:val="1"/>
          <w:iCs w:val="1"/>
          <w:color w:val="auto"/>
        </w:rPr>
        <w:t>Plan Prospectus</w:t>
      </w:r>
      <w:r>
        <w:rPr>
          <w:rFonts w:ascii="Times New Roman" w:cs="Times New Roman" w:eastAsia="Times New Roman" w:hAnsi="Times New Roman"/>
          <w:sz w:val="18"/>
          <w:szCs w:val="18"/>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88" w:lineRule="exact"/>
        <w:rPr>
          <w:sz w:val="20"/>
          <w:szCs w:val="20"/>
          <w:color w:val="auto"/>
        </w:rPr>
      </w:pPr>
    </w:p>
    <w:p>
      <w:pPr>
        <w:ind w:left="180" w:hanging="172"/>
        <w:spacing w:after="0"/>
        <w:tabs>
          <w:tab w:leader="none" w:pos="1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 AND CONSTRUCTION.</w:t>
      </w:r>
    </w:p>
    <w:p>
      <w:pPr>
        <w:spacing w:after="0" w:line="2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Unless otherwise defined herein, capitalized terms shall have the meanings assigned to such terms in the Grant Notice or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1.2 Construction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Captions and titles contained herein are for convenience only and shall not affect the meaning or interpretation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1" w:lineRule="exact"/>
        <w:rPr>
          <w:sz w:val="20"/>
          <w:szCs w:val="20"/>
          <w:color w:val="auto"/>
        </w:rPr>
      </w:pPr>
    </w:p>
    <w:p>
      <w:pPr>
        <w:ind w:left="180" w:hanging="172"/>
        <w:spacing w:after="0"/>
        <w:tabs>
          <w:tab w:leader="none" w:pos="1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ind w:left="180" w:hanging="172"/>
        <w:spacing w:after="0"/>
        <w:tabs>
          <w:tab w:leader="none" w:pos="1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AWARD.</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 Grant of Units. </w:t>
      </w:r>
      <w:r>
        <w:rPr>
          <w:rFonts w:ascii="Times New Roman" w:cs="Times New Roman" w:eastAsia="Times New Roman" w:hAnsi="Times New Roman"/>
          <w:sz w:val="18"/>
          <w:szCs w:val="18"/>
          <w:color w:val="auto"/>
        </w:rPr>
        <w:t>On the Date of Grant, the Company hereby awards to the Participant up to the Maximum Units set forth in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which, depending on the level of the Performance Metric attained during the Performance Period, may result in the Participant earning as little as zero (0) Units or as many as the Maximum Units. Subject to the terms of this Agreement and the Plan, each Unit, to the extent it is earned and becomes a Vested Unit, represents a right to receive one (1) share of Stock on the Settlement Date (as defined in Section 6.1). Unless and until a Unit has been determined to be an earned unit and has vested and become a Vested Unit as set forth in the Grant Notice (including any appendix) and this Agreement, the Participant will have no right to settlement of such Units. Prior to settlement of any Units, such Units will represent an unfunded and unsecured obligation of the Company.</w:t>
      </w:r>
    </w:p>
    <w:p>
      <w:pPr>
        <w:spacing w:after="0" w:line="183"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 No Monetary Payment Required. </w:t>
      </w:r>
      <w:r>
        <w:rPr>
          <w:rFonts w:ascii="Times New Roman" w:cs="Times New Roman" w:eastAsia="Times New Roman" w:hAnsi="Times New Roman"/>
          <w:sz w:val="18"/>
          <w:szCs w:val="18"/>
          <w:color w:val="auto"/>
        </w:rPr>
        <w:t>The Participant is not required to make any monetary payment (other than applicable tax withholding,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79" w:lineRule="exact"/>
        <w:rPr>
          <w:sz w:val="20"/>
          <w:szCs w:val="20"/>
          <w:color w:val="auto"/>
        </w:rPr>
      </w:pPr>
    </w:p>
    <w:p>
      <w:pPr>
        <w:ind w:left="180" w:hanging="172"/>
        <w:spacing w:after="0"/>
        <w:tabs>
          <w:tab w:leader="none" w:pos="1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OF UNITS.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Units acquired pursuant to this Agreement shall become Vested Units as provided in the Grant Notice. For purposes of determining the number of Vested Units following an Ownership Change Event, credited Service shall include all Service with any Company which is a Participating Company at the time the Service is rendered, whether or not such Company is a Participating Company both before and after the Ownership Change Event.</w:t>
      </w:r>
    </w:p>
    <w:p>
      <w:pPr>
        <w:spacing w:after="0" w:line="172" w:lineRule="exact"/>
        <w:rPr>
          <w:sz w:val="20"/>
          <w:szCs w:val="20"/>
          <w:color w:val="auto"/>
        </w:rPr>
      </w:pPr>
    </w:p>
    <w:p>
      <w:pPr>
        <w:ind w:left="180" w:hanging="172"/>
        <w:spacing w:after="0"/>
        <w:tabs>
          <w:tab w:leader="none" w:pos="1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 REACQUISITION RIGHT.</w:t>
      </w:r>
    </w:p>
    <w:p>
      <w:pPr>
        <w:spacing w:after="0" w:line="225"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 Grant of Company Reacquisition Right. </w:t>
      </w:r>
      <w:r>
        <w:rPr>
          <w:rFonts w:ascii="Times New Roman" w:cs="Times New Roman" w:eastAsia="Times New Roman" w:hAnsi="Times New Roman"/>
          <w:sz w:val="18"/>
          <w:szCs w:val="18"/>
          <w:color w:val="auto"/>
        </w:rPr>
        <w:t>Except to the extent otherwise provided by the Superseding Agreement, if any, in the event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Participant’s Service terminates for any reason or no reason, with or without cause, the Participant shall forfeit and the Company shall automatically reacquire all Units which are not, as of the time of such termination, Vested Units (“</w:t>
      </w:r>
      <w:r>
        <w:rPr>
          <w:rFonts w:ascii="Times New Roman" w:cs="Times New Roman" w:eastAsia="Times New Roman" w:hAnsi="Times New Roman"/>
          <w:sz w:val="18"/>
          <w:szCs w:val="18"/>
          <w:b w:val="1"/>
          <w:bCs w:val="1"/>
          <w:i w:val="1"/>
          <w:iCs w:val="1"/>
          <w:color w:val="auto"/>
        </w:rPr>
        <w:t>Unvested Units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the Participant shall not be entitled to any payment therefor (the “</w:t>
      </w:r>
      <w:r>
        <w:rPr>
          <w:rFonts w:ascii="Times New Roman" w:cs="Times New Roman" w:eastAsia="Times New Roman" w:hAnsi="Times New Roman"/>
          <w:sz w:val="18"/>
          <w:szCs w:val="18"/>
          <w:b w:val="1"/>
          <w:bCs w:val="1"/>
          <w:i w:val="1"/>
          <w:iCs w:val="1"/>
          <w:color w:val="auto"/>
        </w:rPr>
        <w:t>Company Reacquisition Right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5.2 Ownership Change Event, Non-Cash Dividends, Distributions and Adjustments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occurrence of an Ownership Change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Company which is a Participating Company at the time the Service is rendered, whether or not such Company is a Participating Company both before and after any such event.</w:t>
      </w:r>
    </w:p>
    <w:p>
      <w:pPr>
        <w:spacing w:after="0" w:line="188" w:lineRule="exact"/>
        <w:rPr>
          <w:sz w:val="20"/>
          <w:szCs w:val="20"/>
          <w:color w:val="auto"/>
        </w:rPr>
      </w:pPr>
    </w:p>
    <w:p>
      <w:pPr>
        <w:ind w:left="180" w:hanging="172"/>
        <w:spacing w:after="0"/>
        <w:tabs>
          <w:tab w:leader="none" w:pos="1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THE AWARD</w:t>
      </w:r>
    </w:p>
    <w:p>
      <w:pPr>
        <w:spacing w:after="0" w:line="225"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6.1 Issuance of Shares of Stock</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“Settlement Date” with respect to a Vested Unit will be the date on which such Unit becomes a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or as soon as administratively practicable but no later within 30 days thereafter. The Company shall deliver to the Participant a number of shares of Stock equal to the number of Vested Units subject to this Award. Shares of Stock issued in settlement of Units shall not be subject to any restriction on transfer other than any such restriction as may be required pursuant to Section 6.3, Section 7 or the Company’s Trading Compliance Policy.</w:t>
      </w:r>
    </w:p>
    <w:p>
      <w:pPr>
        <w:spacing w:after="0" w:line="176"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6.2 Beneficial Ownership of Shares; Certificate Registration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hereby authorizes the Company, in its sole discretion,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7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6.3 Restrictions on Grant of the Award and Issuance of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the Award and issuance of shares of Stock upon settlement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8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Fractional Shares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shall not be required to issue fractional shares upon the settlement of the Award.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tabs>
          <w:tab w:leader="none" w:pos="1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color w:val="auto"/>
        </w:rPr>
        <w:t>To the extent that the receipt, vesting or settlement of Vested Units results in compensation income or wages to the Participant for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local and/or foreign tax purposes, the Participant shall make arrangements satisfactory to the Company regarding the payment of, any income tax, social insurance contribution or other applicable taxes that are required to be withheld in respect of this Award, which arrangements include the delivery of cash or cash equivalents, shares of Stock (including previously owned shares of Stock (which is not subject to any pledge or other security interest), net</w:t>
      </w:r>
    </w:p>
    <w:p>
      <w:pPr>
        <w:sectPr>
          <w:pgSz w:w="11900" w:h="16838" w:orient="portrait"/>
          <w:cols w:equalWidth="0" w:num="1">
            <w:col w:w="11240"/>
          </w:cols>
          <w:pgMar w:left="320" w:top="1008" w:right="339" w:bottom="0" w:gutter="0" w:footer="0" w:header="0"/>
        </w:sectPr>
      </w:pPr>
    </w:p>
    <w:bookmarkStart w:id="95" w:name="page96"/>
    <w:bookmarkEnd w:id="95"/>
    <w:p>
      <w:pPr>
        <w:ind w:right="580"/>
        <w:spacing w:after="0" w:line="282" w:lineRule="auto"/>
        <w:rPr>
          <w:sz w:val="20"/>
          <w:szCs w:val="20"/>
          <w:color w:val="auto"/>
        </w:rPr>
      </w:pPr>
      <w:r>
        <w:rPr>
          <w:rFonts w:ascii="Times New Roman" w:cs="Times New Roman" w:eastAsia="Times New Roman" w:hAnsi="Times New Roman"/>
          <w:sz w:val="18"/>
          <w:szCs w:val="18"/>
          <w:color w:val="auto"/>
        </w:rPr>
        <w:t>settlement, a broker-assisted sale, or other cashless withholding or reduction of the amount of shares otherwise issuable or delivered pursuant to this Award), other property, or any other legal consideration the Company deems appropriate.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such tax obligations are satisfied through net settlement or the surrender of previously owned shares of Stock,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spacing w:after="0" w:line="190"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7.2 Withholding in Shares. </w:t>
      </w:r>
      <w:r>
        <w:rPr>
          <w:rFonts w:ascii="Times New Roman" w:cs="Times New Roman" w:eastAsia="Times New Roman" w:hAnsi="Times New Roman"/>
          <w:sz w:val="18"/>
          <w:szCs w:val="18"/>
          <w:color w:val="auto"/>
        </w:rPr>
        <w:t>The Company will have the right (as determined by the Committee and as may be set forth in the Grant Notice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as described in Section 7.1. .</w:t>
      </w:r>
    </w:p>
    <w:p>
      <w:pPr>
        <w:spacing w:after="0" w:line="179" w:lineRule="exact"/>
        <w:rPr>
          <w:sz w:val="20"/>
          <w:szCs w:val="20"/>
          <w:color w:val="auto"/>
        </w:rPr>
      </w:pPr>
    </w:p>
    <w:p>
      <w:pPr>
        <w:ind w:left="180" w:hanging="172"/>
        <w:spacing w:after="0"/>
        <w:tabs>
          <w:tab w:leader="none" w:pos="1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b w:val="1"/>
          <w:bCs w:val="1"/>
          <w:i w:val="1"/>
          <w:iCs w:val="1"/>
          <w:u w:val="single" w:color="auto"/>
          <w:color w:val="auto"/>
        </w:rPr>
        <w:t>.</w:t>
      </w:r>
    </w:p>
    <w:p>
      <w:pPr>
        <w:spacing w:after="0" w:line="229" w:lineRule="exact"/>
        <w:rPr>
          <w:sz w:val="20"/>
          <w:szCs w:val="20"/>
          <w:color w:val="auto"/>
        </w:rPr>
      </w:pPr>
    </w:p>
    <w:p>
      <w:pPr>
        <w:jc w:val="both"/>
        <w:ind w:firstLine="738"/>
        <w:spacing w:after="0" w:line="253" w:lineRule="auto"/>
        <w:rPr>
          <w:sz w:val="20"/>
          <w:szCs w:val="20"/>
          <w:color w:val="auto"/>
        </w:rPr>
      </w:pPr>
      <w:r>
        <w:rPr>
          <w:rFonts w:ascii="Times New Roman" w:cs="Times New Roman" w:eastAsia="Times New Roman" w:hAnsi="Times New Roman"/>
          <w:sz w:val="18"/>
          <w:szCs w:val="18"/>
          <w:color w:val="auto"/>
        </w:rPr>
        <w:t>In the event of a Change in Control, the Award shall be subject to the definitive agreement entered into by the Company in connection with the Change in Control. Except to the extent that the Committee determines to cash out the Award in accordance with Section 13.1(c) of the Plan, the surviving, continuing, successor, or purchasing entity or parent thereof, as the case may be (the “</w:t>
      </w:r>
      <w:r>
        <w:rPr>
          <w:rFonts w:ascii="Times New Roman" w:cs="Times New Roman" w:eastAsia="Times New Roman" w:hAnsi="Times New Roman"/>
          <w:sz w:val="18"/>
          <w:szCs w:val="18"/>
          <w:b w:val="1"/>
          <w:bCs w:val="1"/>
          <w:i w:val="1"/>
          <w:iCs w:val="1"/>
          <w:color w:val="auto"/>
        </w:rPr>
        <w:t>Acquiror</w:t>
      </w:r>
      <w:r>
        <w:rPr>
          <w:rFonts w:ascii="Times New Roman" w:cs="Times New Roman" w:eastAsia="Times New Roman" w:hAnsi="Times New Roman"/>
          <w:sz w:val="18"/>
          <w:szCs w:val="18"/>
          <w:color w:val="auto"/>
        </w:rPr>
        <w:t>”),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of the Change in Control to the extent that Units subject to the Award are neither assumed or continued by the Acquiror in connection with the Change in Control nor settled as of the time of the Change in Control.</w:t>
      </w:r>
    </w:p>
    <w:p>
      <w:pPr>
        <w:spacing w:after="0" w:line="183" w:lineRule="exact"/>
        <w:rPr>
          <w:sz w:val="20"/>
          <w:szCs w:val="20"/>
          <w:color w:val="auto"/>
        </w:rPr>
      </w:pPr>
    </w:p>
    <w:p>
      <w:pPr>
        <w:ind w:left="180" w:hanging="172"/>
        <w:spacing w:after="0"/>
        <w:tabs>
          <w:tab w:leader="none" w:pos="1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FOR CHANGES IN CAPITAL STRUCTURE.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83" w:lineRule="exact"/>
        <w:rPr>
          <w:sz w:val="20"/>
          <w:szCs w:val="20"/>
          <w:color w:val="auto"/>
        </w:rPr>
      </w:pPr>
    </w:p>
    <w:p>
      <w:pPr>
        <w:ind w:left="280" w:hanging="272"/>
        <w:spacing w:after="0"/>
        <w:tabs>
          <w:tab w:leader="none" w:pos="28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 DIRECTOR, EMPLOYEE OR CONSULTANT.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85" w:lineRule="exact"/>
        <w:rPr>
          <w:sz w:val="20"/>
          <w:szCs w:val="20"/>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76" w:lineRule="exact"/>
        <w:rPr>
          <w:sz w:val="20"/>
          <w:szCs w:val="20"/>
          <w:color w:val="auto"/>
        </w:rPr>
      </w:pPr>
    </w:p>
    <w:p>
      <w:pPr>
        <w:ind w:left="280" w:hanging="272"/>
        <w:spacing w:after="0"/>
        <w:tabs>
          <w:tab w:leader="none" w:pos="2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SECTION 409A.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sectPr>
          <w:pgSz w:w="11900" w:h="16838" w:orient="portrait"/>
          <w:cols w:equalWidth="0" w:num="1">
            <w:col w:w="11240"/>
          </w:cols>
          <w:pgMar w:left="320" w:top="121" w:right="339" w:bottom="0" w:gutter="0" w:footer="0" w:header="0"/>
        </w:sectPr>
      </w:pPr>
    </w:p>
    <w:bookmarkStart w:id="96" w:name="page97"/>
    <w:bookmarkEnd w:id="96"/>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12.1 Separation from Service; Required Delay in Payment to Specified Employee. </w:t>
      </w:r>
      <w:r>
        <w:rPr>
          <w:rFonts w:ascii="Times New Roman" w:cs="Times New Roman" w:eastAsia="Times New Roman" w:hAnsi="Times New Roman"/>
          <w:sz w:val="18"/>
          <w:szCs w:val="18"/>
          <w:color w:val="auto"/>
        </w:rPr>
        <w:t>Notwithstanding anything set forth herein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cs="Times New Roman" w:eastAsia="Times New Roman" w:hAnsi="Times New Roman"/>
          <w:sz w:val="18"/>
          <w:szCs w:val="18"/>
          <w:b w:val="1"/>
          <w:bCs w:val="1"/>
          <w:i w:val="1"/>
          <w:iCs w:val="1"/>
          <w:color w:val="auto"/>
        </w:rPr>
        <w:t>Section 409A Regulations</w:t>
      </w:r>
      <w:r>
        <w:rPr>
          <w:rFonts w:ascii="Times New Roman" w:cs="Times New Roman" w:eastAsia="Times New Roman" w:hAnsi="Times New Roman"/>
          <w:sz w:val="18"/>
          <w:szCs w:val="18"/>
          <w:color w:val="auto"/>
        </w:rPr>
        <w:t>”)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cs="Times New Roman" w:eastAsia="Times New Roman" w:hAnsi="Times New Roman"/>
          <w:sz w:val="18"/>
          <w:szCs w:val="18"/>
          <w:b w:val="1"/>
          <w:bCs w:val="1"/>
          <w:i w:val="1"/>
          <w:iCs w:val="1"/>
          <w:color w:val="auto"/>
        </w:rPr>
        <w:t>Delayed Payment Date</w:t>
      </w:r>
      <w:r>
        <w:rPr>
          <w:rFonts w:ascii="Times New Roman" w:cs="Times New Roman" w:eastAsia="Times New Roman" w:hAnsi="Times New Roman"/>
          <w:sz w:val="18"/>
          <w:szCs w:val="18"/>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88"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12.2 Other Changes in Time of Payment. </w:t>
      </w:r>
      <w:r>
        <w:rPr>
          <w:rFonts w:ascii="Times New Roman" w:cs="Times New Roman" w:eastAsia="Times New Roman" w:hAnsi="Times New Roman"/>
          <w:sz w:val="18"/>
          <w:szCs w:val="18"/>
          <w:color w:val="auto"/>
        </w:rPr>
        <w:t>Neither the Participant nor the Company shall take any action to accelerate or delay the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benefits under this Agreement in any manner which would not be in compliance with the Section 409A Regulations.</w:t>
      </w:r>
    </w:p>
    <w:p>
      <w:pPr>
        <w:spacing w:after="0" w:line="155"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12.3 Amendments to Comply with Section 409A; Indemnification. </w:t>
      </w:r>
      <w:r>
        <w:rPr>
          <w:rFonts w:ascii="Times New Roman" w:cs="Times New Roman" w:eastAsia="Times New Roman" w:hAnsi="Times New Roman"/>
          <w:sz w:val="18"/>
          <w:szCs w:val="18"/>
          <w:color w:val="auto"/>
        </w:rPr>
        <w:t>Notwithstanding any other provision of this Agreement 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82"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12.4 Advice of Independent Tax Advisor. </w:t>
      </w:r>
      <w:r>
        <w:rPr>
          <w:rFonts w:ascii="Times New Roman" w:cs="Times New Roman" w:eastAsia="Times New Roman" w:hAnsi="Times New Roman"/>
          <w:sz w:val="18"/>
          <w:szCs w:val="18"/>
          <w:color w:val="auto"/>
        </w:rPr>
        <w:t>The Company has not obtained a tax ruling or other confirmation from the Internal Revenue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79" w:lineRule="exact"/>
        <w:rPr>
          <w:sz w:val="20"/>
          <w:szCs w:val="20"/>
          <w:color w:val="auto"/>
        </w:rPr>
      </w:pPr>
    </w:p>
    <w:p>
      <w:pPr>
        <w:ind w:left="280" w:hanging="272"/>
        <w:spacing w:after="0"/>
        <w:tabs>
          <w:tab w:leader="none" w:pos="28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2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13.1 Termination or Amendment. </w:t>
      </w:r>
      <w:r>
        <w:rPr>
          <w:rFonts w:ascii="Times New Roman" w:cs="Times New Roman" w:eastAsia="Times New Roman" w:hAnsi="Times New Roman"/>
          <w:sz w:val="18"/>
          <w:szCs w:val="18"/>
          <w:color w:val="auto"/>
        </w:rPr>
        <w:t>The Committee may terminate or amend the Plan or this Agreement at any time; provided, however,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179"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13.2 Nontransferability of the Award. </w:t>
      </w:r>
      <w:r>
        <w:rPr>
          <w:rFonts w:ascii="Times New Roman" w:cs="Times New Roman" w:eastAsia="Times New Roman" w:hAnsi="Times New Roman"/>
          <w:sz w:val="18"/>
          <w:szCs w:val="18"/>
          <w:color w:val="auto"/>
        </w:rPr>
        <w:t>Prior to the issuance of shares of Stock on the applicable Settlement Date, neither this Award nor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76"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13.3 Further Instruments. </w:t>
      </w:r>
      <w:r>
        <w:rPr>
          <w:rFonts w:ascii="Times New Roman" w:cs="Times New Roman" w:eastAsia="Times New Roman" w:hAnsi="Times New Roman"/>
          <w:sz w:val="18"/>
          <w:szCs w:val="18"/>
          <w:color w:val="auto"/>
        </w:rPr>
        <w:t>The parties hereto agree to execute such further instruments and to take such further action as may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carry out the intent of this Agreement.</w:t>
      </w:r>
    </w:p>
    <w:p>
      <w:pPr>
        <w:spacing w:after="0" w:line="15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13.4 Binding Effect. </w:t>
      </w:r>
      <w:r>
        <w:rPr>
          <w:rFonts w:ascii="Times New Roman" w:cs="Times New Roman" w:eastAsia="Times New Roman" w:hAnsi="Times New Roman"/>
          <w:sz w:val="18"/>
          <w:szCs w:val="18"/>
          <w:color w:val="auto"/>
        </w:rPr>
        <w:t>This Agreement shall inure to the benefit of the successors and assigns of the Company and, subject to the restrictions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set forth herein, be binding upon the Participant and the Participant’s heirs, executors, administrators, successors and assigns.</w:t>
      </w:r>
    </w:p>
    <w:p>
      <w:pPr>
        <w:spacing w:after="0" w:line="15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13.5 Delivery of Documents and Notices. </w:t>
      </w:r>
      <w:r>
        <w:rPr>
          <w:rFonts w:ascii="Times New Roman" w:cs="Times New Roman" w:eastAsia="Times New Roman" w:hAnsi="Times New Roman"/>
          <w:sz w:val="18"/>
          <w:szCs w:val="18"/>
          <w:color w:val="auto"/>
        </w:rPr>
        <w:t>Any document relating to participation in the Plan or any notice required or permitted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82" w:lineRule="exact"/>
        <w:rPr>
          <w:sz w:val="20"/>
          <w:szCs w:val="20"/>
          <w:color w:val="auto"/>
        </w:rPr>
      </w:pPr>
    </w:p>
    <w:p>
      <w:pPr>
        <w:ind w:firstLine="1304"/>
        <w:spacing w:after="0" w:line="256" w:lineRule="auto"/>
        <w:tabs>
          <w:tab w:leader="none" w:pos="173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Description of Electronic Delivery and Signature. </w:t>
      </w:r>
      <w:r>
        <w:rPr>
          <w:rFonts w:ascii="Times New Roman" w:cs="Times New Roman" w:eastAsia="Times New Roman" w:hAnsi="Times New Roman"/>
          <w:sz w:val="18"/>
          <w:szCs w:val="18"/>
          <w:color w:val="auto"/>
        </w:rPr>
        <w:t>The Plan documents, which may include but do not necessarily include: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spacing w:after="0" w:line="182" w:lineRule="exact"/>
        <w:rPr>
          <w:rFonts w:ascii="Times New Roman" w:cs="Times New Roman" w:eastAsia="Times New Roman" w:hAnsi="Times New Roman"/>
          <w:sz w:val="18"/>
          <w:szCs w:val="18"/>
          <w:b w:val="1"/>
          <w:bCs w:val="1"/>
          <w:color w:val="auto"/>
        </w:rPr>
      </w:pPr>
    </w:p>
    <w:p>
      <w:pPr>
        <w:ind w:right="120" w:firstLine="1304"/>
        <w:spacing w:after="0" w:line="253" w:lineRule="auto"/>
        <w:tabs>
          <w:tab w:leader="none" w:pos="174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Consent to Electronic Delivery and Signature. </w:t>
      </w:r>
      <w:r>
        <w:rPr>
          <w:rFonts w:ascii="Times New Roman" w:cs="Times New Roman" w:eastAsia="Times New Roman" w:hAnsi="Times New Roman"/>
          <w:sz w:val="18"/>
          <w:szCs w:val="18"/>
          <w:color w:val="auto"/>
        </w:rPr>
        <w:t>The Participant acknowledges that the Participant has read Section 13.5(a)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90"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13.6 Integrated Agreement. </w:t>
      </w:r>
      <w:r>
        <w:rPr>
          <w:rFonts w:ascii="Times New Roman" w:cs="Times New Roman" w:eastAsia="Times New Roman" w:hAnsi="Times New Roman"/>
          <w:sz w:val="18"/>
          <w:szCs w:val="18"/>
          <w:color w:val="auto"/>
        </w:rPr>
        <w:t>The Grant Notice, this Agreement and the Plan, together with the Superseding Agreement, if any, shall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w:t>
      </w:r>
    </w:p>
    <w:p>
      <w:pPr>
        <w:sectPr>
          <w:pgSz w:w="11900" w:h="16838" w:orient="portrait"/>
          <w:cols w:equalWidth="0" w:num="1">
            <w:col w:w="11240"/>
          </w:cols>
          <w:pgMar w:left="320" w:top="117" w:right="339" w:bottom="0" w:gutter="0" w:footer="0" w:header="0"/>
        </w:sectPr>
      </w:pPr>
    </w:p>
    <w:bookmarkStart w:id="97" w:name="page98"/>
    <w:bookmarkEnd w:id="97"/>
    <w:p>
      <w:pPr>
        <w:ind w:right="40"/>
        <w:spacing w:after="0" w:line="282" w:lineRule="auto"/>
        <w:rPr>
          <w:sz w:val="20"/>
          <w:szCs w:val="20"/>
          <w:color w:val="auto"/>
        </w:rPr>
      </w:pPr>
      <w:r>
        <w:rPr>
          <w:rFonts w:ascii="Times New Roman" w:cs="Times New Roman" w:eastAsia="Times New Roman" w:hAnsi="Times New Roman"/>
          <w:sz w:val="18"/>
          <w:szCs w:val="18"/>
          <w:color w:val="auto"/>
        </w:rPr>
        <w:t>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13.7 Applicable Law. </w:t>
      </w:r>
      <w:r>
        <w:rPr>
          <w:rFonts w:ascii="Times New Roman" w:cs="Times New Roman" w:eastAsia="Times New Roman" w:hAnsi="Times New Roman"/>
          <w:sz w:val="18"/>
          <w:szCs w:val="18"/>
          <w:color w:val="auto"/>
        </w:rPr>
        <w:t>This Agreement shall be governed by the laws of the State of Delaware as such laws are applied to agreements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residents entered into and to be performed entirely within the State of Delaware.</w:t>
      </w:r>
    </w:p>
    <w:p>
      <w:pPr>
        <w:spacing w:after="0" w:line="15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13.8 Counterparts. </w:t>
      </w:r>
      <w:r>
        <w:rPr>
          <w:rFonts w:ascii="Times New Roman" w:cs="Times New Roman" w:eastAsia="Times New Roman" w:hAnsi="Times New Roman"/>
          <w:sz w:val="18"/>
          <w:szCs w:val="18"/>
          <w:color w:val="auto"/>
        </w:rPr>
        <w:t>The Grant Notice may be executed in counterparts, each of which shall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instrument.</w:t>
      </w:r>
    </w:p>
    <w:sectPr>
      <w:pgSz w:w="11900" w:h="16838" w:orient="portrait"/>
      <w:cols w:equalWidth="0" w:num="1">
        <w:col w:w="11100"/>
      </w:cols>
      <w:pgMar w:left="32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1."/>
      <w:numFmt w:val="decimal"/>
      <w:start w:val="1"/>
    </w:lvl>
  </w:abstractNum>
  <w:abstractNum w:abstractNumId="3">
    <w:nsid w:val="75C6C33A"/>
    <w:multiLevelType w:val="hybridMultilevel"/>
    <w:lvl w:ilvl="0">
      <w:lvlJc w:val="left"/>
      <w:lvlText w:val="(%1)"/>
      <w:numFmt w:val="decimal"/>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1)"/>
      <w:numFmt w:val="lowerRoman"/>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lvl w:ilvl="1">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1"/>
      <w:numFmt w:val="decimal"/>
      <w:start w:val="104"/>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lowerLetter"/>
      <w:start w:val="1"/>
    </w:lvl>
  </w:abstractNum>
  <w:abstractNum w:abstractNumId="29">
    <w:nsid w:val="2F305DEF"/>
    <w:multiLevelType w:val="hybridMultilevel"/>
    <w:lvl w:ilvl="0">
      <w:lvlJc w:val="left"/>
      <w:lvlText w:val="%1."/>
      <w:numFmt w:val="decimal"/>
      <w:start w:val="5"/>
    </w:lvl>
  </w:abstractNum>
  <w:abstractNum w:abstractNumId="30">
    <w:nsid w:val="25A70BF7"/>
    <w:multiLevelType w:val="hybridMultilevel"/>
    <w:lvl w:ilvl="0">
      <w:lvlJc w:val="left"/>
      <w:lvlText w:val="%1."/>
      <w:numFmt w:val="lowerLetter"/>
      <w:start w:val="1"/>
    </w:lvl>
  </w:abstractNum>
  <w:abstractNum w:abstractNumId="31">
    <w:nsid w:val="1DBABF00"/>
    <w:multiLevelType w:val="hybridMultilevel"/>
    <w:lvl w:ilvl="0">
      <w:lvlJc w:val="left"/>
      <w:lvlText w:val="%1."/>
      <w:numFmt w:val="lowerLetter"/>
      <w:start w:val="2"/>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lowerLetter"/>
      <w:start w:val="1"/>
    </w:lvl>
  </w:abstractNum>
  <w:abstractNum w:abstractNumId="34">
    <w:nsid w:val="1381823A"/>
    <w:multiLevelType w:val="hybridMultilevel"/>
    <w:lvl w:ilvl="0">
      <w:lvlJc w:val="left"/>
      <w:lvlText w:val="%1."/>
      <w:numFmt w:val="decimal"/>
      <w:start w:val="5"/>
    </w:lvl>
  </w:abstractNum>
  <w:abstractNum w:abstractNumId="35">
    <w:nsid w:val="5DB70AE5"/>
    <w:multiLevelType w:val="hybridMultilevel"/>
    <w:lvl w:ilvl="0">
      <w:lvlJc w:val="left"/>
      <w:lvlText w:val="%1."/>
      <w:numFmt w:val="lowerLetter"/>
      <w:start w:val="1"/>
    </w:lvl>
  </w:abstractNum>
  <w:abstractNum w:abstractNumId="36">
    <w:nsid w:val="100F8FCA"/>
    <w:multiLevelType w:val="hybridMultilevel"/>
    <w:lvl w:ilvl="0">
      <w:lvlJc w:val="left"/>
      <w:lvlText w:val="(%1)"/>
      <w:numFmt w:val="decimal"/>
      <w:start w:val="2"/>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2"/>
    </w:lvl>
  </w:abstractNum>
  <w:abstractNum w:abstractNumId="39">
    <w:nsid w:val="5F5E7FD0"/>
    <w:multiLevelType w:val="hybridMultilevel"/>
    <w:lvl w:ilvl="0">
      <w:lvlJc w:val="left"/>
      <w:lvlText w:val="%1."/>
      <w:numFmt w:val="decimal"/>
      <w:start w:val="3"/>
    </w:lvl>
  </w:abstractNum>
  <w:abstractNum w:abstractNumId="40">
    <w:nsid w:val="98A3148"/>
    <w:multiLevelType w:val="hybridMultilevel"/>
    <w:lvl w:ilvl="0">
      <w:lvlJc w:val="left"/>
      <w:lvlText w:val="%1."/>
      <w:numFmt w:val="decimal"/>
      <w:start w:val="4"/>
    </w:lvl>
  </w:abstractNum>
  <w:abstractNum w:abstractNumId="41">
    <w:nsid w:val="799D0247"/>
    <w:multiLevelType w:val="hybridMultilevel"/>
    <w:lvl w:ilvl="0">
      <w:lvlJc w:val="left"/>
      <w:lvlText w:val="%1."/>
      <w:numFmt w:val="decimal"/>
      <w:start w:val="5"/>
    </w:lvl>
  </w:abstractNum>
  <w:abstractNum w:abstractNumId="42">
    <w:nsid w:val="6B94764"/>
    <w:multiLevelType w:val="hybridMultilevel"/>
    <w:lvl w:ilvl="0">
      <w:lvlJc w:val="left"/>
      <w:lvlText w:val="%1."/>
      <w:numFmt w:val="decimal"/>
      <w:start w:val="6"/>
    </w:lvl>
  </w:abstractNum>
  <w:abstractNum w:abstractNumId="43">
    <w:nsid w:val="42C296BD"/>
    <w:multiLevelType w:val="hybridMultilevel"/>
    <w:lvl w:ilvl="0">
      <w:lvlJc w:val="left"/>
      <w:lvlText w:val="%1."/>
      <w:numFmt w:val="decimal"/>
      <w:start w:val="7"/>
    </w:lvl>
  </w:abstractNum>
  <w:abstractNum w:abstractNumId="44">
    <w:nsid w:val="168E121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5">
    <w:nsid w:val="1EBA5D23"/>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46">
    <w:nsid w:val="661E3F1E"/>
    <w:multiLevelType w:val="hybridMultilevel"/>
    <w:lvl w:ilvl="0">
      <w:lvlJc w:val="left"/>
      <w:lvlText w:val="%1."/>
      <w:numFmt w:val="decimal"/>
      <w:start w:val="9"/>
    </w:lvl>
  </w:abstractNum>
  <w:abstractNum w:abstractNumId="47">
    <w:nsid w:val="5DC79EA8"/>
    <w:multiLevelType w:val="hybridMultilevel"/>
    <w:lvl w:ilvl="0">
      <w:lvlJc w:val="left"/>
      <w:lvlText w:val="%1."/>
      <w:numFmt w:val="decimal"/>
      <w:start w:val="10"/>
    </w:lvl>
  </w:abstractNum>
  <w:abstractNum w:abstractNumId="48">
    <w:nsid w:val="540A471C"/>
    <w:multiLevelType w:val="hybridMultilevel"/>
    <w:lvl w:ilvl="0">
      <w:lvlJc w:val="left"/>
      <w:lvlText w:val="%1."/>
      <w:numFmt w:val="decimal"/>
      <w:start w:val="11"/>
    </w:lvl>
  </w:abstractNum>
  <w:abstractNum w:abstractNumId="49">
    <w:nsid w:val="7BD3EE7B"/>
    <w:multiLevelType w:val="hybridMultilevel"/>
    <w:lvl w:ilvl="0">
      <w:lvlJc w:val="left"/>
      <w:lvlText w:val="%1."/>
      <w:numFmt w:val="decimal"/>
      <w:start w:val="12"/>
    </w:lvl>
  </w:abstractNum>
  <w:abstractNum w:abstractNumId="50">
    <w:nsid w:val="51D9C564"/>
    <w:multiLevelType w:val="hybridMultilevel"/>
    <w:lvl w:ilvl="0">
      <w:lvlJc w:val="left"/>
      <w:lvlText w:val="%1."/>
      <w:numFmt w:val="decimal"/>
      <w:start w:val="13"/>
    </w:lvl>
  </w:abstractNum>
  <w:abstractNum w:abstractNumId="51">
    <w:nsid w:val="613EFDC5"/>
    <w:multiLevelType w:val="hybridMultilevel"/>
    <w:lvl w:ilvl="0">
      <w:lvlJc w:val="left"/>
      <w:lvlText w:val="(%1)"/>
      <w:numFmt w:val="lowerLetter"/>
      <w:start w:val="1"/>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2"/>
    </w:lvl>
  </w:abstractNum>
  <w:abstractNum w:abstractNumId="54">
    <w:nsid w:val="42963E5A"/>
    <w:multiLevelType w:val="hybridMultilevel"/>
    <w:lvl w:ilvl="0">
      <w:lvlJc w:val="left"/>
      <w:lvlText w:val="%1."/>
      <w:numFmt w:val="decimal"/>
      <w:start w:val="3"/>
    </w:lvl>
  </w:abstractNum>
  <w:abstractNum w:abstractNumId="55">
    <w:nsid w:val="A0382C5"/>
    <w:multiLevelType w:val="hybridMultilevel"/>
    <w:lvl w:ilvl="0">
      <w:lvlJc w:val="left"/>
      <w:lvlText w:val="%1."/>
      <w:numFmt w:val="decimal"/>
      <w:start w:val="4"/>
    </w:lvl>
  </w:abstractNum>
  <w:abstractNum w:abstractNumId="56">
    <w:nsid w:val="8F2B15E"/>
    <w:multiLevelType w:val="hybridMultilevel"/>
    <w:lvl w:ilvl="0">
      <w:lvlJc w:val="left"/>
      <w:lvlText w:val="%1."/>
      <w:numFmt w:val="decimal"/>
      <w:start w:val="5"/>
    </w:lvl>
  </w:abstractNum>
  <w:abstractNum w:abstractNumId="57">
    <w:nsid w:val="1A32234B"/>
    <w:multiLevelType w:val="hybridMultilevel"/>
    <w:lvl w:ilvl="0">
      <w:lvlJc w:val="left"/>
      <w:lvlText w:val="%1."/>
      <w:numFmt w:val="decimal"/>
      <w:start w:val="6"/>
    </w:lvl>
  </w:abstractNum>
  <w:abstractNum w:abstractNumId="58">
    <w:nsid w:val="3B0FD379"/>
    <w:multiLevelType w:val="hybridMultilevel"/>
    <w:lvl w:ilvl="0">
      <w:lvlJc w:val="left"/>
      <w:lvlText w:val="%1."/>
      <w:numFmt w:val="decimal"/>
      <w:start w:val="7"/>
    </w:lvl>
  </w:abstractNum>
  <w:abstractNum w:abstractNumId="59">
    <w:nsid w:val="68EB2F63"/>
    <w:multiLevelType w:val="hybridMultilevel"/>
    <w:lvl w:ilvl="0">
      <w:lvlJc w:val="left"/>
      <w:lvlText w:val="%1."/>
      <w:numFmt w:val="decimal"/>
      <w:start w:val="8"/>
    </w:lvl>
  </w:abstractNum>
  <w:abstractNum w:abstractNumId="60">
    <w:nsid w:val="4962813B"/>
    <w:multiLevelType w:val="hybridMultilevel"/>
    <w:lvl w:ilvl="0">
      <w:lvlJc w:val="left"/>
      <w:lvlText w:val="%1."/>
      <w:numFmt w:val="decimal"/>
      <w:start w:val="9"/>
    </w:lvl>
  </w:abstractNum>
  <w:abstractNum w:abstractNumId="61">
    <w:nsid w:val="60B6DF70"/>
    <w:multiLevelType w:val="hybridMultilevel"/>
    <w:lvl w:ilvl="0">
      <w:lvlJc w:val="left"/>
      <w:lvlText w:val="%1."/>
      <w:numFmt w:val="decimal"/>
      <w:start w:val="10"/>
    </w:lvl>
  </w:abstractNum>
  <w:abstractNum w:abstractNumId="62">
    <w:nsid w:val="6A5EE64"/>
    <w:multiLevelType w:val="hybridMultilevel"/>
    <w:lvl w:ilvl="0">
      <w:lvlJc w:val="left"/>
      <w:lvlText w:val="%1."/>
      <w:numFmt w:val="decimal"/>
      <w:start w:val="11"/>
    </w:lvl>
  </w:abstractNum>
  <w:abstractNum w:abstractNumId="63">
    <w:nsid w:val="14330624"/>
    <w:multiLevelType w:val="hybridMultilevel"/>
    <w:lvl w:ilvl="0">
      <w:lvlJc w:val="left"/>
      <w:lvlText w:val="%1."/>
      <w:numFmt w:val="decimal"/>
      <w:start w:val="12"/>
    </w:lvl>
  </w:abstractNum>
  <w:abstractNum w:abstractNumId="64">
    <w:nsid w:val="7FFFCA11"/>
    <w:multiLevelType w:val="hybridMultilevel"/>
    <w:lvl w:ilvl="0">
      <w:lvlJc w:val="left"/>
      <w:lvlText w:val="%1."/>
      <w:numFmt w:val="decimal"/>
      <w:start w:val="13"/>
    </w:lvl>
  </w:abstractNum>
  <w:abstractNum w:abstractNumId="65">
    <w:nsid w:val="1A27709E"/>
    <w:multiLevelType w:val="hybridMultilevel"/>
    <w:lvl w:ilvl="0">
      <w:lvlJc w:val="left"/>
      <w:lvlText w:val="(%1)"/>
      <w:numFmt w:val="lowerLetter"/>
      <w:start w:val="1"/>
    </w:lvl>
  </w:abstractNum>
  <w:abstractNum w:abstractNumId="66">
    <w:nsid w:val="71EA1109"/>
    <w:multiLevelType w:val="hybridMultilevel"/>
    <w:lvl w:ilvl="0">
      <w:lvlJc w:val="left"/>
      <w:lvlText w:val="(%1)"/>
      <w:numFmt w:val="decimal"/>
      <w:start w:val="1"/>
    </w:lvl>
  </w:abstractNum>
  <w:abstractNum w:abstractNumId="67">
    <w:nsid w:val="100F59DC"/>
    <w:multiLevelType w:val="hybridMultilevel"/>
    <w:lvl w:ilvl="0">
      <w:lvlJc w:val="left"/>
      <w:lvlText w:val="(%1)"/>
      <w:numFmt w:val="lowerRoman"/>
      <w:start w:val="1"/>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1."/>
      <w:numFmt w:val="decimal"/>
      <w:start w:val="2"/>
    </w:lvl>
  </w:abstractNum>
  <w:abstractNum w:abstractNumId="70">
    <w:nsid w:val="6F6DD9AC"/>
    <w:multiLevelType w:val="hybridMultilevel"/>
    <w:lvl w:ilvl="0">
      <w:lvlJc w:val="left"/>
      <w:lvlText w:val="%1."/>
      <w:numFmt w:val="decimal"/>
      <w:start w:val="3"/>
    </w:lvl>
  </w:abstractNum>
  <w:abstractNum w:abstractNumId="71">
    <w:nsid w:val="94211F2"/>
    <w:multiLevelType w:val="hybridMultilevel"/>
    <w:lvl w:ilvl="0">
      <w:lvlJc w:val="left"/>
      <w:lvlText w:val="%1."/>
      <w:numFmt w:val="decimal"/>
      <w:start w:val="4"/>
    </w:lvl>
  </w:abstractNum>
  <w:abstractNum w:abstractNumId="72">
    <w:nsid w:val="885E1B"/>
    <w:multiLevelType w:val="hybridMultilevel"/>
    <w:lvl w:ilvl="0">
      <w:lvlJc w:val="left"/>
      <w:lvlText w:val="%1."/>
      <w:numFmt w:val="decimal"/>
      <w:start w:val="5"/>
    </w:lvl>
  </w:abstractNum>
  <w:abstractNum w:abstractNumId="73">
    <w:nsid w:val="76272110"/>
    <w:multiLevelType w:val="hybridMultilevel"/>
    <w:lvl w:ilvl="0">
      <w:lvlJc w:val="left"/>
      <w:lvlText w:val="%1."/>
      <w:numFmt w:val="decimal"/>
      <w:start w:val="6"/>
    </w:lvl>
  </w:abstractNum>
  <w:abstractNum w:abstractNumId="74">
    <w:nsid w:val="4C04A8AF"/>
    <w:multiLevelType w:val="hybridMultilevel"/>
    <w:lvl w:ilvl="0">
      <w:lvlJc w:val="left"/>
      <w:lvlText w:val="%1."/>
      <w:numFmt w:val="decimal"/>
      <w:start w:val="7"/>
    </w:lvl>
  </w:abstractNum>
  <w:abstractNum w:abstractNumId="75">
    <w:nsid w:val="1716703B"/>
    <w:multiLevelType w:val="hybridMultilevel"/>
    <w:lvl w:ilvl="0">
      <w:lvlJc w:val="left"/>
      <w:lvlText w:val="(%1)"/>
      <w:numFmt w:val="lowerLetter"/>
      <w:start w:val="1"/>
    </w:lvl>
    <w:lvl w:ilvl="1">
      <w:lvlJc w:val="left"/>
      <w:lvlText w:val="(%2)"/>
      <w:numFmt w:val="lowerRoman"/>
      <w:start w:val="1"/>
    </w:lvl>
  </w:abstractNum>
  <w:abstractNum w:abstractNumId="76">
    <w:nsid w:val="14E17E33"/>
    <w:multiLevelType w:val="hybridMultilevel"/>
    <w:lvl w:ilvl="0">
      <w:lvlJc w:val="left"/>
      <w:lvlText w:val="%1."/>
      <w:numFmt w:val="decimal"/>
      <w:start w:val="8"/>
    </w:lvl>
  </w:abstractNum>
  <w:abstractNum w:abstractNumId="77">
    <w:nsid w:val="3222E7CD"/>
    <w:multiLevelType w:val="hybridMultilevel"/>
    <w:lvl w:ilvl="0">
      <w:lvlJc w:val="left"/>
      <w:lvlText w:val="%1."/>
      <w:numFmt w:val="decimal"/>
      <w:start w:val="9"/>
    </w:lvl>
  </w:abstractNum>
  <w:abstractNum w:abstractNumId="78">
    <w:nsid w:val="74DE0EE3"/>
    <w:multiLevelType w:val="hybridMultilevel"/>
    <w:lvl w:ilvl="0">
      <w:lvlJc w:val="left"/>
      <w:lvlText w:val="%1."/>
      <w:numFmt w:val="decimal"/>
      <w:start w:val="10"/>
    </w:lvl>
  </w:abstractNum>
  <w:abstractNum w:abstractNumId="79">
    <w:nsid w:val="68EBC550"/>
    <w:multiLevelType w:val="hybridMultilevel"/>
    <w:lvl w:ilvl="0">
      <w:lvlJc w:val="left"/>
      <w:lvlText w:val="%1."/>
      <w:numFmt w:val="decimal"/>
      <w:start w:val="11"/>
    </w:lvl>
  </w:abstractNum>
  <w:abstractNum w:abstractNumId="80">
    <w:nsid w:val="2DF6D648"/>
    <w:multiLevelType w:val="hybridMultilevel"/>
    <w:lvl w:ilvl="0">
      <w:lvlJc w:val="left"/>
      <w:lvlText w:val="%1."/>
      <w:numFmt w:val="decimal"/>
      <w:start w:val="12"/>
    </w:lvl>
  </w:abstractNum>
  <w:abstractNum w:abstractNumId="81">
    <w:nsid w:val="46B7D447"/>
    <w:multiLevelType w:val="hybridMultilevel"/>
    <w:lvl w:ilvl="0">
      <w:lvlJc w:val="left"/>
      <w:lvlText w:val="%1."/>
      <w:numFmt w:val="decimal"/>
      <w:start w:val="13"/>
    </w:lvl>
  </w:abstractNum>
  <w:abstractNum w:abstractNumId="82">
    <w:nsid w:val="4A2AC315"/>
    <w:multiLevelType w:val="hybridMultilevel"/>
    <w:lvl w:ilvl="0">
      <w:lvlJc w:val="left"/>
      <w:lvlText w:val="(%1)"/>
      <w:numFmt w:val="lowerLetter"/>
      <w:start w:val="1"/>
    </w:lvl>
  </w:abstractNum>
  <w:abstractNum w:abstractNumId="83">
    <w:nsid w:val="39EE015C"/>
    <w:multiLevelType w:val="hybridMultilevel"/>
    <w:lvl w:ilvl="0">
      <w:lvlJc w:val="left"/>
      <w:lvlText w:val="(%1)"/>
      <w:numFmt w:val="lowerLetter"/>
      <w:start w:val="2"/>
    </w:lvl>
  </w:abstractNum>
  <w:abstractNum w:abstractNumId="84">
    <w:nsid w:val="57FC4FBB"/>
    <w:multiLevelType w:val="hybridMultilevel"/>
    <w:lvl w:ilvl="0">
      <w:lvlJc w:val="left"/>
      <w:lvlText w:val="(%1)"/>
      <w:numFmt w:val="decimal"/>
      <w:start w:val="1"/>
    </w:lvl>
  </w:abstractNum>
  <w:abstractNum w:abstractNumId="85">
    <w:nsid w:val="CC1016F"/>
    <w:multiLevelType w:val="hybridMultilevel"/>
    <w:lvl w:ilvl="0">
      <w:lvlJc w:val="left"/>
      <w:lvlText w:val="(%1)"/>
      <w:numFmt w:val="lowerRoman"/>
      <w:start w:val="1"/>
    </w:lvl>
  </w:abstractNum>
  <w:abstractNum w:abstractNumId="86">
    <w:nsid w:val="43F18422"/>
    <w:multiLevelType w:val="hybridMultilevel"/>
    <w:lvl w:ilvl="0">
      <w:lvlJc w:val="left"/>
      <w:lvlText w:val="%1."/>
      <w:numFmt w:val="decimal"/>
      <w:start w:val="1"/>
    </w:lvl>
  </w:abstractNum>
  <w:abstractNum w:abstractNumId="87">
    <w:nsid w:val="60EF0119"/>
    <w:multiLevelType w:val="hybridMultilevel"/>
    <w:lvl w:ilvl="0">
      <w:lvlJc w:val="left"/>
      <w:lvlText w:val="%1."/>
      <w:numFmt w:val="decimal"/>
      <w:start w:val="2"/>
    </w:lvl>
  </w:abstractNum>
  <w:abstractNum w:abstractNumId="88">
    <w:nsid w:val="26F324BA"/>
    <w:multiLevelType w:val="hybridMultilevel"/>
    <w:lvl w:ilvl="0">
      <w:lvlJc w:val="left"/>
      <w:lvlText w:val="%1."/>
      <w:numFmt w:val="decimal"/>
      <w:start w:val="3"/>
    </w:lvl>
  </w:abstractNum>
  <w:abstractNum w:abstractNumId="89">
    <w:nsid w:val="7F01579B"/>
    <w:multiLevelType w:val="hybridMultilevel"/>
    <w:lvl w:ilvl="0">
      <w:lvlJc w:val="left"/>
      <w:lvlText w:val="%1."/>
      <w:numFmt w:val="decimal"/>
      <w:start w:val="4"/>
    </w:lvl>
  </w:abstractNum>
  <w:abstractNum w:abstractNumId="90">
    <w:nsid w:val="49DA307D"/>
    <w:multiLevelType w:val="hybridMultilevel"/>
    <w:lvl w:ilvl="0">
      <w:lvlJc w:val="left"/>
      <w:lvlText w:val="%1."/>
      <w:numFmt w:val="decimal"/>
      <w:start w:val="5"/>
    </w:lvl>
  </w:abstractNum>
  <w:abstractNum w:abstractNumId="91">
    <w:nsid w:val="7055A5F5"/>
    <w:multiLevelType w:val="hybridMultilevel"/>
    <w:lvl w:ilvl="0">
      <w:lvlJc w:val="left"/>
      <w:lvlText w:val="%1."/>
      <w:numFmt w:val="decimal"/>
      <w:start w:val="6"/>
    </w:lvl>
  </w:abstractNum>
  <w:abstractNum w:abstractNumId="92">
    <w:nsid w:val="5FB8370B"/>
    <w:multiLevelType w:val="hybridMultilevel"/>
    <w:lvl w:ilvl="0">
      <w:lvlJc w:val="left"/>
      <w:lvlText w:val="%1."/>
      <w:numFmt w:val="decimal"/>
      <w:start w:val="7"/>
    </w:lvl>
  </w:abstractNum>
  <w:abstractNum w:abstractNumId="93">
    <w:nsid w:val="50801EE1"/>
    <w:multiLevelType w:val="hybridMultilevel"/>
    <w:lvl w:ilvl="0">
      <w:lvlJc w:val="left"/>
      <w:lvlText w:val="%1."/>
      <w:numFmt w:val="decimal"/>
      <w:start w:val="8"/>
    </w:lvl>
  </w:abstractNum>
  <w:abstractNum w:abstractNumId="94">
    <w:nsid w:val="488AC1A"/>
    <w:multiLevelType w:val="hybridMultilevel"/>
    <w:lvl w:ilvl="0">
      <w:lvlJc w:val="left"/>
      <w:lvlText w:val="%1."/>
      <w:numFmt w:val="decimal"/>
      <w:start w:val="9"/>
    </w:lvl>
  </w:abstractNum>
  <w:abstractNum w:abstractNumId="95">
    <w:nsid w:val="5FB8011C"/>
    <w:multiLevelType w:val="hybridMultilevel"/>
    <w:lvl w:ilvl="0">
      <w:lvlJc w:val="left"/>
      <w:lvlText w:val="%1."/>
      <w:numFmt w:val="decimal"/>
      <w:start w:val="10"/>
    </w:lvl>
  </w:abstractNum>
  <w:abstractNum w:abstractNumId="96">
    <w:nsid w:val="6AA78F7F"/>
    <w:multiLevelType w:val="hybridMultilevel"/>
    <w:lvl w:ilvl="0">
      <w:lvlJc w:val="left"/>
      <w:lvlText w:val="%1."/>
      <w:numFmt w:val="decimal"/>
      <w:start w:val="11"/>
    </w:lvl>
  </w:abstractNum>
  <w:abstractNum w:abstractNumId="97">
    <w:nsid w:val="7672BD23"/>
    <w:multiLevelType w:val="hybridMultilevel"/>
    <w:lvl w:ilvl="0">
      <w:lvlJc w:val="left"/>
      <w:lvlText w:val="%1."/>
      <w:numFmt w:val="decimal"/>
      <w:start w:val="12"/>
    </w:lvl>
  </w:abstractNum>
  <w:abstractNum w:abstractNumId="98">
    <w:nsid w:val="6FC75AF8"/>
    <w:multiLevelType w:val="hybridMultilevel"/>
    <w:lvl w:ilvl="0">
      <w:lvlJc w:val="left"/>
      <w:lvlText w:val="%1."/>
      <w:numFmt w:val="decimal"/>
      <w:start w:val="13"/>
    </w:lvl>
  </w:abstractNum>
  <w:abstractNum w:abstractNumId="99">
    <w:nsid w:val="6A5F70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10" Type="http://schemas.openxmlformats.org/officeDocument/2006/relationships/hyperlink" Target="http://www.sec.gov/Archives/edgar/data/1761312/000104746919001326/a2238083zex-10_1.htm%22%20/t%20%22_blank"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2025-05-06T16:29:19Z</dcterms:created>
  <dcterms:modified xsi:type="dcterms:W3CDTF">2025-05-06T16:29:19Z</dcterms:modified>
</cp:coreProperties>
</file>