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18.xml.htm"/>
      <w:bookmarkStart w:id="1" w:name="ksmarketforms73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Knutzen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(RSUs)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127.7456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by the Company on behalf of the Reporting Person pursuant to a mandatory sell-to-cover provision in the RSU award agreement required to cover minimum statutory tax withholding obligations that became due upon the RSU vesting event.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1,410 shares purchased pursuant to the Palomar Holdings, Inc. 2019 Employee Stock Purchase Plan (ESPP).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RSU grant was for 12,238 shares on 11/18/2021. Subject to continuing service with the Company, the restricted stock units shall vest as follows: 2,448 units shall vest on the first year anniversary of the date of the grant; 2,447 units shall vest on the second year anniversary of the date of the grant; 2,447 units shall vest on the third year anniversary of the date of grant; and 612 units shall vest quarterly following the third anniversary date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Grant,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325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733</Words>
  <Characters>3937</Characters>
  <CharactersWithSpaces>4580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