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48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9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Armstrong Mac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7979 IVANHOE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Palomar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899"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50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500" w:type="dxa"/>
            <w:vAlign w:val="bottom"/>
            <w:gridSpan w:val="8"/>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JOLLA</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92037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860" w:type="dxa"/>
            <w:vAlign w:val="bottom"/>
            <w:tcBorders>
              <w:bottom w:val="single" w:sz="8" w:color="2C2C2C"/>
            </w:tcBorders>
            <w:gridSpan w:val="7"/>
          </w:tcPr>
          <w:p>
            <w:pPr>
              <w:spacing w:after="0"/>
              <w:rPr>
                <w:sz w:val="10"/>
                <w:szCs w:val="10"/>
                <w:color w:val="auto"/>
              </w:rPr>
            </w:pPr>
          </w:p>
        </w:tc>
        <w:tc>
          <w:tcPr>
            <w:tcW w:w="136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4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jc w:val="center"/>
              <w:ind w:right="1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38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w w:val="99"/>
              </w:rPr>
              <w:t>V</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380" w:type="dxa"/>
            <w:vAlign w:val="bottom"/>
            <w:vMerge w:val="continue"/>
          </w:tcPr>
          <w:p>
            <w:pPr>
              <w:spacing w:after="0"/>
              <w:rPr>
                <w:sz w:val="13"/>
                <w:szCs w:val="13"/>
                <w:color w:val="auto"/>
              </w:rPr>
            </w:pPr>
          </w:p>
        </w:tc>
        <w:tc>
          <w:tcPr>
            <w:tcW w:w="1000" w:type="dxa"/>
            <w:vAlign w:val="bottom"/>
            <w:gridSpan w:val="3"/>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jc w:val="right"/>
              <w:ind w:right="67"/>
              <w:spacing w:after="0"/>
              <w:rPr>
                <w:sz w:val="20"/>
                <w:szCs w:val="20"/>
                <w:color w:val="auto"/>
              </w:rPr>
            </w:pPr>
            <w:r>
              <w:rPr>
                <w:rFonts w:ascii="Arial" w:cs="Arial" w:eastAsia="Arial" w:hAnsi="Arial"/>
                <w:sz w:val="12"/>
                <w:szCs w:val="12"/>
                <w:b w:val="1"/>
                <w:bCs w:val="1"/>
                <w:color w:val="auto"/>
              </w:rPr>
              <w:t>(D)</w:t>
            </w:r>
          </w:p>
        </w:tc>
        <w:tc>
          <w:tcPr>
            <w:tcW w:w="38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102,059</w:t>
            </w:r>
            <w:r>
              <w:rPr>
                <w:rFonts w:ascii="Times New Roman" w:cs="Times New Roman" w:eastAsia="Times New Roman" w:hAnsi="Times New Roman"/>
                <w:sz w:val="22"/>
                <w:szCs w:val="22"/>
                <w:color w:val="008000"/>
                <w:w w:val="93"/>
                <w:vertAlign w:val="superscript"/>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(RSUs)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2,005</w:t>
            </w:r>
          </w:p>
        </w:tc>
        <w:tc>
          <w:tcPr>
            <w:tcW w:w="38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1100" w:type="dxa"/>
            <w:vAlign w:val="bottom"/>
            <w:gridSpan w:val="4"/>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112.7204</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330,883</w:t>
            </w:r>
          </w:p>
        </w:tc>
        <w:tc>
          <w:tcPr>
            <w:tcW w:w="32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Armstrong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(RSUs)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06/22/2026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18"/>
                <w:szCs w:val="18"/>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1,495</w:t>
            </w:r>
          </w:p>
        </w:tc>
        <w:tc>
          <w:tcPr>
            <w:tcW w:w="38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1100" w:type="dxa"/>
            <w:vAlign w:val="bottom"/>
            <w:gridSpan w:val="4"/>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113.2784</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329,388</w:t>
            </w:r>
          </w:p>
        </w:tc>
        <w:tc>
          <w:tcPr>
            <w:tcW w:w="320" w:type="dxa"/>
            <w:vAlign w:val="bottom"/>
          </w:tcPr>
          <w:p>
            <w:pPr>
              <w:spacing w:after="0"/>
              <w:rPr>
                <w:sz w:val="18"/>
                <w:szCs w:val="18"/>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Armstrong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10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2860" w:type="dxa"/>
            <w:vAlign w:val="bottom"/>
            <w:tcBorders>
              <w:bottom w:val="single" w:sz="8" w:color="2C2C2C"/>
            </w:tcBorders>
            <w:gridSpan w:val="7"/>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jc w:val="center"/>
              <w:ind w:righ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3"/>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jc w:val="right"/>
              <w:ind w:right="12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jc w:val="right"/>
              <w:ind w:right="67"/>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8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2,754 shares purchased pursuant to the Palomar Holdings, Inc. 2019 Employee Stock Purchase Plan (ESPP).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$112.16 to $113.11 (weighted average of $112.7204), inclusive;</w:t>
      </w:r>
    </w:p>
    <w:p>
      <w:pPr>
        <w:spacing w:after="0" w:line="11" w:lineRule="exact"/>
        <w:rPr>
          <w:sz w:val="24"/>
          <w:szCs w:val="24"/>
          <w:color w:val="auto"/>
        </w:rPr>
      </w:pPr>
    </w:p>
    <w:p>
      <w:pPr>
        <w:ind w:left="40" w:right="340"/>
        <w:spacing w:after="0" w:line="250" w:lineRule="auto"/>
        <w:rPr>
          <w:sz w:val="20"/>
          <w:szCs w:val="20"/>
          <w:color w:val="auto"/>
        </w:rPr>
      </w:pPr>
      <w:r>
        <w:rPr>
          <w:rFonts w:ascii="Times New Roman" w:cs="Times New Roman" w:eastAsia="Times New Roman" w:hAnsi="Times New Roman"/>
          <w:sz w:val="13"/>
          <w:szCs w:val="13"/>
          <w:color w:val="008000"/>
        </w:rPr>
        <w:t>$113.19 to $113.50 (weighted average of $113.2784). The Reporting Person undertakes to provide to Palomar Holdings, Inc., any security holder of Palomar Holdings, Inc., or the staff of the Securities and Exchange Commission, upon request, full information regarding the number of shares sold at each separate price within the range set forth in this footnote to this Form 4.</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Angela Grant, Attorney-in- </w:t>
      </w:r>
      <w:r>
        <w:rPr>
          <w:rFonts w:ascii="Times New Roman" w:cs="Times New Roman" w:eastAsia="Times New Roman" w:hAnsi="Times New Roman"/>
          <w:sz w:val="34"/>
          <w:szCs w:val="34"/>
          <w:color w:val="0000FF"/>
          <w:vertAlign w:val="subscript"/>
        </w:rPr>
        <w:t>06/24/2026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9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2383" TargetMode="External"/><Relationship Id="rId14" Type="http://schemas.openxmlformats.org/officeDocument/2006/relationships/hyperlink" Target="http://www.sec.gov/cgi-bin/browse-edgar?action=getcompany&amp;CIK=0001761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2026-06-24T15:24:13Z</dcterms:created>
  <dcterms:modified xsi:type="dcterms:W3CDTF">2026-06-24T15:24:13Z</dcterms:modified>
</cp:coreProperties>
</file>