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plmr-20251231.htm"/>
        <w:bookmarkStart w:id="1" w:name="ksplmr20251231"/>
        <w:bookmarkEnd w:id="0"/>
        <w:bookmarkEnd w:id="1"/>
        <w:r>
          <w:rPr>
            <w:rStyle w:val="InternetLink"/>
            <w:rFonts w:ascii="Times New Roman" w:hAnsi="Times New Roman"/>
            <w:b/>
            <w:color w:val="0000FF"/>
            <w:sz w:val="20"/>
            <w:u w:val="single"/>
          </w:rPr>
          <w:t>Table of Contents</w:t>
        </w:r>
      </w:hyperlink>
    </w:p>
    <w:p>
      <w:pPr>
        <w:pStyle w:val="TextBody"/>
        <w:pBdr>
          <w:top w:val="double" w:sz="4" w:space="1" w:color="000000"/>
        </w:pBdr>
        <w:bidi w:val="0"/>
        <w:spacing w:lineRule="auto" w:line="273"/>
        <w:jc w:val="center"/>
        <w:rPr/>
      </w:pPr>
      <w:r>
        <w:rP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UNITED STATES</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lineRule="auto" w:line="273"/>
        <w:jc w:val="center"/>
        <w:rPr>
          <w:rFonts w:ascii="Times New Roman" w:hAnsi="Times New Roman"/>
          <w:b/>
          <w:color w:val="000000"/>
          <w:sz w:val="28"/>
        </w:rPr>
      </w:pPr>
      <w:r>
        <w:rPr>
          <w:rFonts w:ascii="Times New Roman" w:hAnsi="Times New Roman"/>
          <w:b/>
          <w:color w:val="000000"/>
          <w:sz w:val="28"/>
        </w:rPr>
        <w:t>FORM 10-K</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 the fiscal year ended December 31, 2025</w:t>
            </w:r>
          </w:p>
        </w:tc>
      </w:tr>
      <w:tr>
        <w:trPr/>
        <w:tc>
          <w:tcPr>
            <w:tcW w:w="102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or</w:t>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 the transition period from ___________ to ___________</w:t>
            </w:r>
          </w:p>
        </w:tc>
      </w:tr>
    </w:tbl>
    <w:p>
      <w:pPr>
        <w:pStyle w:val="TextBody"/>
        <w:bidi w:val="0"/>
        <w:spacing w:lineRule="auto" w:line="273" w:before="60" w:after="283"/>
        <w:jc w:val="center"/>
        <w:rPr>
          <w:rFonts w:ascii="Times New Roman" w:hAnsi="Times New Roman"/>
          <w:color w:val="000000"/>
          <w:sz w:val="18"/>
        </w:rPr>
      </w:pPr>
      <w:r>
        <w:rPr>
          <w:rFonts w:ascii="Times New Roman" w:hAnsi="Times New Roman"/>
          <w:color w:val="000000"/>
          <w:sz w:val="18"/>
        </w:rPr>
        <w:t>Commission File Number: 001-38873</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Palomar Holdings, Inc.</w:t>
      </w:r>
    </w:p>
    <w:p>
      <w:pPr>
        <w:pStyle w:val="TextBody"/>
        <w:bidi w:val="0"/>
        <w:spacing w:lineRule="auto" w:line="273"/>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spacing w:lineRule="auto" w:line="273"/>
        <w:jc w:val="left"/>
        <w:rPr/>
      </w:pPr>
      <w:r>
        <w:rPr/>
        <w:t> </w:t>
      </w:r>
    </w:p>
    <w:tbl>
      <w:tblPr>
        <w:tblW w:w="5788" w:type="dxa"/>
        <w:jc w:val="left"/>
        <w:tblInd w:w="0" w:type="dxa"/>
        <w:tblLayout w:type="fixed"/>
        <w:tblCellMar>
          <w:top w:w="28" w:type="dxa"/>
          <w:left w:w="28" w:type="dxa"/>
          <w:bottom w:w="28" w:type="dxa"/>
          <w:right w:w="28" w:type="dxa"/>
        </w:tblCellMar>
      </w:tblPr>
      <w:tblGrid>
        <w:gridCol w:w="2926"/>
        <w:gridCol w:w="146"/>
        <w:gridCol w:w="27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271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83-3972551</w:t>
            </w:r>
          </w:p>
        </w:tc>
      </w:tr>
      <w:tr>
        <w:trPr/>
        <w:tc>
          <w:tcPr>
            <w:tcW w:w="292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color w:val="000000"/>
                <w:sz w:val="18"/>
              </w:rPr>
            </w:pPr>
            <w:r>
              <w:rPr>
                <w:rFonts w:ascii="Times New Roman" w:hAnsi="Times New Roman"/>
                <w:color w:val="000000"/>
                <w:sz w:val="18"/>
              </w:rPr>
              <w:t>(State or other jurisdiction of</w:t>
            </w:r>
          </w:p>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26" w:type="dxa"/>
            <w:tcBorders>
              <w:bottom w:val="single" w:sz="6"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8"/>
              </w:rPr>
            </w:pPr>
            <w:r>
              <w:rPr>
                <w:rFonts w:ascii="Times New Roman" w:hAnsi="Times New Roman"/>
                <w:b/>
                <w:color w:val="000000"/>
                <w:sz w:val="18"/>
              </w:rPr>
              <w:t>7979 Ivanhoe Avenue, Suite 500</w:t>
            </w:r>
          </w:p>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La Jolla, California</w:t>
            </w:r>
          </w:p>
        </w:tc>
        <w:tc>
          <w:tcPr>
            <w:tcW w:w="14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271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92037</w:t>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18"/>
        </w:rPr>
        <w:t>(619)</w:t>
      </w:r>
      <w:r>
        <w:rPr>
          <w:rFonts w:ascii="Times New Roman" w:hAnsi="Times New Roman"/>
          <w:color w:val="000000"/>
          <w:sz w:val="20"/>
        </w:rPr>
        <w:t xml:space="preserve"> </w:t>
      </w:r>
      <w:r>
        <w:rPr>
          <w:rFonts w:ascii="Times New Roman" w:hAnsi="Times New Roman"/>
          <w:b/>
          <w:color w:val="000000"/>
          <w:sz w:val="18"/>
        </w:rPr>
        <w:t>567-5290</w:t>
      </w:r>
    </w:p>
    <w:p>
      <w:pPr>
        <w:pStyle w:val="TextBody"/>
        <w:bidi w:val="0"/>
        <w:spacing w:lineRule="auto" w:line="273"/>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spacing w:lineRule="auto" w:line="273" w:before="60" w:after="6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8013" w:type="dxa"/>
        <w:jc w:val="left"/>
        <w:tblInd w:w="0" w:type="dxa"/>
        <w:tblLayout w:type="fixed"/>
        <w:tblCellMar>
          <w:top w:w="28" w:type="dxa"/>
          <w:left w:w="28" w:type="dxa"/>
          <w:bottom w:w="28" w:type="dxa"/>
          <w:right w:w="28" w:type="dxa"/>
        </w:tblCellMar>
      </w:tblPr>
      <w:tblGrid>
        <w:gridCol w:w="3286"/>
        <w:gridCol w:w="1456"/>
        <w:gridCol w:w="3271"/>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6" w:space="0" w:color="000000"/>
              <w:left w:val="single" w:sz="6" w:space="0" w:color="000000"/>
              <w:bottom w:val="single" w:sz="6" w:space="0" w:color="000000"/>
            </w:tcBorders>
            <w:tcMar>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6" w:space="0" w:color="000000"/>
              <w:left w:val="single" w:sz="6" w:space="0" w:color="000000"/>
              <w:bottom w:val="single" w:sz="6" w:space="0" w:color="000000"/>
            </w:tcBorders>
            <w:tcMar>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286" w:type="dxa"/>
            <w:tcBorders>
              <w:left w:val="single" w:sz="6" w:space="0" w:color="000000"/>
              <w:bottom w:val="single" w:sz="6" w:space="0" w:color="000000"/>
            </w:tcBorders>
            <w:tcMar>
              <w:top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56" w:type="dxa"/>
            <w:tcBorders>
              <w:left w:val="single" w:sz="6" w:space="0" w:color="000000"/>
              <w:bottom w:val="single" w:sz="6" w:space="0" w:color="000000"/>
            </w:tcBorders>
            <w:tcMar>
              <w:top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PLMR</w:t>
            </w:r>
          </w:p>
        </w:tc>
        <w:tc>
          <w:tcPr>
            <w:tcW w:w="3271" w:type="dxa"/>
            <w:tcBorders>
              <w:left w:val="single" w:sz="6" w:space="0" w:color="000000"/>
              <w:bottom w:val="single" w:sz="6" w:space="0" w:color="000000"/>
              <w:right w:val="single" w:sz="6" w:space="0" w:color="000000"/>
            </w:tcBorders>
            <w:tcMar>
              <w:top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lineRule="auto" w:line="273" w:before="60" w:after="283"/>
        <w:jc w:val="left"/>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lineRule="auto" w:line="273" w:before="60" w:after="283"/>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lineRule="auto" w:line="273" w:before="60" w:after="283"/>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15(d) of the Securities Act. Yes ☐ No</w:t>
      </w:r>
      <w:r>
        <w:rPr>
          <w:rFonts w:ascii="Times New Roman" w:hAnsi="Times New Roman"/>
          <w:color w:val="000000"/>
          <w:sz w:val="20"/>
        </w:rPr>
        <w:t xml:space="preserve"> ☒</w:t>
      </w:r>
    </w:p>
    <w:p>
      <w:pPr>
        <w:pStyle w:val="TextBody"/>
        <w:bidi w:val="0"/>
        <w:spacing w:lineRule="auto" w:line="273" w:before="6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lineRule="auto" w:line="273" w:before="6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lineRule="auto" w:line="273"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73"/>
        <w:jc w:val="left"/>
        <w:rPr/>
      </w:pPr>
      <w:r>
        <w:rPr/>
        <w:t> </w:t>
      </w:r>
    </w:p>
    <w:tbl>
      <w:tblPr>
        <w:tblW w:w="4667" w:type="dxa"/>
        <w:jc w:val="left"/>
        <w:tblInd w:w="0" w:type="dxa"/>
        <w:tblLayout w:type="fixed"/>
        <w:tblCellMar>
          <w:top w:w="28" w:type="dxa"/>
          <w:left w:w="28" w:type="dxa"/>
          <w:bottom w:w="28" w:type="dxa"/>
          <w:right w:w="28" w:type="dxa"/>
        </w:tblCellMar>
      </w:tblPr>
      <w:tblGrid>
        <w:gridCol w:w="2386"/>
        <w:gridCol w:w="2281"/>
      </w:tblGrid>
      <w:tr>
        <w:trPr/>
        <w:tc>
          <w:tcPr>
            <w:tcW w:w="238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16"/>
              </w:rPr>
              <w:t>Large accelerated filer</w:t>
            </w:r>
            <w:r>
              <w:rPr>
                <w:rFonts w:ascii="Times New Roman" w:hAnsi="Times New Roman"/>
                <w:color w:val="000000"/>
                <w:sz w:val="20"/>
              </w:rPr>
              <w:t> ☒</w:t>
            </w:r>
          </w:p>
        </w:tc>
        <w:tc>
          <w:tcPr>
            <w:tcW w:w="22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Accelerated filer ☐</w:t>
            </w:r>
          </w:p>
        </w:tc>
      </w:tr>
      <w:tr>
        <w:trPr/>
        <w:tc>
          <w:tcPr>
            <w:tcW w:w="238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16"/>
              </w:rPr>
              <w:t>Non-accelerated filer ☐</w:t>
            </w:r>
          </w:p>
        </w:tc>
        <w:tc>
          <w:tcPr>
            <w:tcW w:w="22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w:t>
            </w:r>
          </w:p>
        </w:tc>
      </w:tr>
      <w:tr>
        <w:trPr/>
        <w:tc>
          <w:tcPr>
            <w:tcW w:w="2386" w:type="dxa"/>
            <w:tcBorders/>
            <w:tcMar>
              <w:top w:w="0" w:type="dxa"/>
              <w:left w:w="0" w:type="dxa"/>
              <w:bottom w:w="0" w:type="dxa"/>
              <w:right w:w="0" w:type="dxa"/>
            </w:tcMar>
            <w:vAlign w:val="center"/>
          </w:tcPr>
          <w:p>
            <w:pPr>
              <w:pStyle w:val="TableContents"/>
              <w:bidi w:val="0"/>
              <w:spacing w:lineRule="auto" w:line="252" w:before="0" w:after="283"/>
              <w:jc w:val="left"/>
              <w:rPr/>
            </w:pPr>
            <w:r>
              <w:rPr>
                <w:color w:val="000000"/>
              </w:rPr>
              <w:t>  </w:t>
            </w:r>
            <w:r>
              <w:rPr>
                <w:rFonts w:ascii="Times New Roman" w:hAnsi="Times New Roman"/>
                <w:color w:val="000000"/>
                <w:sz w:val="16"/>
              </w:rPr>
              <w:t xml:space="preserve">Emerging growth company </w:t>
            </w:r>
            <w:r>
              <w:rPr>
                <w:rFonts w:ascii="Times New Roman" w:hAnsi="Times New Roman"/>
                <w:color w:val="000000"/>
                <w:sz w:val="20"/>
              </w:rPr>
              <w:t>☐</w:t>
            </w:r>
          </w:p>
        </w:tc>
        <w:tc>
          <w:tcPr>
            <w:tcW w:w="22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3"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lineRule="auto" w:line="273" w:before="6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lineRule="auto" w:line="273" w:before="60" w:after="283"/>
        <w:jc w:val="both"/>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73" w:before="6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lineRule="auto" w:line="273" w:before="60" w:after="283"/>
        <w:jc w:val="both"/>
        <w:rPr>
          <w:rFonts w:ascii="Times New Roman" w:hAnsi="Times New Roman"/>
          <w:color w:val="000000"/>
          <w:sz w:val="16"/>
        </w:rPr>
      </w:pPr>
      <w:r>
        <w:rPr>
          <w:rFonts w:ascii="Times New Roman" w:hAnsi="Times New Roman"/>
          <w:color w:val="000000"/>
          <w:sz w:val="16"/>
        </w:rPr>
        <w:t>Aggregate market value of shares of the registrant’s common stock held by non-affiliates as of June 30, 2025 was approximately $4,034,049,965</w:t>
      </w:r>
    </w:p>
    <w:p>
      <w:pPr>
        <w:pStyle w:val="TextBody"/>
        <w:bidi w:val="0"/>
        <w:spacing w:lineRule="auto" w:line="273" w:before="60" w:after="283"/>
        <w:jc w:val="left"/>
        <w:rPr>
          <w:rFonts w:ascii="Times New Roman" w:hAnsi="Times New Roman"/>
          <w:color w:val="000000"/>
          <w:sz w:val="16"/>
        </w:rPr>
      </w:pPr>
      <w:r>
        <w:rPr>
          <w:rFonts w:ascii="Times New Roman" w:hAnsi="Times New Roman"/>
          <w:color w:val="000000"/>
          <w:sz w:val="16"/>
        </w:rPr>
        <w:t>Number of shares of the registrant’s common shares outstanding at February 19, 2026: 26,689,745</w:t>
      </w:r>
    </w:p>
    <w:p>
      <w:pPr>
        <w:pStyle w:val="TextBody"/>
        <w:bidi w:val="0"/>
        <w:spacing w:lineRule="auto" w:line="273" w:before="120" w:after="283"/>
        <w:jc w:val="center"/>
        <w:rPr>
          <w:rFonts w:ascii="Times New Roman" w:hAnsi="Times New Roman"/>
          <w:sz w:val="20"/>
        </w:rPr>
      </w:pPr>
      <w:r>
        <w:rPr>
          <w:rFonts w:ascii="Times New Roman" w:hAnsi="Times New Roman"/>
          <w:b/>
          <w:color w:val="000000"/>
          <w:sz w:val="18"/>
        </w:rPr>
        <w:t>D</w:t>
      </w:r>
      <w:r>
        <w:rPr>
          <w:rFonts w:ascii="Times New Roman" w:hAnsi="Times New Roman"/>
          <w:b/>
          <w:color w:val="000000"/>
          <w:sz w:val="16"/>
        </w:rPr>
        <w:t>OCUMENTS INCORPORATED BY REFERENCE:</w:t>
      </w:r>
    </w:p>
    <w:p>
      <w:pPr>
        <w:pStyle w:val="TextBody"/>
        <w:bidi w:val="0"/>
        <w:spacing w:lineRule="auto" w:line="273"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its 2026 annual meeting of stockholders (the “2026 Proxy Statement”) are incorporated by reference into Part III of this Annual Report on Form 10-K. The 2026 Proxy Statement will be filed with the Securities and Exchange Commission within 120 days after the end of the fiscal year covered by this Annual Report on Form 10-K.</w:t>
      </w:r>
    </w:p>
    <w:p>
      <w:pPr>
        <w:pStyle w:val="TextBody"/>
        <w:pBdr>
          <w:bottom w:val="double" w:sz="4" w:space="1" w:color="000000"/>
        </w:pBdr>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888"/>
        <w:gridCol w:w="8599"/>
        <w:gridCol w:w="146"/>
        <w:gridCol w:w="572"/>
      </w:tblGrid>
      <w:tr>
        <w:trPr/>
        <w:tc>
          <w:tcPr>
            <w:tcW w:w="888" w:type="dxa"/>
            <w:tcBorders/>
            <w:vAlign w:val="center"/>
          </w:tcPr>
          <w:p>
            <w:pPr>
              <w:pStyle w:val="TableContents"/>
              <w:bidi w:val="0"/>
              <w:spacing w:before="0" w:after="283"/>
              <w:jc w:val="left"/>
              <w:rPr>
                <w:sz w:val="4"/>
                <w:szCs w:val="4"/>
              </w:rPr>
            </w:pPr>
            <w:r>
              <w:rPr>
                <w:sz w:val="4"/>
                <w:szCs w:val="4"/>
              </w:rPr>
            </w:r>
          </w:p>
        </w:tc>
        <w:tc>
          <w:tcPr>
            <w:tcW w:w="8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
              <w:r>
                <w:rPr>
                  <w:rStyle w:val="InternetLink"/>
                  <w:rFonts w:ascii="Times New Roman" w:hAnsi="Times New Roman"/>
                  <w:b/>
                  <w:color w:val="0000FF"/>
                  <w:sz w:val="20"/>
                  <w:u w:val="single"/>
                </w:rPr>
                <w:t>PART I</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_business">
              <w:r>
                <w:rPr>
                  <w:rStyle w:val="InternetLink"/>
                  <w:rFonts w:ascii="Times New Roman" w:hAnsi="Times New Roman"/>
                  <w:color w:val="0000FF"/>
                  <w:sz w:val="20"/>
                  <w:u w:val="single"/>
                </w:rPr>
                <w:t>Item 1.</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_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Times New Roman" w:hAnsi="Times New Roman"/>
                  <w:color w:val="0000FF"/>
                  <w:sz w:val="20"/>
                  <w:u w:val="single"/>
                </w:rPr>
                <w:t>Item 1A.</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b_unresolved_staff_comments">
              <w:r>
                <w:rPr>
                  <w:rStyle w:val="InternetLink"/>
                  <w:rFonts w:ascii="Times New Roman" w:hAnsi="Times New Roman"/>
                  <w:color w:val="0000FF"/>
                  <w:sz w:val="20"/>
                  <w:u w:val="single"/>
                </w:rPr>
                <w:t>Item 1B.</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c_cybersecurity">
              <w:r>
                <w:rPr>
                  <w:rStyle w:val="InternetLink"/>
                  <w:rFonts w:ascii="Times New Roman" w:hAnsi="Times New Roman"/>
                  <w:color w:val="0000FF"/>
                  <w:sz w:val="20"/>
                  <w:u w:val="single"/>
                </w:rPr>
                <w:t>Item 1C.</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properties">
              <w:r>
                <w:rPr>
                  <w:rStyle w:val="InternetLink"/>
                  <w:rFonts w:ascii="Times New Roman" w:hAnsi="Times New Roman"/>
                  <w:color w:val="0000FF"/>
                  <w:sz w:val="20"/>
                  <w:u w:val="single"/>
                </w:rPr>
                <w:t>Item 2.</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legal_proceedings">
              <w:r>
                <w:rPr>
                  <w:rStyle w:val="InternetLink"/>
                  <w:rFonts w:ascii="Times New Roman" w:hAnsi="Times New Roman"/>
                  <w:color w:val="0000FF"/>
                  <w:sz w:val="20"/>
                  <w:u w:val="single"/>
                </w:rPr>
                <w:t>Item 3.</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mine_safety_disclosures">
              <w:r>
                <w:rPr>
                  <w:rStyle w:val="InternetLink"/>
                  <w:rFonts w:ascii="Times New Roman" w:hAnsi="Times New Roman"/>
                  <w:color w:val="0000FF"/>
                  <w:sz w:val="20"/>
                  <w:u w:val="single"/>
                </w:rPr>
                <w:t>Item 4.</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i">
              <w:r>
                <w:rPr>
                  <w:rStyle w:val="InternetLink"/>
                  <w:rFonts w:ascii="Times New Roman" w:hAnsi="Times New Roman"/>
                  <w:b/>
                  <w:color w:val="0000FF"/>
                  <w:sz w:val="20"/>
                  <w:u w:val="single"/>
                </w:rPr>
                <w:t>PART II</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5_market_for_the_registrants">
              <w:r>
                <w:rPr>
                  <w:rStyle w:val="InternetLink"/>
                  <w:rFonts w:ascii="Times New Roman" w:hAnsi="Times New Roman"/>
                  <w:color w:val="0000FF"/>
                  <w:sz w:val="20"/>
                  <w:u w:val="single"/>
                </w:rPr>
                <w:t>Item 5.</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5_market_for_the_registrants">
              <w:r>
                <w:rPr>
                  <w:rStyle w:val="InternetLink"/>
                  <w:rFonts w:ascii="Times New Roman" w:hAnsi="Times New Roman"/>
                  <w:color w:val="0000FF"/>
                  <w:sz w:val="20"/>
                  <w:u w:val="single"/>
                </w:rPr>
                <w:t>Market for the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6_reserved">
              <w:r>
                <w:rPr>
                  <w:rStyle w:val="InternetLink"/>
                  <w:rFonts w:ascii="Times New Roman" w:hAnsi="Times New Roman"/>
                  <w:color w:val="0000FF"/>
                  <w:sz w:val="20"/>
                  <w:u w:val="single"/>
                </w:rPr>
                <w:t>Item 6.</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6_reserved">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7_mda">
              <w:r>
                <w:rPr>
                  <w:rStyle w:val="InternetLink"/>
                  <w:rFonts w:ascii="Times New Roman" w:hAnsi="Times New Roman"/>
                  <w:color w:val="0000FF"/>
                  <w:sz w:val="20"/>
                  <w:u w:val="single"/>
                </w:rPr>
                <w:t>Item 7.</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7_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7a_quantitative_and_qualitative">
              <w:r>
                <w:rPr>
                  <w:rStyle w:val="InternetLink"/>
                  <w:rFonts w:ascii="Times New Roman" w:hAnsi="Times New Roman"/>
                  <w:color w:val="0000FF"/>
                  <w:sz w:val="20"/>
                  <w:u w:val="single"/>
                </w:rPr>
                <w:t>Item 7A.</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8_financial_statements">
              <w:r>
                <w:rPr>
                  <w:rStyle w:val="InternetLink"/>
                  <w:rFonts w:ascii="Times New Roman" w:hAnsi="Times New Roman"/>
                  <w:color w:val="0000FF"/>
                  <w:sz w:val="20"/>
                  <w:u w:val="single"/>
                </w:rPr>
                <w:t>Item 8.</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_changes_in_and_disagreements">
              <w:r>
                <w:rPr>
                  <w:rStyle w:val="InternetLink"/>
                  <w:rFonts w:ascii="Times New Roman" w:hAnsi="Times New Roman"/>
                  <w:color w:val="0000FF"/>
                  <w:sz w:val="20"/>
                  <w:u w:val="single"/>
                </w:rPr>
                <w:t>Item 9.</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a_controls_and_procedures">
              <w:r>
                <w:rPr>
                  <w:rStyle w:val="InternetLink"/>
                  <w:rFonts w:ascii="Times New Roman" w:hAnsi="Times New Roman"/>
                  <w:color w:val="0000FF"/>
                  <w:sz w:val="20"/>
                  <w:u w:val="single"/>
                </w:rPr>
                <w:t>Item 9A.</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b_other_information">
              <w:r>
                <w:rPr>
                  <w:rStyle w:val="InternetLink"/>
                  <w:rFonts w:ascii="Times New Roman" w:hAnsi="Times New Roman"/>
                  <w:color w:val="0000FF"/>
                  <w:sz w:val="20"/>
                  <w:u w:val="single"/>
                </w:rPr>
                <w:t>Item 9B.</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c_disclosure_regarding_foreign">
              <w:r>
                <w:rPr>
                  <w:rStyle w:val="InternetLink"/>
                  <w:rFonts w:ascii="Times New Roman" w:hAnsi="Times New Roman"/>
                  <w:color w:val="0000FF"/>
                  <w:sz w:val="20"/>
                  <w:u w:val="single"/>
                </w:rPr>
                <w:t>Item 9C.</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ii">
              <w:r>
                <w:rPr>
                  <w:rStyle w:val="InternetLink"/>
                  <w:rFonts w:ascii="Times New Roman" w:hAnsi="Times New Roman"/>
                  <w:b/>
                  <w:color w:val="0000FF"/>
                  <w:sz w:val="20"/>
                  <w:u w:val="single"/>
                </w:rPr>
                <w:t>PART III</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0_directors_executive_officers">
              <w:r>
                <w:rPr>
                  <w:rStyle w:val="InternetLink"/>
                  <w:rFonts w:ascii="Times New Roman" w:hAnsi="Times New Roman"/>
                  <w:color w:val="0000FF"/>
                  <w:sz w:val="20"/>
                  <w:u w:val="single"/>
                </w:rPr>
                <w:t>Item 10.</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1_executive_compensation">
              <w:r>
                <w:rPr>
                  <w:rStyle w:val="InternetLink"/>
                  <w:rFonts w:ascii="Times New Roman" w:hAnsi="Times New Roman"/>
                  <w:color w:val="0000FF"/>
                  <w:sz w:val="20"/>
                  <w:u w:val="single"/>
                </w:rPr>
                <w:t>Item 11.</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2_security_ownership_of_certain">
              <w:r>
                <w:rPr>
                  <w:rStyle w:val="InternetLink"/>
                  <w:rFonts w:ascii="Times New Roman" w:hAnsi="Times New Roman"/>
                  <w:color w:val="0000FF"/>
                  <w:sz w:val="20"/>
                  <w:u w:val="single"/>
                </w:rPr>
                <w:t>Item 12.</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3_certain_relationships">
              <w:r>
                <w:rPr>
                  <w:rStyle w:val="InternetLink"/>
                  <w:rFonts w:ascii="Times New Roman" w:hAnsi="Times New Roman"/>
                  <w:color w:val="0000FF"/>
                  <w:sz w:val="20"/>
                  <w:u w:val="single"/>
                </w:rPr>
                <w:t>Item 13.</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4_principal_accounting_fees">
              <w:r>
                <w:rPr>
                  <w:rStyle w:val="InternetLink"/>
                  <w:rFonts w:ascii="Times New Roman" w:hAnsi="Times New Roman"/>
                  <w:color w:val="0000FF"/>
                  <w:sz w:val="20"/>
                  <w:u w:val="single"/>
                </w:rPr>
                <w:t>Item 14.</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4_principal_accounting_fees">
              <w:r>
                <w:rPr>
                  <w:rStyle w:val="InternetLink"/>
                  <w:rFonts w:ascii="Times New Roman" w:hAnsi="Times New Roman"/>
                  <w:color w:val="0000FF"/>
                  <w:sz w:val="20"/>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v">
              <w:r>
                <w:rPr>
                  <w:rStyle w:val="InternetLink"/>
                  <w:rFonts w:ascii="Times New Roman" w:hAnsi="Times New Roman"/>
                  <w:b/>
                  <w:color w:val="0000FF"/>
                  <w:sz w:val="20"/>
                  <w:u w:val="single"/>
                </w:rPr>
                <w:t>PART IV</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5_exhibits_and_financial_statement">
              <w:r>
                <w:rPr>
                  <w:rStyle w:val="InternetLink"/>
                  <w:rFonts w:ascii="Times New Roman" w:hAnsi="Times New Roman"/>
                  <w:color w:val="0000FF"/>
                  <w:sz w:val="20"/>
                  <w:u w:val="single"/>
                </w:rPr>
                <w:t>Item 15.</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5_exhibits_and_financial_statement">
              <w:r>
                <w:rPr>
                  <w:rStyle w:val="InternetLink"/>
                  <w:rFonts w:ascii="Times New Roman" w:hAnsi="Times New Roman"/>
                  <w:color w:val="0000FF"/>
                  <w:sz w:val="20"/>
                  <w:u w:val="single"/>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6_form_10_k_summary">
              <w:r>
                <w:rPr>
                  <w:rStyle w:val="InternetLink"/>
                  <w:rFonts w:ascii="Times New Roman" w:hAnsi="Times New Roman"/>
                  <w:color w:val="0000FF"/>
                  <w:sz w:val="20"/>
                  <w:u w:val="single"/>
                </w:rPr>
                <w:t>Item 16.</w:t>
              </w:r>
            </w:hyperlink>
          </w:p>
        </w:tc>
        <w:tc>
          <w:tcPr>
            <w:tcW w:w="859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6_form_10_k_summary">
              <w:r>
                <w:rPr>
                  <w:rStyle w:val="InternetLink"/>
                  <w:rFonts w:ascii="Times New Roman" w:hAnsi="Times New Roman"/>
                  <w:color w:val="0000FF"/>
                  <w:sz w:val="20"/>
                  <w:u w:val="single"/>
                </w:rPr>
                <w:t>Form 10 K Summary</w:t>
              </w:r>
            </w:hyperlink>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lineRule="auto" w:line="273" w:before="200" w:after="283"/>
        <w:jc w:val="left"/>
        <w:rPr>
          <w:rFonts w:ascii="Times New Roman" w:hAnsi="Times New Roman"/>
          <w:sz w:val="20"/>
        </w:rPr>
      </w:pPr>
      <w:bookmarkStart w:id="4" w:name="item_1_busines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Business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Who We 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a specialty insurance company that provides property and casualty insurance products to individuals and businesses. We leverage underwriting expertise and data-driven analytics to offer innovative solutions in five product categories: Earthquake, Casualty, Inland Marine and Other Property, Crop, and Fronting. We offer coverage in both the admitted and excess and surplus lines (“E&amp;S”) markets, utilizing proprietary data analytics and a technology-enabled platform to support customized underwriting and pricing. Our insurance company subsidiaries, Palomar Specialty Insurance Company (“PSIC”), Palomar Excess and Surplus Insurance Company (“PESIC”), and First Indemnity of America Insurance Co. (“FIA”) carry an “A” financial strength rating from A.M. Best Company (“A.M. Best”), a leading rating agency for the insurance industry.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distribute our products through multiple channels, including retail agents, program administrators, wholesale brokers, and strategic partnerships with other insurance companies. Our business strategy is supported by a comprehensive risk transfer program with reinsurance coverage that we believe reduces earnings volatility and provides appropriate levels of protection from catastrophic events and other significant loss events. Our management team combines decades of insurance industry experience across specialty underwriting, reinsurance, program administration, distribution, analytics, and claims.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Founded in 2014, we have significantly grown our business and have generated attractive returns. We have organically increased gross written premiums from $16.6 million in our first year of operations to $2.0 billion for the year ended December 31, 2025, which reflects a compound annual growth rate of approximately 55%. We have been profitable since 2016, and our net income has increased over that period at a compound annual growth rate of approximately 46%.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continuously grow our income by developing product offerings that harness our core competencies and where we believe we can generate attractive risk adjusted returns. In recent years, we have introduced several new products including Crop, E&amp;S Casualty, Surety and Environmental Liability. These new products diversify our book of business and broaden our specialty product portfolio. We believe that our market opportunity, distinctive products, and differentiated business model position us to grow our business profitably.</w:t>
      </w:r>
    </w:p>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Recent Developments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January 2026, we acquired The Gray Casualty &amp; Surety Company (“Gray Surety”), a Treasury-listed surety carrier specializing in contract bonds for mid-sized and emerging contractors nationwide. Gray Surety is licensed in all 50 states, operates through 13 regional offices, is led by an experienced entrepreneurial management team, and carries an “A-” financial strength rating from A.M. Best. Subsequent to the acquisition we renamed Gray Surety to Palomar Casualty &amp; Surety Company (“PCSC”) and will refer to it as such in the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facilitate this acquisition, the Company entered into a credit agreement providing for unsecured credit facilities totaling $450 million maturing on January 27, 2031. Proceeds may be used for general corporate purposes, permitted acquisitions and refinancing of existing indebtedness.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will reorganize the presentation of our product offerings in 2026 and report Surety and Credit premium as a separate line, reflecting changes in strategy and market focus following the Gray Surety acquisition. Our Fronting premium will cease to be reported as a separate line of business and the underlying premium will be consolidated into existing lines.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management team founded our company to address unmet needs that we perceived to exist in certain specialty insurance markets. These markets have historically been served by large generalist insurance companies and state-managed entities applying “one-size-fits-all” pricing and policy forms across broad geographies. Our admitted products feature rates and policy forms approved by state insurance departments and are backed by state guaranty funds, providing a further level of security to policyholders. We believe that for our personal lines products, both our customers and distribution partners prefer the ease of use and security of admitted products with flexible coverages. We write surplus lines policies primarily for our commercial business. As the E&amp;S market does not involve the same level of regulation and required approvals as the admitted market, our surplus lines products enable us to react quickly to changing market conditions.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believe we can generate attractive risk-adjusted returns by using underwriting methods that apply a more granular approach to pricing than what is typically offered by standard carriers and that better reflect our customers underlying risk. We believe this market acceptance and return potential is evidenced by the fact that we have quickly and profitably grown to become the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2nd largest earthquake insurer in the state of California and the 3rd largest earthquake insurer in the United States. We also continue to experience growth and profitability across our other lines of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seek to write a diverse specialty mix of business by loss exposure, customer type and geography to capitalize on market opportunities, mitigate the potential impact of any single catastrophe event or shock loss, and reduce our cost of reinsurance. We continue to develop new product offerings for lines of business that harness our core competencies and where we believe we can generate attractive risk-adjusted returns. Recent examples of our commitment to developing new products include the expansion of our Casualty, Crop, and Surety insurance offerings.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part of our ongoing strategy to strengthen and diversify our specialty insurance portfolio, we completed several acquisitions over the past year. In January 2025, we completed the acquisition of FIA, a New Jersey-domiciled insurance carrier specializing in surety bonds for small- to medium-sized contractors, primarily in the Northeast United States. In April 2025, we completed the acquisition of substantially all of the assets and assumed certain liabilities of of Advanced AgProtection, LLC (“AAP”), a Texas-domiciled managing general agent specializing in Crop insurance. In January 2026, we completed the acquisition of Gray Surety, a Louisiana-domiciled, Treasury-listed surety carrier specializing in contract bonds for mid-sized and emerging contractors across the United States. We believe these acquisitions enhance our specialty portfolio and strengthen our opportunity to serve diverse markets and customer segments.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maintain a diversified specialty business mix, supported by meaningful expansion across products, markets, and geographies. In our first year of operations in 2014, all of our premiums were related to earthquake insurance. For the year ended December 31, 2025, approximately 28% of our gross written premiums were related to earthquake insurance.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admitted insurance subsidiary, PSIC, is licensed in 50 states and we have the flexibility to write nationally through our surplus lines subsidiary, PESIC. California represents our largest current exposure with 31% of our gross written premiums for the year ended December 31, 2025. Our business strategy focuses on growing and diversifying our specialty portfolio. The following charts illustrate our business mix by product, state, and entity for the year ended December 31, 2025:</w:t>
      </w:r>
    </w:p>
    <w:p>
      <w:pPr>
        <w:pStyle w:val="TextBody"/>
        <w:bidi w:val="0"/>
        <w:spacing w:lineRule="auto" w:line="273" w:before="200" w:after="283"/>
        <w:jc w:val="center"/>
        <w:rPr/>
      </w:pPr>
      <w:r>
        <w:rPr/>
        <w:drawing>
          <wp:inline distT="0" distB="0" distL="0" distR="0">
            <wp:extent cx="6172200" cy="411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72200" cy="4114800"/>
                    </a:xfrm>
                    <a:prstGeom prst="rect">
                      <a:avLst/>
                    </a:prstGeom>
                  </pic:spPr>
                </pic:pic>
              </a:graphicData>
            </a:graphic>
          </wp:inline>
        </w:drawing>
      </w:r>
    </w:p>
    <w:p>
      <w:pPr>
        <w:pStyle w:val="TextBody"/>
        <w:bidi w:val="0"/>
        <w:spacing w:lineRule="auto" w:line="273" w:before="200" w:after="28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pPr>
      <w:r>
        <w:rPr/>
        <w:drawing>
          <wp:inline distT="0" distB="0" distL="0" distR="0">
            <wp:extent cx="6143625" cy="422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43625" cy="4229100"/>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273"/>
        <w:jc w:val="center"/>
        <w:rPr/>
      </w:pPr>
      <w:r>
        <w:rPr/>
        <w:drawing>
          <wp:inline distT="0" distB="0" distL="0" distR="0">
            <wp:extent cx="6200775" cy="420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00775" cy="4200525"/>
                    </a:xfrm>
                    <a:prstGeom prst="rect">
                      <a:avLst/>
                    </a:prstGeom>
                  </pic:spPr>
                </pic:pic>
              </a:graphicData>
            </a:graphic>
          </wp:inline>
        </w:drawing>
      </w:r>
    </w:p>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We employ a highly granular and analytical underwriting process to assess each insurance policy that we write. We seek to ensure that the risk characteristics of all business written are consistent with our underwriting standards. Our systems enable us to underwrite our personal lines business automatically within minutes by leveraging our proprietary modeling techniques to analyze data at the geocode or ZIP code level. With our commercial products, we balance automation with human expertise and controls to underwrite more complex risks. The detailed data collected through our underwriting process supports portfolio-level analytics that we use to monitor risk concentrations, manage policy aggregation, and promote appropriate dispersion of risks across our portfolio. Our Casualty products are subject to extensive risk analysis, including review by experienced underwriters, thorough actuarial analysis, fostering broker relationships to obtain complete underwriting information, and accurately assessing and quantifying loss exposures to inform pricing, terms and conditions, limits, and attachment points.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Our Competitive Strengths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believe that our competitive strengths include: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Focus on capturing market share and expanding underserved markets. </w:t>
      </w:r>
      <w:r>
        <w:rPr>
          <w:rFonts w:ascii="Times New Roman" w:hAnsi="Times New Roman"/>
          <w:color w:val="000000"/>
          <w:sz w:val="20"/>
        </w:rPr>
        <w:t>We focus on specialty insurance markets that we believe are underserved, and where we believe we can capture market share and expand the market to new customers. In our target markets, there are few direct competitors who focus exclusively on specialty risks. With our specialized knowledge of these risks and our customized products, pricing and risk management, we believe we can serve these markets better than our competitors. We also seek to expand these markets by creating products that attract insureds who previously had not obtained coverage. Our focus and expertise have enabled us to rapidly increase our market share; for example, we have grown to become the 2nd largest earthquake insurer in California and the 3rd largest earthquake insurer in the United States. In markets with similar characteristics, we are experiencing growth and profitability across our other lines of business. We believe that our focus on addressing the needs of underserved specialty markets provides us with a competitive advantage.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Differentiated products built with the customer in mind. </w:t>
      </w:r>
      <w:r>
        <w:rPr>
          <w:rFonts w:ascii="Times New Roman" w:hAnsi="Times New Roman"/>
          <w:color w:val="000000"/>
          <w:sz w:val="20"/>
        </w:rPr>
        <w:t>We have invested significant time and resources into developing what we believe are innovative and unique product offerings to address customer needs within our target markets. Our products generally offer our customers flexible features that are not typical of standard products in our markets. By offering our customers the ability to manage pricing, coverage options, and deductibles, we believe we have created products that are attractive both to those who have existing coverages with our competitors, and to those who have not historically bought insurance in our target markets. Furthermore, since our admitted products have been approved by individual state regulators and are supported by proprietary pricing models, we believe that these products are difficult to replicate, particularly by existing carriers who would face the burden of gathering data, building new models, and revising existing rates and policy forms with regulators.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Product offerings in both the admitted and E&amp;S markets. </w:t>
      </w:r>
      <w:r>
        <w:rPr>
          <w:rFonts w:ascii="Times New Roman" w:hAnsi="Times New Roman"/>
          <w:color w:val="000000"/>
          <w:sz w:val="20"/>
        </w:rPr>
        <w:t>We believe that our core capabilities can be applied to both the admitted as well as the E&amp;S insurance markets. Admitted products are backed by state guarantee funds and, as a result, are subject to more regulation, as admitted insurance companies must receive approval for rates and policy forms from individual state regulators. Our admitted insurance company subsidiary, PSIC, is licensed to write business in 50 states. We primarily serve the personal lines insurance market through the sale of admitted insurance products as those risks tend to be more homogenous in nature and retail agents generally prefer the sale of admitted products. We offer E&amp;S insurance products through our surplus lines insurance company subsidiary, PESIC, which is licensed to do business on a national basis. We primarily serve the commercial lines insurance market through the sale of E&amp;S insurance products as those markets are better suited to the flexibility of rate and form available to E&amp;S carriers. Having E&amp;S offerings allows us to react quickly to changing market conditions and to accelerate the expansion of our business nationally as we do not have to go through the process of receiving required approvals from individual state regulators.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Analytically driven, disciplined and scalable underwriting. </w:t>
      </w:r>
      <w:r>
        <w:rPr>
          <w:rFonts w:ascii="Times New Roman" w:hAnsi="Times New Roman"/>
          <w:color w:val="000000"/>
          <w:sz w:val="20"/>
        </w:rPr>
        <w:t>Our underwriting approach combines decades of specialized underwriting experience of our management team with sophisticated, customized modeling tools we have developed that utilize extensive geospatial and actuarial data across all our lines of business. Our proprietary models enable automated pricing of risks at the geocode or ZIP code level, in contrast to our competitors who we believe use less granular analytics and more manual underwriting processes. Our analytical pricing framework is embedded in all facets of our business and is incorporated into our filings, pricing, underwriting and risk management. We believe that our analytically-driven underwriting approach has been the foundation of our ability to generate attractive risk-adjusted underwriting margins.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Multi-channel distribution model. </w:t>
      </w:r>
      <w:r>
        <w:rPr>
          <w:rFonts w:ascii="Times New Roman" w:hAnsi="Times New Roman"/>
          <w:color w:val="000000"/>
          <w:sz w:val="20"/>
        </w:rPr>
        <w:t>Our open architecture distribution framework allows us to attract and underwrite business from multiple channels. We work with a wide variety of retail agents, program administrators, and wholesale brokers. We serve over 35 insurance companies as a specialty partner either by issuing companion policies or providing reinsurance for in-force risks that fit our strict underwriting parameters. The breadth and flexibility of our distribution model allows us to generate premium from many different parts of the insurance ecosystem and to rapidly take advantage of changing market conditions.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Sophisticated and conservative risk transfer program. </w:t>
      </w:r>
      <w:r>
        <w:rPr>
          <w:rFonts w:ascii="Times New Roman" w:hAnsi="Times New Roman"/>
          <w:color w:val="000000"/>
          <w:sz w:val="20"/>
        </w:rPr>
        <w:t xml:space="preserve">Our risk transfer program utilizes excess of loss, quota share, facultative, and property per risk coverages for both our property and casualty products. We manage our exposure to catastrophe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events through several risk mitigation strategies, including the purchase of reinsurance. We believe that our reinsurance program provides appropriate levels of protection and improves visibility into our earnings. Our current reinsurance program limits our pre-tax net loss from any single event to $20.0 million for earthquakes and $11.0 million for hurricanes, equivalent to approximately 2.1% and 1.2%, respectively, of our total stockholders’ equity as of December 31, 2025. At each reinsurance treaty renewal, we consider any plans to change the underlying insurance coverage we offer, our current capital, our risk appetite, and the cost and availability of reinsurance coverage, which may vary from time to time. Further, we buy program specific quota share reinsurance coverage for certain lines of business to mitigate the impact of attritional losses on underwriting results. In our quota share agreements, we cede a portion of our premiums to reinsurers and, in return, we also cede a proportionate amount of losses and receive ceding commissions from the reinsurers.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Emphasis on the use of technology and analytics across our business. </w:t>
      </w:r>
      <w:r>
        <w:rPr>
          <w:rFonts w:ascii="Times New Roman" w:hAnsi="Times New Roman"/>
          <w:color w:val="000000"/>
          <w:sz w:val="20"/>
        </w:rPr>
        <w:t>We have built a proprietary operating platform that employs best practices derived from our management team’s extensive prior experience. Our technology platform is not burdened by outdated technology and processes which may be utilized by older insurance companies. In building our platform, we have emphasized automated processes that use granular data and analytics consistently across all aspects of our business. Our internally developed Palomar Automated Submission System (“PASS”) acts as our interface with retail agents and wholesale brokers for certain product lines. PASS serves as the conduit to our policy administration system that integrates policy issuance, underwriting, billing and portfolio analytics. Our platform enables us to rapidly quote and bind policies via automated processing, and to run detailed risk-management analytics for internal and external constituents including distribution partners, carrier partners and reinsurers. We believe that this real-time access to data and analytics provides us with an advantage in distributing our products, managing our risk, and purchasing reinsurance.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Highly experienced management team and board. </w:t>
      </w:r>
      <w:r>
        <w:rPr>
          <w:rFonts w:ascii="Times New Roman" w:hAnsi="Times New Roman"/>
          <w:color w:val="000000"/>
          <w:sz w:val="20"/>
        </w:rPr>
        <w:t>Our management team is highly qualified, with an average of more than twenty years of relevant experience in insurance, reinsurance and capital markets. We are led by our Chairman and Chief Executive Officer, Mac Armstrong, who prior to founding Palomar was President of Arrowhead General Insurance Agency (“Arrowhead”). Many of our key management team members such as Mr. Armstrong, Jon Christianson, our President, Jon Knutzen, our Chief Risk Officer, and Chris Uchida, our Chief Financial Officer, have served in their roles for over five years and worked together prior to Palomar. We have also recently made key management hires in operations, technology, claims, people and talent, investments, Crop, E&amp;S Casualty, and Surety. These new management hires are insurance industry veterans with proven track records and deep industry knowledge. We believe their skills and experience will assist Palomar during our next phase of growth and expansion. In addition, our Board of Directors is comprised of accomplished industry veterans who bring decades of experience from prior roles with insurance and other companies.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believe that our approach will allow us to achieve our goals of both growing our business and generating attractive returns. Our strategy involves: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Expand our presence in existing markets. </w:t>
      </w:r>
      <w:r>
        <w:rPr>
          <w:rFonts w:ascii="Times New Roman" w:hAnsi="Times New Roman"/>
          <w:color w:val="000000"/>
          <w:sz w:val="20"/>
        </w:rPr>
        <w:t>We compete in the United States property and casualty market that represented over $1 trillion in total written premiums during 2024. By comparison, we generated $2.0 billion of gross written premiums for the year ended December 31, 2025. We believe that our differentiated product offerings will enable us to continue growing in our existing markets by (i) gaining market share from competitors who have less flexible product offerings; (ii) continuing to expand our strong distribution network; and (iii) increasing the total addressable market by providing attractive products to customers who previously elected not to purchase coverage. We also continue to evaluate additional geographic markets and lines of business where we believe we can generate attractive risk-adjusted returns by harnessing our core competencies.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Maintain our distinctive combination of profitability and growth. </w:t>
      </w:r>
      <w:r>
        <w:rPr>
          <w:rFonts w:ascii="Times New Roman" w:hAnsi="Times New Roman"/>
          <w:color w:val="000000"/>
          <w:sz w:val="20"/>
        </w:rPr>
        <w:t>Our analytically informed risk selection and disciplined underwriting guidelines enable us to identify segments of the market that are both underserved and mispriced. As a result, we have generated attractive underwriting profitability by expanding the addressable market and winning market share with our distinctive products. For the years ended December 31, 2025 and 2024, our return on equity (“ROE”) was 23.6% and 19.6%, and our adjusted ROE was 25.9% and 22.2%, respectively. As we seek premium growth, we intend to remain disciplined in our pricing, underwriting, and risk management processes, including closely managing our net probable maximum loss (“PML”), average annual loss (“AAL”), and spread of risk. We will remain focused on lines of business with attractive pricing dynamics and a favorable risk / return profile, and we will not participate in markets where we believe our business model cannot add incremental value.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Maintain a diversified book of business. </w:t>
      </w:r>
      <w:r>
        <w:rPr>
          <w:rFonts w:ascii="Times New Roman" w:hAnsi="Times New Roman"/>
          <w:color w:val="000000"/>
          <w:sz w:val="20"/>
        </w:rPr>
        <w:t xml:space="preserve">We currently write a book of specialty insurance that is diversified by underlying loss exposure, customer type and geography. Our major product lines and exposures are uncorrelated, such that events contributing to a loss in one product line are not expected to generate material losses in our other product lines. Furthermore, our Crop and Surety products are uncorrelated with the traditional P&amp;C cycle, enhancing the diversification of our specialty product portfolio. The diversification of our book of business improves our risk-adjusted returns, helps mitigate the impact of swings in any single insurance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or reinsurance market, and allows us to capitalize on market shifts opportunistically. As we grow, we intend to maintain a diversified book of business and continually capitalize on these advantages.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Leverage our underwriting, analytics, and risk transfer acumen to generate fee income. </w:t>
      </w:r>
      <w:r>
        <w:rPr>
          <w:rFonts w:ascii="Times New Roman" w:hAnsi="Times New Roman"/>
          <w:color w:val="000000"/>
          <w:sz w:val="20"/>
        </w:rPr>
        <w:t>We generate fee income through the use of quota share reinsurance treaties whereby third-party reinsurers pay us a ceding commission in order to access attractive pools of risk. We also generate fee income through arrangements with program administrators and reinsurers seeking to access our licensed insurance companies. Our multi-channel distribution model produces attractive business that we aim to translate into a balanced mix of underwriting and fee income. As a result, we have an increasing number of partnerships where we write policies on behalf of other insurance and reinsurance companies who pay us a ceding commission to access the business. We believe these partnerships are an important validation of the intellectual property and expertise we have developed, and that this strategy supports scalable growth and provides a growing fee stream to complement our profitable underwriting operations.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Continue to purchase conservative reinsurance coverage, while optimizing for risk-adjusted returns. </w:t>
      </w:r>
      <w:r>
        <w:rPr>
          <w:rFonts w:ascii="Times New Roman" w:hAnsi="Times New Roman"/>
          <w:color w:val="000000"/>
          <w:sz w:val="20"/>
        </w:rPr>
        <w:t>We believe that protecting our earnings and balance sheet through the use of reinsurance is critical to our business and supports our ability to meet obligations to our policyholders and other constituents, and generate strong returns for our stockholders. We plan to maintain a conservative, robust reinsurance program to provide protection against severe or frequent losses. Our goal is to protect our earnings by constructing a reinsurance program that mitigates losses and supports profitability in spite of potential shock losses or catastrophic activity. As we grow, we expect that we will benefit from increased scale and diversification of risk in our business, and we plan to optimize our reinsurance program continuously by adjusting terms, structure, pricing, and participants to maximize our risk-adjusted returns.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Continue to invest in proprietary technology assets that deepen our competitive advantage. </w:t>
      </w:r>
      <w:r>
        <w:rPr>
          <w:rFonts w:ascii="Times New Roman" w:hAnsi="Times New Roman"/>
          <w:color w:val="000000"/>
          <w:sz w:val="20"/>
        </w:rPr>
        <w:t>We believe that the success of our business is centered upon our relentless commitment to using technology to improve our business. For example, we have dedicated software developers focused on building application programming interfaces (“APIs”), which enable seamless integration into the point-of-sale systems of our partner carriers and distribution partners. This integration increases the ease of use for our partners, integrates our capabilities within their systems, and facilitates real-time sharing of information between our distribution, underwriting, and risk management functions. We will continue to evaluate and invest in proprietary and third-party technology assets, including tools that leverage artificial intelligence and automation, which deepen our competitive advantage, strengthen our operations, and improve our returns.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 xml:space="preserve">Pursue opportunistic acquisitions to supplement organic growth. </w:t>
      </w:r>
      <w:r>
        <w:rPr>
          <w:rFonts w:ascii="Times New Roman" w:hAnsi="Times New Roman"/>
          <w:color w:val="000000"/>
          <w:sz w:val="20"/>
        </w:rPr>
        <w:t>We selectively pursue acquisitions to enter new markets or expand existing businesses when we believe acquiring established companies offers a more attractive risk-adjusted return than organic growth. Our acquisition strategy focuses on markets with strong growth prospects, predictable earnings, and attractive underwriting economics. For example, Surety is a highly profitable, specialized market that we evaluated over several years. Due to its technical complexity and relationship-driven nature, we determined that acquisition of proven carriers represented the most effective means of entry and scale. Consistent with this approach, we acquired FIA and Gray Surety, enabling us to accelerate market entry, add experienced underwriting teams, and efficiently scale our Surety platform. We believe this disciplined approach to acquisitions supports effective capital deployment and long-term shareholder value creation.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History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an insurance holding company that was originally incorporated under the laws of the Cayman Islands in October 2013. In March 2019, we completed a domestication pursuant to Section 388 of the Delaware General Corporation Law and became a Delaware corporation.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Our primary operating subsidiary, PSIC, is an insurance company domiciled in the State of Oregon and is an admitted insurer licensed to write business in 50 states as of December 31, 2025. PSIC was formed in February 2014. In August 2014, we incorporated Palomar Specialty Reinsurance Company Bermuda Ltd. (“PSRE”), a Bermuda-based reinsurance subsidiary that provides reinsurance exclusively to PSIC and PESIC.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August 2015, we incorporated Prospect General Insurance Agency, Inc., now known as Palomar Insurance Agency, Inc. (“PIA”), which underwrites specialty insurance products on behalf of third-party insurance companies.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2020, we received regulatory approval for and capitalized PESIC. PESIC is domiciled in the State of Arizona and licensed in Arizona to write surplus lines business on a nationwide basis across our existing lines of business.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2023, we formed Palomar Underwriters Exchange Organization, Inc. (“PUEO”), a Delaware-incorporated management company that serves as the attorney-in-fact to Laulima Exchange (“Laulima”), a Hawaii domiciled reciprocal exchange.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January 2025, we completed the acquisition of First Indemnity of America Insurance Co. (“FIA”), a New Jersey-domiciled insurance carrier specializing in surety bonds. In April 2025, we completed the acquisition of substantially all of the assets and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assumed certain liabilities of AAP, a Texas-domiciled managing general agent specializing in crop insurance. In connection with the AAP acquisition, we formed Palomar Crop Insurance Services, Inc. (“PCIS”), a Delaware-incorporated insurance management company focused on crop insurance.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January 2026, we completed the acquisition of The Gray Casualty &amp; Surety Company (“Gray Surety”), a Treasury-listed surety carrier specializing in contract bonds for mid-sized and emerging contractors across the United States.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provide personal and commercial specialty insurance products in our target markets. With the goal of giving customers better options, we designed an analytical framework intended to support the development of flexible products with innovative coverages and pricing that we believe better reflects the underlying risk. Using this framework, we initially introduced Residential and Commercial Earthquake products in 2014 and have subsequently expanded our product portfolio to cover multiple specialty risks in the United States. We have grown our business by entering markets that exhibit one or more of the following attributes: (i) can generate targeted risk-adjusted returns and enhance the diversity of our specialty product portfolio, (ii) can benefit from our technology platform, data analytics and customer centric products, and/or (iii) allow us to leverage our existing underwriting talent, reinsurance expertise and/or distribution relationships.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lines of business include: Earthquake, Casualty, Inland Marine and Other Property, Crop, and Fronting. We aim to develop a diversified specialty portfolio with exposure spread across geographic regions with limited correlation. Although our largest exposure is in California, we write business across the United States. We tailor our risk participation to optimize our returns depending on the conditions of specific markets. In total, we are licensed as an admitted insurer in 50 total states. The following tables show gross written premiums (“GWP”) by state and product for the years ended December 31, 2025, 2024 and 2023.</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516"/>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626,399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668,635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600,791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160,639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124,416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Florida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96,764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67,008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Hawaii</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92,585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72,558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Washington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57,900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49,494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68,119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54,406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Colorado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819,768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516"/>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571,373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522,864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436,897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38.3</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Casualty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542,949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235,592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90,388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Inland Marine and Other Property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446,184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334,079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250,022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247,547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116,239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Fronting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five product lines are summarized as follows: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Earthquake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offer Residential and Commercial Earthquake products on both an admitted and E&amp;S basis. Our Residential Earthquake products insure against home damage, contents, appurtenant structures, and temporary housing costs following an earthquake. Our products are designed with flexibility, offering a variety of deductible options and customizable coverage limits. We aim to attract customers who haven't previously purchased earthquake insurance. Our pricing model, based on data from top catastrophe models, allows us to accurately assess and price risks at the ZIP code or geocode level. Unlike competitors who use broad pricing zones, we factor in regional differences like soil types, liquefaction risk, and proximity to fault lines. This approach helps us offer more precise rates and may result in lower rates, especially in low-risk areas with historically low earthquake insurance uptake. Our Commercial Earthquake products focus on providing coverage for benign commercial risks where the business interruption exposure is generally less than 15% of the total insured value (“TIV”). We generally avoid risks where the contents are hard to value or represent a disproportionate percentage of the value. </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Casualty</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Casualty products are offered on an admitted and E&amp;S basis. We primarily focus on niche segments of the Casualty market including E&amp;S Casualty, Primary Casualty, Real Estate Agent Errors and Omissions, Excess Liability, Environmental Liability, and Surety coverages written directly and through program administrators. We utilize experienced underwriters and thorough actuarial review to optimize our pricing, terms and conditions, limits, and attachment points.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Inland Marine and Other Property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Inland Marine and Other Property products include Inland Marine, Hawaii Hurricane, Excess National Property, Residential Flood, and other property products. These products are written on an admitted and on an E&amp;S basis directly and through program administrators. Policy limits vary by product; however, our E&amp;S offerings are designed to target larger limit business and do not directly compete with our admitted offerings. We believe the flexibility of these products enables us to compete in select market segments and price risk appropriately.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Crop</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Crop insurance products are comprised primarily of multi-peril crop insurance offered in connection with the U.S. Department of Agriculture's Risk Management Agency and designed to cover revenue shortfalls or production losses due to natural causes such as drought, hail, and wind. We currently write Crop insurance with a focus on limiting exposure to any single region. We also offer Livestock and Private Product Crop solutions.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Fronting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Fronting products offer reinsurers, insurance carriers, and managing general agents the ability to utilize our licensed admitted and E&amp;S insurance companies to design and operate customized insurance programs. We issue insurance policies for other insurance companies that may not have the licensure, product suite or rating to serve their desired markets, or for programs supported by reinsurance or alternative capital providers. In addition, we enter fronting arrangements with program administrators that require a broadly licensed, highly rated carrier to conduct business in certain states.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Marketing and Distribution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market and distribute our products through a multi-channel, open architecture distribution model which includes retail agents, wholesale brokers, program administrators and carrier partnerships. We have well-defined underwriting criteria and have designed our distribution model to access our targeted risks through what we believe to be the most efficient channels.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Retail Agents:</w:t>
      </w:r>
      <w:r>
        <w:rPr>
          <w:rFonts w:ascii="Times New Roman" w:hAnsi="Times New Roman"/>
          <w:color w:val="000000"/>
          <w:sz w:val="20"/>
        </w:rPr>
        <w:t xml:space="preserve"> We primarily distribute our personal lines products through retail agents. We believe that retail agents are an important pillar of our distribution model due to the high retention rates and rate stability that we are able to achieve with policies sold through this channel. We provide agents with flexible products that are preferred by end consumers and are easier for agents to sell. In many cases, we provide agents with direct access to our policy management system that enables them to quote, bind and issue policies in a matter of minutes. We believe this ease of use and quick speed-to-quote serves as a competitive advantage.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Wholesale Brokers:</w:t>
      </w:r>
      <w:r>
        <w:rPr>
          <w:rFonts w:ascii="Times New Roman" w:hAnsi="Times New Roman"/>
          <w:color w:val="000000"/>
          <w:sz w:val="20"/>
        </w:rPr>
        <w:t xml:space="preserve"> We distribute our commercial lines products primarily through wholesale brokers. Wholesale brokers are an important channel for commercial insurance products as they place a significant portion of the premium in these segments. We target brokers with experience serving our specialty markets and with business plans consistent with our strategy and underwriting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objectives. Brokers are expected to demonstrate an ability to produce both the quality and quantity of business that we seek. To assist with this goal, our underwriters regularly visit with brokers to market and discuss the products we offer.</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Program Administrators:</w:t>
      </w:r>
      <w:r>
        <w:rPr>
          <w:rFonts w:ascii="Times New Roman" w:hAnsi="Times New Roman"/>
          <w:color w:val="000000"/>
          <w:sz w:val="20"/>
        </w:rPr>
        <w:t xml:space="preserve"> Within select lines of business, we partner with program administrators to harness the efficiency and scale of their existing marketing and distribution infrastructures. In some cases, policies bound by our program administrators are pre-underwritten using pricing models that we have developed and are programmed into the policy administration system of those partners. For business that is not automatically underwritten, we establish strict underwriting guidelines to which our partners must adhere. We audit the underwriting, systems, financial strength and reporting capabilities of all of our program administrators on a regular basis.</w:t>
      </w:r>
    </w:p>
    <w:p>
      <w:pPr>
        <w:pStyle w:val="TextBody"/>
        <w:bidi w:val="0"/>
        <w:spacing w:lineRule="auto" w:line="266" w:before="200" w:after="283"/>
        <w:jc w:val="left"/>
        <w:rPr>
          <w:rFonts w:ascii="Times New Roman" w:hAnsi="Times New Roman"/>
          <w:sz w:val="20"/>
        </w:rPr>
      </w:pPr>
      <w:r>
        <w:rPr>
          <w:rFonts w:ascii="Times New Roman" w:hAnsi="Times New Roman"/>
          <w:b/>
          <w:i/>
          <w:color w:val="000000"/>
          <w:sz w:val="20"/>
        </w:rPr>
        <w:t>Carrier Partnerships:</w:t>
      </w:r>
      <w:r>
        <w:rPr>
          <w:rFonts w:ascii="Times New Roman" w:hAnsi="Times New Roman"/>
          <w:color w:val="000000"/>
          <w:sz w:val="20"/>
        </w:rPr>
        <w:t xml:space="preserve"> Given our unique specialty focus and underwriting expertise, we are a carrier of choice for other insurance companies seeking a specialty insurance partner to act as a fronting carrier, transfer certain classes of risk, satisfy insurance department mandatory offer requirements or provide a more comprehensive risk solution to their customers. As of December 31, 2025, we maintained partnerships with over 35 insurance companies. Several carriers have invited us to provide a companion offer for residential earthquake insurance alongside their homeowners’ insurance policy offerings. Other carriers will direct their captive agents to our online system so that they may quote, bind and issue policies directly. Finally, we offer assumed reinsurance arrangements to carriers whereby we may assume up to 100% of the underlying risk for specific classes of business in exchange for a ceding commission. Our assumed reinsurance treaties represent risks that we would ordinarily underwrite on a primary basis and/or that align with our risk tolerance, however, the cedant either (i) has already written these policies or (ii) the cedant wants to issue the policies on its paper but not retain any of the risk and as such prefers an assumed reinsurance partnership. We believe that our carrier partnerships with sophisticated industry participants speak to the value and quality of our products, service offering and systems. Furthermore, carrier partnerships represent a highly scalable distribution model as they enable us to tap into a sizable customer base and to quickly build scale in new markets. With all partnerships, we review pricing at the policy level to ensure that the risk characteristics of both new and assumed business are consistent with our underwriting of direct business. </w:t>
      </w:r>
    </w:p>
    <w:p>
      <w:pPr>
        <w:pStyle w:val="TextBody"/>
        <w:bidi w:val="0"/>
        <w:spacing w:lineRule="auto" w:line="266" w:before="200" w:after="283"/>
        <w:jc w:val="left"/>
        <w:rPr>
          <w:rFonts w:ascii="Times New Roman" w:hAnsi="Times New Roman"/>
          <w:b/>
          <w:color w:val="000000"/>
          <w:sz w:val="20"/>
        </w:rPr>
      </w:pPr>
      <w:r>
        <w:rPr>
          <w:rFonts w:ascii="Times New Roman" w:hAnsi="Times New Roman"/>
          <w:b/>
          <w:color w:val="000000"/>
          <w:sz w:val="20"/>
        </w:rPr>
        <w:t>Underwriting</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Our underwriting team combines comprehensive data analysis with experienced underwriting techniques to build a profitable, stable and diversified book of business. Our underwriting process involves securing an adequate level of underwriting information, classifying and evaluating each individual risk exposure, assessing the impact of the risk upon our existing portfolio, and pricing the risk accordingly. Our overarching underwriting philosophy is ‘to write what we know’, a straightforward approach that allows our underwriters to focus on business they understand and can process quickly without sacrificing diligence and attention to detail.</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develop our underwriting guidelines and pricing models for our property and casualty products through traditional underwriting metrics, management experience, and advanced data analytics. Our underwriters actively collaborate with our actuarial team to determine pricing and risk exposure. This analytical underwriting framework enables us to offer rate relief in low risk areas and to accurately price risks that are at higher risk.</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Personal lines policies are issued via automated underwriting. Using our predefined underwriting guidelines, distribution partners can rapidly quote and bind lower-limit accounts via automated processing. We believe that automated underwriting of personal lines policies improves efficiency, reduces errors, and enhances the customer experience.</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Since commercial lines risks involve additional complexity and generally do not lend themselves to highly automated underwriting, we combine robust risk analysis and data collection with underwriter expertise to evaluate individual risks and to quote business efficiently. We regularly audit data gathered during our underwriting process to assess the accuracy of rating information and pricing inputs. For example, we often inspect properties as part of our underwriting process to discover unrepaired damage and identify any other conditions that affect the insurability of the property. Similarly, our casualty products are subject to extensive risk analysis, including review by experienced underwriters, thorough actuarial review, fostering broker relationships to obtain complete underwriting information, and accurately assessing and quantifying loss exposures to inform pricing, terms and conditions, limits, and attachment points. Our underwriters bring specific line of business experience including underwriting expertise, distribution relationships, and support from the reinsurance community while collaborating closely with our actuarial team on pricing. In addition, we continue to invest in technology to streamline inspections and other components of the underwriting process.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apply disciplined underwriting principles when selecting program administrator partners. We proactively engage with our program managers to create specific underwriting guidelines and techniques. We regularly conduct underwriting, claims, and financial audits to ensure consistent execution upon underwriting guidelines, claims processing and compliance with regulatory requirements.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 xml:space="preserve">Ongoing risk management of our portfolio in aggregate is a critical component of our underwriting process. We use third-party catastrophe modeling software to monitor our ongoing risk exposure. We regularly review the output of these models to evaluate the geographic spread of our risk, including the evaluation of AAL and PML by line of business and for the portfolio as a whole. This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review enables us to monitor our exposure to correlated risks and optimize the design and pricing of our reinsurance program including the purchase of appropriate reinsurance coverage.</w:t>
      </w:r>
    </w:p>
    <w:p>
      <w:pPr>
        <w:pStyle w:val="TextBody"/>
        <w:bidi w:val="0"/>
        <w:spacing w:lineRule="auto" w:line="266" w:before="200" w:after="283"/>
        <w:jc w:val="left"/>
        <w:rPr>
          <w:rFonts w:ascii="Times New Roman" w:hAnsi="Times New Roman"/>
          <w:b/>
          <w:color w:val="000000"/>
          <w:sz w:val="20"/>
        </w:rPr>
      </w:pPr>
      <w:r>
        <w:rPr>
          <w:rFonts w:ascii="Times New Roman" w:hAnsi="Times New Roman"/>
          <w:b/>
          <w:color w:val="000000"/>
          <w:sz w:val="20"/>
        </w:rPr>
        <w:t>Claims Management</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Claims are overseen by our in-house claims team, led by our Chief Claims Officer. To supplement our in-house team, we outsource part of our claims handling infrastructure to third-party administrators (“TPAs”). We currently contract with multiple TPAs to limit reliance on any single TPA and to access vendor expertise in specific lines of business. Our Chief Claims Officer is responsible for overseeing our TPAs, including the management of catastrophe event preparation, loss reserves, claim evaluation, arbitration, mediation, and settlement. Claims are reported directly to us and the applicable TPA, which adheres to agreed upon service level standards.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the case of a catastrophe event, our technology infrastructure and data analytics enable us to identify potentially affected policies promptly and begin assisting our customers by notifying our TPAs, our reinsurance partners and other potentially impacted parties. Contracting with a network of TPAs improves our ability to mobilize claims adjusters immediately to the areas where our customers are most affected and helps insulate us from the “demand surge” following a catastrophe event. To prepare for a potential catastrophe event, we run simulations and work closely with our TPAs to ensure there are dedicated desk and field adjusters to handle the volume of claims that would be expected in each loss scenario. Using each earthquake and hurricane scenario, we project losses and identify an individualized and optimized catastrophe response plan for each event.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review claims files and claims reports from our TPAs for accuracy and reasonableness on an ongoing basis. We review claims received from our TPAs to validate coverage, limits, and deductibles prior to making payment. In addition, we have certain managerial requirements of our TPAs around notification, reserve approval, payment management, correspondence with insureds, timeliness, regulatory compliance, and reports for all claims in excess of the claims analyst’s authority. We also monitor possible litigation and litigation trends associated with our claims.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purchase a significant amount of reinsurance from third parties that we believe enhances our business by reducing our exposure to potential catastrophe and attritional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purchase several types of reinsurance, including catastrophe excess of loss (“XOL”), in which the reinsurer(s) agree to assume all or a portion of losses relating to a group of policies occurring in relation to specified events, subject to customary exclusions, in excess of a specified amount. In addition, we buy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excess of loss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reinsurance from traditional reinsurers, we utilize collateralized protection via catastrophe bonds. We currently have $1.2 billion of multi-year indemnity-based reinsurance coverage for earthquake events, all issued through Torrey Pines Re Ltd, a Bermuda-domiciled special purpose insurer. Our latest bond, a $525 million 144A issuance, became effective on June 1, 2025.</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largest single XOL reinsurer, excluding Torrey Pines Re, comprises 5.9% of the total catastrophe XOL reinsurance limit we have in effect. The table below reflects the ratings of our largest individual reinsurers.</w:t>
      </w:r>
    </w:p>
    <w:p>
      <w:pPr>
        <w:pStyle w:val="TextBody"/>
        <w:bidi w:val="0"/>
        <w:spacing w:lineRule="auto" w:line="273"/>
        <w:jc w:val="left"/>
        <w:rPr/>
      </w:pPr>
      <w:r>
        <w:rPr/>
        <w:t> </w:t>
      </w:r>
    </w:p>
    <w:tbl>
      <w:tblPr>
        <w:tblW w:w="6775" w:type="dxa"/>
        <w:jc w:val="left"/>
        <w:tblInd w:w="0" w:type="dxa"/>
        <w:tblLayout w:type="fixed"/>
        <w:tblCellMar>
          <w:top w:w="28" w:type="dxa"/>
          <w:left w:w="28" w:type="dxa"/>
          <w:bottom w:w="28" w:type="dxa"/>
          <w:right w:w="28" w:type="dxa"/>
        </w:tblCellMar>
      </w:tblPr>
      <w:tblGrid>
        <w:gridCol w:w="3916"/>
        <w:gridCol w:w="146"/>
        <w:gridCol w:w="1261"/>
        <w:gridCol w:w="146"/>
        <w:gridCol w:w="130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Reinsurer Ratings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 Best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S&amp;P</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Torrey Pines Re, LTD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Collateralized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Collateralized</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Houston Casualty Company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Fidelis Insurance Bermuda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Hannover Ruck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Arch Reinsurance, Ltd.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Ariel Re BDA, Ltd obo Lloyds Syndicate 1910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Hannover Re (Bermuda) Limited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Lloyds Syndicate 1084 - Chaucer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Partner Reinsurance Company Ltd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Swiss Reinsurance America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Catastrophe XOL Reinsurance Coverage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our catastrophe event retention is $20.0 million for earthquake events and $11.0 million for hurricane events and all other perils. Laulima maintains Hawaii hurricane reinsurance coverage through a standalone XOL treaty, which provides per-occurrence coverage up to $735.0 million with a retention of $1.5 million. Our reinsurance coverage exhausts at $3.1 billion for earthquake events and $100.0 million for continental U.S. hurricane events, providing coverage in excess of our 1:250 year peak zone PML and in excess of our A.M. Best threshold. In addition, we maintain reinsurance coverage equivalent to or better than the 1 in 250 year PML for our other lines. As of December 31, 2025, our first event retention represented approximately 3.3% of our stockholders’ 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the event that multiple catastrophe events occur during a treaty period, many of our contracts include the right to reinstate reinsurance limits for potential future recoveries during the same contract year and preserve our limit for subsequent events. This feature for subsequent event coverage is known as a “reinstatement.”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assess the sufficiency of our catastrophe XOL reinsurance coverage, we continuously quantify our exposure to catastrophes including earthquakes, hurricanes, tornadoes, and hailstorms. We evaluate and monitor the total policy limit insured for each peril and in each geographic region, and we use third-party catastrophe models to evaluate the AAL as well as the estimated PML at various intervals. Our PML modeling is consistent with standards established by A.M. Best and includes “demand surge,” and loss amplification. To protect against model bias, we perform probabilistic modeling as well as deterministic modeling using a variety of industry models including AIR Touchstone and RMS RiskLink for all perils and regions.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believe our current reinsurance program provides coverage well in excess of our theoretical losses from any recorded historical event. The below table shows the PML from selected historical catastrophe events, all of which are less than the amount covered by our current catastrophe reinsurance program. Should an event equivalent to one of these historical events recur, our hypothetical net loss before any tax effect would be capped at our current net retention of $20.0 million for earthquake events or $11 million for hurricane events and all other perils.</w:t>
      </w:r>
    </w:p>
    <w:p>
      <w:pPr>
        <w:pStyle w:val="TextBody"/>
        <w:bidi w:val="0"/>
        <w:spacing w:lineRule="auto" w:line="273"/>
        <w:jc w:val="left"/>
        <w:rPr/>
      </w:pPr>
      <w:r>
        <w:rPr/>
        <w:t> </w:t>
      </w:r>
    </w:p>
    <w:tbl>
      <w:tblPr>
        <w:tblW w:w="4148" w:type="dxa"/>
        <w:jc w:val="left"/>
        <w:tblInd w:w="0" w:type="dxa"/>
        <w:tblLayout w:type="fixed"/>
        <w:tblCellMar>
          <w:top w:w="28" w:type="dxa"/>
          <w:left w:w="28" w:type="dxa"/>
          <w:bottom w:w="28" w:type="dxa"/>
          <w:right w:w="28" w:type="dxa"/>
        </w:tblCellMar>
      </w:tblPr>
      <w:tblGrid>
        <w:gridCol w:w="2506"/>
        <w:gridCol w:w="146"/>
        <w:gridCol w:w="351"/>
        <w:gridCol w:w="954"/>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12/31/2025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Historical</w:t>
            </w:r>
            <w:r>
              <w:rPr>
                <w:rFonts w:ascii="Times New Roman" w:hAnsi="Times New Roman"/>
                <w:color w:val="000000"/>
                <w:sz w:val="20"/>
              </w:rPr>
              <w:t xml:space="preserve"> </w:t>
            </w:r>
            <w:r>
              <w:rPr>
                <w:rFonts w:ascii="Times New Roman" w:hAnsi="Times New Roman"/>
                <w:b/>
                <w:color w:val="000000"/>
                <w:sz w:val="20"/>
              </w:rPr>
              <w:t>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modeled PML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millions)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 1906 San Francisco M7.8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 1994 Northridge M6.7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 1971 San Fernando M6.7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 1868 Hayward M7.0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1811</w:t>
              <w:noBreakHyphen/>
              <w:t>12 sequence M7.8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HI 1992 Hurricane Iniki</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NW 1949 Puget Sound M7.1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 1857 Fort Tejon M7.9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 1933 Long Beach M6.4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NW 1965 Puget Sound M6.5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While we only select reinsurers whom we believe to have acceptable credit or a minimum A.M. Best rating of “A−”, if our reinsurers are unable to pay the claims for which they are responsible, we ultimately retain primary liability to our policyholders. In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addition, at each reinsurance treaty renewal, we consider any plans to change the underlying insurance coverage we offer, our current capital, our risk appetite, and the cost and availability of reinsurance coverage, which may vary from time to time.</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Program Specific Reinsurance Coverage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addition to our catastrophe XOL coverage, we purchase reinsurance for specific programs in order to control our net exposure for any single risk, manage our exposure to attritional losses and improve our economics through ceding a portion of the risk to reinsurers in exchange for a ceding commission which generates fee income. We purchase program specific reinsurance, consisting primarily of quota share coverage, for certain lines of business with an attritional loss component such as Inland Marine and Casualty. We also utilize a combination of XOL and quota share reinsurance to provide coverage for our Flood, Inland Marine, Surety and Crop products. Specific to our Crop portfolio, we purchase private reinsurance coverage which is applied to premiums and liabilities net of the inuring protection afforded by the Standard Reinsurance Agreement provided via the Federal Crop Insurance Corporation.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Technology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integrated technology systems are integral to our business operations as they enable us to offer quality and timely service to our policyholders and producers, communicate seamlessly with reinsurers and partner carriers, and run our business more efficiently and cost effectively. Our systems offer greater ease of use to distribution partners and provide seamless integration between our pricing models, quoting tools, policy administration systems and portfolio analytics databases. Our proprietary operating platform is based on applications licensed from multiple third-party software vendors. We have invested significantly in customizing, building on top of, and extending these applications to increase automation and enhance efficiency. We have dedicated in-house software developers as well as external resources. Our internally developed PASS provides producers with direct access to certain retail and wholesale distributed products including Residential Earthquake and Hawaii Hurricane. PASS also serves as the administration system for select policy data and the access point for business written through direct personal lines partnerships. PASS enables the effective use of predefined underwriting, providing efficiency and optimization to our production partners and real-time transparency in underwriting and aggregate management. Our software development team develops programming interfaces where applicable so that partner carriers and distribution partners can seamlessly access our system.</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pricing models are based on the most recent versions of catastrophe models from industry-leading vendors and our internal expertise. For certain products where limited models are available, we have worked directly with the vendors to develop proprietary models. We update our pricing models as new versions are released, which mitigates our exposure to changes in our business following industry-wide model changes. For personal lines products issued through automated underwriting, our pricing models integrate directly into our policy administration system as well as the systems of program administrator partners. Since our commercial lines products do not lend themselves to highly automated underwriting, we have built a customized operating platform that our underwriters use to evaluate risk and to efficiently quote business. Our custom application platform seamlessly integrates policy administration, billing, and maintenance.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emphasize the use of technology in our analytics and enterprise risk management (“ERM”) operations. Our data and analytics team, which reports to our Chief Technology Officer, uses multiple catastrophe modeling software applications to evaluate our ongoing risk exposure. Our data analytics enable us to provide timely reporting of our in-force portfolio to our reinsurers, TPAs and distribution partners on a regular basis and during severe weather events. This reporting combines content from the catastrophe models that we license with internally developed content. Event reporting is an element of our overall ERM framework which monitors our risks and ensures that we have appropriate controls and preparations are in place. Our technology infrastructure is designed to function through any major disruption, with all data stored offsite and employees provided with the resources to work remotely.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Reserves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When a claim is reported to us or when an insured event occurs, we establish loss reserves to cover our estimated ultimate losses under all insurance policies that we underwrite, and loss adjustment expenses relating to the investigation and settlement of policy claims. These reserves include estimates of the cost of the claims reported to us (case reserves) and estimates of the cost of claims that have been incurred but not yet reported (“IBNR”) and are net of estimated related salvage, subrogation recoverables and reinsurance recoverables. Reserves are estimates involving actuarial projections of the expected ultimate cost to settle and administer claims at a given time, but are not expected to represent precisely the ultimate liability. Estimates are based upon past loss experience modified for current trends as well as prevailing economic, legal and social conditions. Such estimates will also be based on facts and circumstances then known, but are subject to significant uncertainty based on the outcome of various factors, such as future events, future trends in claim severity, inflation and changes in the judicial interpretation of policy provisions relating to the determination of coverage.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When a claim is reported and investigated by a claims adjuster, we establish a case reserve for the estimated amount of the ultimate payment after an appropriate assessment of coverage, damages and other information as applicable. The estimate is based on general insurance reserving practices and on the claim adjuster’s experience and knowledge of the nature and value of the specific type of claim. Case reserves are revised periodically based on subsequent developments associated with each claim.</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present the development of our ultimate losses by accident year on a gross basis and net of reinsurance recoveries during each of the below calendar years:</w:t>
      </w:r>
    </w:p>
    <w:p>
      <w:pPr>
        <w:pStyle w:val="TextBody"/>
        <w:bidi w:val="0"/>
        <w:spacing w:lineRule="auto" w:line="273"/>
        <w:jc w:val="left"/>
        <w:rPr/>
      </w:pPr>
      <w:r>
        <w:rPr/>
        <w:t> </w:t>
      </w:r>
    </w:p>
    <w:tbl>
      <w:tblPr>
        <w:tblW w:w="10888" w:type="dxa"/>
        <w:jc w:val="left"/>
        <w:tblInd w:w="0" w:type="dxa"/>
        <w:tblLayout w:type="fixed"/>
        <w:tblCellMar>
          <w:top w:w="28" w:type="dxa"/>
          <w:left w:w="28" w:type="dxa"/>
          <w:bottom w:w="28" w:type="dxa"/>
          <w:right w:w="28" w:type="dxa"/>
        </w:tblCellMar>
      </w:tblPr>
      <w:tblGrid>
        <w:gridCol w:w="856"/>
        <w:gridCol w:w="146"/>
        <w:gridCol w:w="211"/>
        <w:gridCol w:w="781"/>
        <w:gridCol w:w="146"/>
        <w:gridCol w:w="146"/>
        <w:gridCol w:w="211"/>
        <w:gridCol w:w="781"/>
        <w:gridCol w:w="146"/>
        <w:gridCol w:w="146"/>
        <w:gridCol w:w="211"/>
        <w:gridCol w:w="781"/>
        <w:gridCol w:w="146"/>
        <w:gridCol w:w="146"/>
        <w:gridCol w:w="211"/>
        <w:gridCol w:w="571"/>
        <w:gridCol w:w="146"/>
        <w:gridCol w:w="146"/>
        <w:gridCol w:w="211"/>
        <w:gridCol w:w="781"/>
        <w:gridCol w:w="146"/>
        <w:gridCol w:w="146"/>
        <w:gridCol w:w="211"/>
        <w:gridCol w:w="736"/>
        <w:gridCol w:w="166"/>
        <w:gridCol w:w="146"/>
        <w:gridCol w:w="211"/>
        <w:gridCol w:w="736"/>
        <w:gridCol w:w="166"/>
        <w:gridCol w:w="146"/>
        <w:gridCol w:w="211"/>
        <w:gridCol w:w="736"/>
        <w:gridCol w:w="21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5" w:type="dxa"/>
            <w:gridSpan w:val="3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 Ultimate Loss and LAE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8" w:type="dxa"/>
            <w:gridSpan w:val="1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Calendar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Development- (Favorable) 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Accident</w:t>
            </w:r>
            <w:r>
              <w:rPr>
                <w:rFonts w:ascii="Times New Roman" w:hAnsi="Times New Roman"/>
                <w:color w:val="000000"/>
                <w:sz w:val="20"/>
              </w:rPr>
              <w:t xml:space="preserve"> </w:t>
            </w: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FIA</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 to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 to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to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5" w:type="dxa"/>
            <w:gridSpan w:val="3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651,669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615,869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599,103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596,360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(8,012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334,520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308,049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294,978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537,646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503,769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(35,649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658,007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(56,759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10618" w:type="dxa"/>
        <w:jc w:val="left"/>
        <w:tblInd w:w="0" w:type="dxa"/>
        <w:tblLayout w:type="fixed"/>
        <w:tblCellMar>
          <w:top w:w="28" w:type="dxa"/>
          <w:left w:w="28" w:type="dxa"/>
          <w:bottom w:w="28" w:type="dxa"/>
          <w:right w:w="28" w:type="dxa"/>
        </w:tblCellMar>
      </w:tblPr>
      <w:tblGrid>
        <w:gridCol w:w="856"/>
        <w:gridCol w:w="146"/>
        <w:gridCol w:w="211"/>
        <w:gridCol w:w="781"/>
        <w:gridCol w:w="146"/>
        <w:gridCol w:w="146"/>
        <w:gridCol w:w="211"/>
        <w:gridCol w:w="781"/>
        <w:gridCol w:w="146"/>
        <w:gridCol w:w="146"/>
        <w:gridCol w:w="211"/>
        <w:gridCol w:w="781"/>
        <w:gridCol w:w="146"/>
        <w:gridCol w:w="146"/>
        <w:gridCol w:w="211"/>
        <w:gridCol w:w="571"/>
        <w:gridCol w:w="166"/>
        <w:gridCol w:w="146"/>
        <w:gridCol w:w="211"/>
        <w:gridCol w:w="781"/>
        <w:gridCol w:w="146"/>
        <w:gridCol w:w="146"/>
        <w:gridCol w:w="211"/>
        <w:gridCol w:w="571"/>
        <w:gridCol w:w="146"/>
        <w:gridCol w:w="146"/>
        <w:gridCol w:w="211"/>
        <w:gridCol w:w="631"/>
        <w:gridCol w:w="166"/>
        <w:gridCol w:w="146"/>
        <w:gridCol w:w="211"/>
        <w:gridCol w:w="736"/>
        <w:gridCol w:w="21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05" w:type="dxa"/>
            <w:gridSpan w:val="3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 Ultimate Loss and LAE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8" w:type="dxa"/>
            <w:gridSpan w:val="1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Calendar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Development- (Favorable) 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Accident</w:t>
            </w:r>
            <w:r>
              <w:rPr>
                <w:rFonts w:ascii="Times New Roman" w:hAnsi="Times New Roman"/>
                <w:color w:val="000000"/>
                <w:sz w:val="20"/>
              </w:rPr>
              <w:t xml:space="preserve"> </w:t>
            </w: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FIA</w:t>
              <w:b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 to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 to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to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05" w:type="dxa"/>
            <w:gridSpan w:val="3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218,202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220,431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219,724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224,670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70,346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68,015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64,388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137,850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123,548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This column includes the acquired FIA balances. As the FIA acquisition occurred on January 1, 2025, these balances are excluded from the 2023-2024 development calculations.</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Investment income is an important component of our earnings. We collect premiums and are required to hold a portion of these funds in reserves until claims are paid. We invest these reserves, primarily in fixed maturity investments. Our fixed maturity investment portfolio is primarily managed by an external investment advisory firm that is an experienced manager of insurance company assets, and operates under guidelines approved by our Board of Directors. We believe our investment strategy allows us to eliminate the expense of a treasury department while allowing our management to maintain oversight over the investment portfolio.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Our cash and invested assets consist of fixed maturity securities, short-term investments, cash and cash equivalents, mutual funds, exchange traded funds and equity securities. We also have a small portion of our portfolio invested in limited partnerships and livestock derivative instruments, including livestock put options, which are classified as other investments on our consolidated balance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sheet. Our fixed maturity securities are classified as “available-for-sale” and are carried at fair value with unrealized gains and losses on these securities reported, net of tax, as a separate component of accumulated other comprehensive income (loss). Our equity investments are measured at fair value with changes in fair value recognized in net income. Fair value generally represents quoted market value prices for securities traded in the public market or prices analytically determined using bid or closing prices for securities not traded in the public marketplace. Our other investments are measured at estimated fair value utilizing a net asset value per share (or its equivalent) as a practical expedient. Short-term investments are reported at cost and include investments that are both readily convertible to known amounts of cash and have maturities of 12 months or less upon acquisition by 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investment securities available totaled $1.4 billion and $987.7 million at December 31, 2025 and 2024 respectively, and are summarized as follows:</w:t>
      </w:r>
    </w:p>
    <w:p>
      <w:pPr>
        <w:pStyle w:val="TextBody"/>
        <w:bidi w:val="0"/>
        <w:spacing w:lineRule="auto" w:line="273"/>
        <w:jc w:val="left"/>
        <w:rPr/>
      </w:pPr>
      <w:r>
        <w:rPr/>
        <w:t> </w:t>
      </w:r>
    </w:p>
    <w:tbl>
      <w:tblPr>
        <w:tblW w:w="8112" w:type="dxa"/>
        <w:jc w:val="left"/>
        <w:tblInd w:w="0" w:type="dxa"/>
        <w:tblLayout w:type="fixed"/>
        <w:tblCellMar>
          <w:top w:w="28" w:type="dxa"/>
          <w:left w:w="28" w:type="dxa"/>
          <w:bottom w:w="28" w:type="dxa"/>
          <w:right w:w="28" w:type="dxa"/>
        </w:tblCellMar>
      </w:tblPr>
      <w:tblGrid>
        <w:gridCol w:w="5096"/>
        <w:gridCol w:w="146"/>
        <w:gridCol w:w="211"/>
        <w:gridCol w:w="931"/>
        <w:gridCol w:w="146"/>
        <w:gridCol w:w="146"/>
        <w:gridCol w:w="207"/>
        <w:gridCol w:w="813"/>
        <w:gridCol w:w="416"/>
      </w:tblGrid>
      <w:tr>
        <w:trPr/>
        <w:tc>
          <w:tcPr>
            <w:tcW w:w="5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0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Special revenue excluding mortgage/asset</w:t>
              <w:noBreakHyphen/>
              <w: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45.0</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Mortgage/asset</w:t>
              <w:noBreakHyphen/>
              <w: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90.6</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7962" w:type="dxa"/>
        <w:jc w:val="left"/>
        <w:tblInd w:w="0" w:type="dxa"/>
        <w:tblLayout w:type="fixed"/>
        <w:tblCellMar>
          <w:top w:w="28" w:type="dxa"/>
          <w:left w:w="28" w:type="dxa"/>
          <w:bottom w:w="28" w:type="dxa"/>
          <w:right w:w="28" w:type="dxa"/>
        </w:tblCellMar>
      </w:tblPr>
      <w:tblGrid>
        <w:gridCol w:w="5096"/>
        <w:gridCol w:w="146"/>
        <w:gridCol w:w="211"/>
        <w:gridCol w:w="781"/>
        <w:gridCol w:w="146"/>
        <w:gridCol w:w="146"/>
        <w:gridCol w:w="207"/>
        <w:gridCol w:w="813"/>
        <w:gridCol w:w="416"/>
      </w:tblGrid>
      <w:tr>
        <w:trPr/>
        <w:tc>
          <w:tcPr>
            <w:tcW w:w="5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0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Special revenue excluding mortgage/asset</w:t>
              <w:noBreakHyphen/>
              <w: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475,491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Mortgage/asset</w:t>
              <w:noBreakHyphen/>
              <w: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939,046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95.1</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40,529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987,715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primary investment focus is to preserve capital to support our insurance operations through investing primarily in high quality fixed maturity securities with a secondary focus on maximizing our risk-adjusted investment returns. Our investment policy is set by our Board of Directors, subject to the limits of applicable regulations.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investment policy imposes strict requirements for credit quality, with a minimum average credit quality of the portfolio being rated “A” or higher by Standard &amp; Poor’s or the equivalent rating from another nationally recognized rating agency. Our investment policy also imposes restrictions on concentrations of securities by class and issuer and any new asset class must be approved by management and our Board of Directors. Given our existing exposure to property values, notably in the state of California, we have imposed restrictions on municipal obligations in the state of California and CMBS single issuers concentrated in the state of California.</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Enterprise Risk Management (</w:t>
      </w:r>
      <w:r>
        <w:rPr>
          <w:rFonts w:ascii="Times New Roman" w:hAnsi="Times New Roman"/>
          <w:color w:val="000000"/>
          <w:sz w:val="20"/>
        </w:rPr>
        <w:t>“</w:t>
      </w:r>
      <w:r>
        <w:rPr>
          <w:rFonts w:ascii="Times New Roman" w:hAnsi="Times New Roman"/>
          <w:b/>
          <w:color w:val="000000"/>
          <w:sz w:val="20"/>
        </w:rPr>
        <w:t>ERM</w:t>
      </w:r>
      <w:r>
        <w:rPr>
          <w:rFonts w:ascii="Times New Roman" w:hAnsi="Times New Roman"/>
          <w:color w:val="000000"/>
          <w:sz w:val="20"/>
        </w:rPr>
        <w:t>”</w:t>
      </w:r>
      <w:r>
        <w:rPr>
          <w:rFonts w:ascii="Times New Roman" w:hAnsi="Times New Roman"/>
          <w:b/>
          <w:color w:val="000000"/>
          <w:sz w:val="2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maintain a dedicated ERM function that is responsible for analyzing and reporting our risks, monitoring that risks remain within established tolerances, and monitoring, on an ongoing basis, that our ERM objectives are met. These objectives include ensuring proper risk controls are in place, risks are effectively identified, assessed, and managed, and key risks to which we are exposed are appropriately disclosed. Our ERM framework plays an important role in fostering our risk management culture and practices. We continue to enhance our ERM framework, which is guided by the Own Risk and Solvency Assessment (“ORSA”) model developed by the National Association of Insurance Commissioners (“NAIC”) and the National Institute of Standards and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Technology (“NIST”) cybersecurity framework. These ongoing enhancements include the creation of an ERM Committee of the Board of Directors which is comprised of select board members and select members of executive management, creation and maintenance of a risk register, and regular reporting on risk management.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 additional important part of our ERM is business continuity, including in the circumstances of a catastrophe event. We have established a business continuity team made up of executive management with predefined roles and responsibilities in the event of an emergency response situation and a business continuity communication site where employees are directed to receive instructions that are tailored to various scenarios. We store all data offsite and ensure it is accessible remotely. Our communications, virtual file servers, underwriting and distribution systems, and claims portal are hosted in geographically diverse data centers domestically and globally. We maintain an additional office in Edina, Minnesota and purchase business continuity services to support our offices in the event of a disruptive event. The majority of our workforce is also equipped to work remotely should they be unable to access our offices.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specialty insurance industry is highly competitive. While we currently target specialty markets, some of our competitors have greater resources than we do. Our primary competitors include national specialty insurance companies, including Kinsale Capital Group, Inc., RLI Corp., Skyward Specialty Insurance Group, Inc., W.R. Berkley, and Bowhead Specialty Holdings Inc. As an Approved Insurance Provider (“AIP”), we compete with 11 other insurance carriers in the federal crop market, including The Chubb Corporation and American Financial Group, Inc. We also compete with Lloyd’s of London in some of our lines. In addition, we compete against state or other publicly managed enterprises including the California Earthquake Authority and the National Flood Insurance Program. We may also compete with new market entrants in the future. Competition is based on many factors, including the reputation and experience of the insurer, coverages offered, pricing and other terms and conditions, customer service, relationships with brokers and agents (including ease of doing business, service provided and commission rates paid), size and financial strength ratings, among other considerations.</w:t>
      </w:r>
    </w:p>
    <w:p>
      <w:pPr>
        <w:pStyle w:val="TextBody"/>
        <w:bidi w:val="0"/>
        <w:spacing w:lineRule="auto" w:line="264" w:before="200" w:after="283"/>
        <w:jc w:val="left"/>
        <w:rPr>
          <w:rFonts w:ascii="Times New Roman" w:hAnsi="Times New Roman"/>
          <w:b/>
          <w:color w:val="000000"/>
          <w:sz w:val="20"/>
        </w:rPr>
      </w:pPr>
      <w:r>
        <w:rPr>
          <w:rFonts w:ascii="Times New Roman" w:hAnsi="Times New Roman"/>
          <w:b/>
          <w:color w:val="000000"/>
          <w:sz w:val="20"/>
        </w:rPr>
        <w:t>Ratings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insurance company subsidiaries, PSIC, PESIC, and FIA each has a rating of “A” (Excellent) (Outlook Stable) from A.M. Best, which rates insurance companies based on factors of concern to policyholders. A.M. Best currently assigns 16 ratings to insurance companies, which currently range from “A++” (Superior) to “F” for insurance companies that have been publicly placed in liquidation. “A” (Excellent) (Outlook Stable) is the third highest rating. In evaluating a company’s financial and operating performance, A.M. Best reviews the company’s profitability, leverage and liquidity, as well as its book of business, the adequacy and soundness of its reinsurance, the quality and estimated market value of its assets, the adequacy of its loss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evaluations are not directed to purchasers of an insurance company’s securities.</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Laulima has a rating of “A” (Exceptional) from Demotech, which rates insurance companies on their financial stability.</w:t>
      </w:r>
    </w:p>
    <w:p>
      <w:pPr>
        <w:pStyle w:val="TextBody"/>
        <w:bidi w:val="0"/>
        <w:spacing w:lineRule="auto" w:line="264" w:before="20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We have registered our logo as a trademark in the United States. We will pursue additional trademark registrations and other intellectual property protection to the extent we believe it would be beneficial and cost effective.</w:t>
      </w:r>
    </w:p>
    <w:p>
      <w:pPr>
        <w:pStyle w:val="TextBody"/>
        <w:bidi w:val="0"/>
        <w:spacing w:lineRule="auto" w:line="264" w:before="200" w:after="283"/>
        <w:jc w:val="left"/>
        <w:rPr>
          <w:rFonts w:ascii="Times New Roman" w:hAnsi="Times New Roman"/>
          <w:b/>
          <w:color w:val="000000"/>
          <w:sz w:val="20"/>
        </w:rPr>
      </w:pPr>
      <w:r>
        <w:rPr>
          <w:rFonts w:ascii="Times New Roman" w:hAnsi="Times New Roman"/>
          <w:b/>
          <w:color w:val="000000"/>
          <w:sz w:val="20"/>
        </w:rPr>
        <w:t>Regulation</w:t>
      </w:r>
    </w:p>
    <w:p>
      <w:pPr>
        <w:pStyle w:val="TextBody"/>
        <w:bidi w:val="0"/>
        <w:spacing w:lineRule="auto" w:line="264" w:before="200" w:after="283"/>
        <w:jc w:val="left"/>
        <w:rPr>
          <w:rFonts w:ascii="Times New Roman" w:hAnsi="Times New Roman"/>
          <w:b/>
          <w:i/>
          <w:color w:val="000000"/>
          <w:sz w:val="20"/>
        </w:rPr>
      </w:pPr>
      <w:r>
        <w:rPr>
          <w:rFonts w:ascii="Times New Roman" w:hAnsi="Times New Roman"/>
          <w:b/>
          <w:i/>
          <w:color w:val="000000"/>
          <w:sz w:val="20"/>
        </w:rPr>
        <w:t>Insurance Regulation</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We are regulated by insurance regulatory authorities in the states in which we operate. State insurance laws and regulations generally are designed to protect the interests of policyholders, consumers and claimants rather than stockholders or other investors. The nature and extent of state regulation varies by jurisdiction, and state insurance regulators generally have broad administrative power relating to, among other matters, setting capital and surplus requirements, licensing of insurers and insurance producers, review and approval of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 xml:space="preserve">Regulation of insurance companies constantly changes as governmental agencies and legislatures react to real or perceived issues. In recent years, the state insurance regulatory framework has come under increased federal scrutiny, and some state legislatures have considered or enacted laws that alter and, in many cases, increase, state authority to regulate insurance companies and insurance holding company systems. Further, the NAIC and some state insurance regulators are re-examining existing laws and regulations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specifically focusing on issues relating to the solvency of insurance companies, interpretations of existing laws and the development of new laws. Although the federal government does not directly regulate the business of insurance, federal initiatives often affect the insurance industry in a variety of ways. In addition, the Federal Insurance Office (the “FIO”) was established within the U.S. Department of the Treasury by the Dodd-Frank Wall Street Reform and Consumer Protection Act (the “Dodd-Frank Act”) in July 2010 to monitor all aspects of the insurance industry, although FIO has no express regulatory authority over insurance companies or other insurance industry participants.</w:t>
      </w:r>
    </w:p>
    <w:p>
      <w:pPr>
        <w:pStyle w:val="TextBody"/>
        <w:bidi w:val="0"/>
        <w:spacing w:lineRule="auto" w:line="264" w:before="200" w:after="283"/>
        <w:jc w:val="left"/>
        <w:rPr>
          <w:rFonts w:ascii="Times New Roman" w:hAnsi="Times New Roman"/>
          <w:b/>
          <w:i/>
          <w:color w:val="000000"/>
          <w:sz w:val="20"/>
        </w:rPr>
      </w:pPr>
      <w:r>
        <w:rPr>
          <w:rFonts w:ascii="Times New Roman" w:hAnsi="Times New Roman"/>
          <w:b/>
          <w:i/>
          <w:color w:val="000000"/>
          <w:sz w:val="20"/>
        </w:rPr>
        <w:t>Insurance Holding Company Regulation</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We operate as an insurance holding company system and are subject to the insurance holding company laws of the State of Oregon, the state in which Palomar Specialty Insurance Company is domiciled. Palomar Specialty Insurance Company is also commercially domiciled in California and, as a result, we are subject to the insurance holding company laws of California, as well.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 These statutes also provide that all transactions among members of a holding company system must be fair and reasonable. Transactions between insurance subsidiaries and their parents and affiliates generally must be disclosed to the state regulators, and notice to or prior approval of the applicable state insurance regulator generally is required for any material or extraordinary transaction.</w:t>
      </w:r>
    </w:p>
    <w:p>
      <w:pPr>
        <w:pStyle w:val="TextBody"/>
        <w:bidi w:val="0"/>
        <w:spacing w:lineRule="auto" w:line="264" w:before="20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We believe our greatest asset is our talent. As of December 31, 2025, we employed 439 team members. During 2025, our workforce increased by approximately 74% compared to the prior year, which included the addition of approximately 80 team members through acquisitions.</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Our business relies on our ability to attract and retain talented team members. To attract and retain talent, we strive to create a diverse, inclusive, and supportive workplace, with opportunities for our team members to develop in their careers. This is supported by competitive compensation, benefits and health and wellness programs, and by programs that build connections between our team members and their communities.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committed to following best-in-class sustainability practices, and we believe that our focus on sustainability fosters greater creativity and productivity, helps us serve our customers and partners more effectively, and ultimately benefits our shareholders and the communities in which we do business. As part of our sustainability efforts, we set diversity goals in our annual Sustainability &amp; Citizenship report.</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Compensation, Health and Well Being</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offer fair, competitive compensation and benefits to support our team members overall well-being. Our compensation programs include base pay, annual incentive compensation and long-term equity-based compensation. In 2025, 100% of our workforce received equity awards and participated in our annual cash bonus plan, including all hourly personnel. We offer team members a comprehensive and leading benefits program that includes a holistic approach to health and wellness. We regularly benchmark programs to ensure our team has access to industry-leading benefits to address all aspects of well-being — physical and mental health, family care, financial support, and community engagement.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believe in pay transparency and we include base pay ranges in all our job listings. Additionally, we voluntarily disclose our base pay ranges to all our internal employees for the roles they hold.</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Talent Development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provide numerous training opportunities for our team members, with a focus on personal and professional development. We utilize “Coaching for Performance” methodologies to manage performance, provide feedback and develop talent. Our talent development programs provide team members resources to achieve career goals and build leadership skills. We encourage all team members to take advantage of company supported learning opportunities that help broaden industry and functional knowledge to help them excel in their current roles as well as advance their overall career objectives. We believe in the dynamic allocation of talent, and therefore we encourage interested team members to explore functions outside their current role. To support this belief, we provide a $3,000 per annum tuition and/or certification reimbursement for ongoing development. Lastly, we have a methodical approach to talent development, offering organizational advancement and mentoring services to all team members regardless of position or title. In 2025, 21% of our workforce was promoted or moved into new positions.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During the third quarter of 2025, our team members completed an engagement survey, and we received an 85% response rate, and a 85% overall engagement score. Consistent with historical practice, we use the responses and learnings from this survey to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inform our future talent management strategies. Additionally, the Company has been recognized as a top workplace for four consecutive years.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lineRule="auto" w:line="273" w:before="200" w:after="283"/>
        <w:jc w:val="left"/>
        <w:rPr>
          <w:rFonts w:ascii="Times New Roman" w:hAnsi="Times New Roman"/>
          <w:sz w:val="20"/>
        </w:rPr>
      </w:pPr>
      <w:r>
        <w:rPr>
          <w:rFonts w:ascii="Times New Roman" w:hAnsi="Times New Roman"/>
          <w:color w:val="000000"/>
          <w:sz w:val="20"/>
        </w:rPr>
        <w:t xml:space="preserve">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w:t>
      </w:r>
      <w:r>
        <w:rPr>
          <w:rFonts w:ascii="Times New Roman" w:hAnsi="Times New Roman"/>
          <w:color w:val="0000EE"/>
          <w:sz w:val="20"/>
        </w:rPr>
        <w:t>http://www.sec.gov</w:t>
      </w:r>
      <w:r>
        <w:rPr>
          <w:rFonts w:ascii="Times New Roman" w:hAnsi="Times New Roman"/>
          <w:color w:val="000000"/>
          <w:sz w:val="20"/>
        </w:rPr>
        <w:t>. Our financial and other material information is routinely posted to and accessible on the Investors section of our website, available at www.plmr.com. Information that is contained in and can be accessed through our website or our social media is not incorporated into, and does not form a part of, this Annual Report on Form 10-K.</w:t>
      </w:r>
    </w:p>
    <w:p>
      <w:pPr>
        <w:pStyle w:val="TextBody"/>
        <w:bidi w:val="0"/>
        <w:spacing w:lineRule="auto" w:line="273" w:before="200" w:after="283"/>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Additional risks and uncertainties of which we are unaware, or that we currently deem immaterial also may become important factors that affect us.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These risks include, but are not limited to, the following:</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Our Business and Industry: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Claims arising from unpredictable and severe catastrophe events, including those caused by global climate change, could reduce or eliminate our earnings and stockholders’ equity, particularly if such events occur with greater frequency or severity than historical experience, and could limit our ability to underwrite new insurance policies;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reinsurers may not pay claims on a timely basis, or at all, which may materially adversely affect our business, financial condition, and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loss reserves are established based on estimates and assumptions, which may be inadequate to cover actual incurred losses, including as a result of changes in claims severity, litigation trends, or other loss development, which could have a material adverse impact on our results of operations and financial condition;</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risk management and loss limitation methods, including estimates and models, which rely on assumptions and historical data, may fail to adequately manage our exposure to losses from catastrophe events or other underwriting risks, and our losses could be materially higher than our expectations;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is concentrated in California and we are exposed more significantly to California loss activity and regulatory environments, including regulatory constraints on pricing, underwriting actions, and the timing or approval of rate changes;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rely on a select group of brokers and program administrators, and such relationships may not continue or may not perform as expected;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is intense competition for business in our industry, which may result in pricing pressure, reduced underwriting margins, or changes in market share;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Volatility in crop prices, as a result of weather conditions or other events, could adversely impact the performance of our crop insurance business and our results of operations;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the Economic Environment:</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Adverse economic factors, including recession, inflation, periods of high unemployment or lower economic activity could affect insurance demand, loss activity, investment returns, and our growth and profitability;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global trade policies, including the imposition of tariffs, along with broader economic uncertainty, could contribute to financial market volatility, interest rate fluctuations, and disruptions to the sectors we insure;</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Technology: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failure or disruption of our information technology and telecommunications systems could adversely affect our business;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Security breaches or cyber-attacks could expose us to liability and damage our reputation and business;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growth and evolution of artificial intelligence (AI) may impact our business and operations; </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Laws and Regulations: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subject to extensive regulation, which may adversely affect our ability to achieve our business objectives;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Unexpected changes in the interpretation of our coverage or provisions, including loss limitations and exclusions, in our policies could have a material adverse effect on our financial condition or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incur significant costs as a result of operating as a public company, and our management is required to devote substantial time to complying with public company regulations; and</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Ownership of our Common Stock:</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operating results and stock price may be volatile, or may decline regardless of our operating performance, and holders of our common stock could lose all or part of their investment.</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Claims arising from unpredictable and severe catastrophe events, including those caused by global climate change, could reduce or eliminate our earnings and stockholders</w:t>
      </w:r>
      <w:r>
        <w:rPr>
          <w:rFonts w:ascii="Times New Roman" w:hAnsi="Times New Roman"/>
          <w:color w:val="000000"/>
          <w:sz w:val="20"/>
        </w:rPr>
        <w:t xml:space="preserve">’ </w:t>
      </w:r>
      <w:r>
        <w:rPr>
          <w:rFonts w:ascii="Times New Roman" w:hAnsi="Times New Roman"/>
          <w:b/>
          <w:i/>
          <w:color w:val="000000"/>
          <w:sz w:val="20"/>
        </w:rPr>
        <w:t>equity, particularly if such events occur with greater frequency or severity than historical experience, and could limit our ability to underwrite new insurance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insurance operations expose us to claims arising from unpredictable catastrophe events, such as earthquakes, hurricanes, droughts,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contribute to increased frequency, severity or geographic concentration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Additionally, any increased frequency and severity of such weather events, including hurricanes, could materially impair our ability to accurately predict, quantify, reinsure and manage catastrophe risk and may materially increase our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new insurance policies could also be materially adversely impacted as a result of corresponding reductions in our capital. In addition, a natural disaster could materially impact the financial condition of our policyholders, resulting in loss of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reinsurance coverage currently exhausts at $3.1 billion for earthquake events and $100 million for continental U.S. hurricane events, with coverage in excess of our estimated peak zone 1 in 250 year PML event and in excess of our A.M. Best threshold. Laulima maintains Hawaii hurricane reinsurance coverage through a standalone XOL treaty, which provides per-occurrence coverage up to $735 million with a retention of $1.5 million. Our catastrophe event retention is currently $20 million for earthquake events and $11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increase retentions or reduce available limits,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reinsurers may not pay claims on a timely basis, or at all, which may materially adversely affect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ability to grow our business is dependent in part on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such claims.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 xml:space="preserve">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subject to uncertain outcomes.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December 31, 2025, we had $468.7 million of aggregate reinsurance recoverables. </w:t>
      </w:r>
    </w:p>
    <w:p>
      <w:pPr>
        <w:pStyle w:val="TextBody"/>
        <w:bidi w:val="0"/>
        <w:spacing w:lineRule="auto" w:line="268" w:before="200" w:after="283"/>
        <w:jc w:val="left"/>
        <w:rPr>
          <w:rFonts w:ascii="Times New Roman" w:hAnsi="Times New Roman"/>
          <w:sz w:val="20"/>
        </w:rPr>
      </w:pPr>
      <w:r>
        <w:rPr>
          <w:rFonts w:ascii="Times New Roman" w:hAnsi="Times New Roman"/>
          <w:b/>
          <w:i/>
          <w:color w:val="000000"/>
          <w:sz w:val="20"/>
        </w:rPr>
        <w:t>Our loss reserves are established based on estimates and assumptions, which may be inadequate to cover actual incurred losses</w:t>
      </w:r>
      <w:r>
        <w:rPr>
          <w:rFonts w:ascii="Times New Roman" w:hAnsi="Times New Roman"/>
          <w:color w:val="000000"/>
          <w:sz w:val="20"/>
        </w:rPr>
        <w:t xml:space="preserve">, </w:t>
      </w:r>
      <w:r>
        <w:rPr>
          <w:rFonts w:ascii="Times New Roman" w:hAnsi="Times New Roman"/>
          <w:b/>
          <w:i/>
          <w:color w:val="000000"/>
          <w:sz w:val="20"/>
        </w:rPr>
        <w:t>including as a result of changes in claims severity, litigation trends, or other loss development, and could have a material adverse impact on our results of operations and financial condition.</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and industry loss experience, and changes in market conditions, policy forms, exclusions, and exposures.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such claims to become inadequate.</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 xml:space="preserve">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are based on current regulatory and legislative environments and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to quantify its impact on our business, but no assurance can be given that our attempt to quantify such inputs will be accurate or successful.</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For further information on our loss reserving methodology, see “Management’s Discussion and Analysis-Critical Accounting Policies and Estimates- Reserve for Losses and Loss Adjustment Expenses” in this Annual Report on Form 10-K.</w:t>
      </w:r>
    </w:p>
    <w:p>
      <w:pPr>
        <w:pStyle w:val="TextBody"/>
        <w:bidi w:val="0"/>
        <w:spacing w:lineRule="auto" w:line="268" w:before="200" w:after="283"/>
        <w:jc w:val="left"/>
        <w:rPr>
          <w:rFonts w:ascii="Times New Roman" w:hAnsi="Times New Roman"/>
          <w:b/>
          <w:i/>
          <w:color w:val="000000"/>
          <w:sz w:val="20"/>
        </w:rPr>
      </w:pPr>
      <w:r>
        <w:rPr>
          <w:rFonts w:ascii="Times New Roman" w:hAnsi="Times New Roman"/>
          <w:b/>
          <w:i/>
          <w:color w:val="000000"/>
          <w:sz w:val="20"/>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buy multiple types of reinsurance including treaty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to reinsurance purchased from traditional reinsurers, we utilize collateralized protection from the insurance-linked securities market through catastrophe bonds issued via Torrey Pines Re Ltd., a Bermuda-domiciled special purpose insurer. We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may seek similar catastrophe bond offerings in the future. However, there can be no assurance that we will be able to complete such offerings on acceptable terms, if at all.</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If we are unable to renew our expiring reinsurance contracts on acceptable terms or expand our reinsurance coverage through traditional reinsurers, catastrophe bonds, or alternative risk transfer arrangements,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as we grow our written premiums and enter new lines of business we will seek new types of reinsurance and will need to purchase reinsurance on commercially acceptable terms in order to manage the risks associated with entering new lines of business. The inability to purchase appropriate reinsurance for new lines of business could negatively impact our ability to grow our written premiums and maintain our desired level of profitability.</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Many reinsurance companies have increasingly excluded certain coverages from, or altered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6" w:before="200" w:after="283"/>
        <w:jc w:val="left"/>
        <w:rPr>
          <w:rFonts w:ascii="Times New Roman" w:hAnsi="Times New Roman"/>
          <w:b/>
          <w:i/>
          <w:color w:val="000000"/>
          <w:sz w:val="20"/>
        </w:rPr>
      </w:pPr>
      <w:r>
        <w:rPr>
          <w:rFonts w:ascii="Times New Roman" w:hAnsi="Times New Roman"/>
          <w:b/>
          <w:i/>
          <w:color w:val="000000"/>
          <w:sz w:val="20"/>
        </w:rPr>
        <w:t>We utilize several risk management and loss limitation methods, including reliance on estimates and models. If these methods fail to adequately manage our exposure to losses from catastrophe events and other underwriting risks, our losses could be materially higher than our expectations, and our business, financial condition, and results of operations could be materially adversely affected.</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methods rely on estimates, models, data, and scenarios that may not accurately predict actual outcomes. Consequently, we could incur losses both in the risks we underwrite and to the value of our investment portfolio due to the overall impact on financial markets from the occurrence of catastrophe events.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run many model simulations to evaluate the impact of these assumptions on a catastrophe’s loss potential. Furthermore, there are risks associated with catastrophe events, which are either poorly represented or not represented at all by catastrophe models. Climate change, evolving catastrophe patterns, and the emergence of secondary perils such as severe inland flooding, wildfires, and convective storms may further increase both the frequency and severity of catastrophe events. Limited historical data for certain perils, along with changes in climate and loss patterns, may reduce the reliability of catastrophe models and stress the assumptions on which we rely to price risk, manage exposures, and purchase reinsurance. Each modeling assumption or un-modeled risk introduces uncertainty into probable maximum loss estimates that management must consider. These uncertainties can include, but are not limited to, the following:</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do not address all the possible hazard characteristics of a catastrophe peril (e.g., the precise path and wind speed of a hurricane);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the true frequency or severity of events;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a risk’s vulnerability or susceptibility to damage for a given event characteristic;</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account for unusual or unprecedented catastrophe events;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adequately consider the impact of inflation on the magnitude of modeled losses;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represent loss potential to insurance or reinsurance contract coverage limits, terms and conditions;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the impact on the economy of the area affected or the financial, judicial, political, or regulatory impacts on insurance claim payments during or following a catastrophe event.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result, our reliance on assumptions, data, and models to evaluate our entire risk portfolio and specifically to estimate a probable maximum loss is subject to a high degree of uncertainty that could result in actual losses that are materially different from our probable maximum loss estimates could adversely impact our financial results.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 decline in our financial strength rating may adversely affect the amount of business we write and impact compliance with our debt covenants.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Participants in the insurance industry use ratings from independent ratings agencies, such as A.M. Best, as an important means of assessing the financial strength and creditworthiness of insurers. In setting its ratings, A.M. Best performs quantitative and qualitative analysis of a company’s balance sheet strength, operating performance and business profile. A.M. Best financial strength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ratings range from “A++” (Superior) to “F” for insurance companies that have been publicly placed in liquidation. As of December 31, 2025, A.M. Best has assigned a financial strength rating of “A” (Excellent) (Outlook Stable) to our insurance company subsidiaries, Palomar Specialty Insurance Company (“PSIC”), Palomar Excess and Surplus Insurance Company (“PESIC”) and First Indemnity of America Insurance Co. (“FIA”)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change our business practices from our organizational business plan in a manner that no longer supports A.M. Best’s rating;</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unfavorable financial, regulatory or market trends affect us, including excess market capacity;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our losses exceed our loss reserves;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have unresolved issues with government regulators;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are unable to retain our senior management or other key personnel;</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our investment portfolio incurs significant losses; or</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A.M. Best alters its capital adequacy assessment methodology in a manner that would adversely affect our rating.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and other factors could result in a downgrade of our financial strength rating. A downgrade or withdrawal of our rating could result in any of the following consequences, among others: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Causing our current and future distribution partners and insureds to choose other, more highly-rated competitors;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Increasing the cost or reducing the availability of reinsurance to us;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Severely limiting or preventing us from writing new and renewal insurance contracts; or</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Causing us to be out of compliance with the financial covenants in our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and our customers could be negatively and adversely impacted by pandemics, disease outbreaks and other public health crises.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Global health crises have historically contributed to financial market volatility, supply chain disruptions, price inflation, and material and labor shortages, all of which may have a negative impact on our business. Furthermore, since our results of operations are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business is concentrated in California and we are exposed more significantly to California loss activity and regulatory environments, including regulatory constraints on pricing, underwriting actions, and the timing or approval of rate changes.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policyholders and insurance risks are currently concentrated in California, which generated 43% of our gross written premiums for the year ended December 31, 2024 and 31% for the twelve months ended December 31, 2025.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may cancel or not renew our policies following such events.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could be adversely affected by the loss of one or more key executives or by an inability to attract and retain qualified personnel.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particular, our future success is substantially dependent on the continued service of our Founder, Chief Executive Officer and Chairman, Mac Armstrong, our Chief Financial Officer, Christopher Uchida and our President, Jon Christianson, and other members of our senior management team.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rely on a select group of brokers and program administrators, and such relationships may not continue or may not perform as expected.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distribution networks of our products are multi-faceted and distinct to each line of business. Our relationship with our brokers or program administrators may be discontinued or materially modified at any time. Even if the relationships do continue, they may not be on terms that are profitable for us. We distribute a significant portion of our Residential Earthquake, Commercial Earthquake,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year ended December 31, 2024, our largest program administrator distributed $403.4 million or 26.2% of our gross written premiums. There were no other program administrators which distributed greater than 10% of our gross written premiums for the year ended December 31,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twelve months ended December 31, 2025, our largest program administrator distributed $411.0 million or 20.3% of our gross written premiums and our second largest program administrator distributed $237.3 million or 11.7% of our gross written premiums. There were no other program administrators which distributed greater than 10% of our gross written premiums for the twelve months ended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Because we provide our program administrators with specific quoting and binding authority, if any of them fail to comply with pre</w:t>
      </w:r>
      <w:r>
        <w:rPr>
          <w:rFonts w:ascii="Times New Roman" w:hAnsi="Times New Roman"/>
          <w:color w:val="000000"/>
          <w:sz w:val="20"/>
        </w:rPr>
        <w:noBreakHyphen/>
      </w:r>
      <w:r>
        <w:rPr>
          <w:rFonts w:ascii="Times New Roman" w:hAnsi="Times New Roman"/>
          <w:b/>
          <w:i/>
          <w:color w:val="000000"/>
          <w:sz w:val="20"/>
        </w:rPr>
        <w:t>established guidelines, our results of operations could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Because our business depends on insurance brokers and program administrators, we are exposed to certain risks arising out of our reliance on these distribution channels that could adversely affect our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Because the possibility of these events occurring depends in large part upon the financial condition and internal operations of our brokers, we regularly meet and communicate with our brokers, monitor broker behavior, and review broker financial information on an as</w:t>
        <w:noBreakHyphen/>
        <w:t>needed basis. If we are unable to collect premiums from our brokers in the future, our underwriting profits may decline, and our financial condition and results of operations could be materially and adversely affected.</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Competition for business in our industry is intense</w:t>
      </w:r>
      <w:r>
        <w:rPr>
          <w:rFonts w:ascii="Times New Roman" w:hAnsi="Times New Roman"/>
          <w:color w:val="000000"/>
          <w:sz w:val="20"/>
        </w:rPr>
        <w:t xml:space="preserve">, </w:t>
      </w:r>
      <w:r>
        <w:rPr>
          <w:rFonts w:ascii="Times New Roman" w:hAnsi="Times New Roman"/>
          <w:b/>
          <w:i/>
          <w:color w:val="000000"/>
          <w:sz w:val="20"/>
        </w:rPr>
        <w:t>which may result in pricing pressure, reduced underwriting margins, or changes in market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face competition from other specialty insurance companies, standard insurance companies and underwriting agencies that are larger than we are and that have greater financial, marketing, technological,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or maintain technology systems and processes that are competitive with those of larger insurers.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and capital inflows, which may further intensify competition and pricing pressure.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actual renewals of our existing policies do not meet expectations, our written premium in future years and our future results of operations could be materially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Most of our insurance policies are written for a one</w:t>
        <w:noBreakHyphen/>
        <w:t>year term. In our financial forecasting process, we make assumptions about renewal rates, pricing, and retention of our prior year’s policies. The insurance and reinsurance industries have historically been cyclical, with periods of intense competition often driven by excess capital leading to pricing pressure.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from period to period due to the initiation, expansion, or termination of large fronting partnerships.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failure to accurately and timely evaluate and pay claims could materially and adversely affect our business, financial condition, results of operations, and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must accurately and timely evaluate and pay claims that are made under our policies. Many factors affect our ability to pay claims accurately and timely, including the training and experience of our claims representatives, our third-party claims administrators (“TPAs”), the effectiveness of our management, our ability to develop or select and implement appropriate procedures and systems to support our claims functions and adequacy of our claims management controls and oversight.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handling, which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act based on inaccurate or incomplete information regarding the accounts we underwrite.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rely on information provided by insureds or their representatives when underwriting insurance policies. While we may make inquiries and take other steps to validate or supplement the information provided, we may make underwriting and pricing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change our underwriting guidelines or business strategy without stockholder approval.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employees could take excessive risks, which could negatively affect our financial condition and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require additional capital in the future, which may not be available or may only be available on unfavorable terms.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future capital requirements depend on many factors, including our ability to write new business and to establish premium rates and reserves at levels sufficient to cover losses. Many factors will affect the amount and timing of our capital needs, including our growth rate and profitability, claims experience, availability and cost of reinsurance, market disruptions, and other unforeseeable developments. If we need to raise additional capital, equity or debt financing may not be available, or may only be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not be able to manage our growth effectively.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employee base has approximately doubled in the last twelve months, including additions by acquisition. In addition, we intend to continue to grow our business in the future, which could require additional capital, technology development, and skilled personnel. To grow effectively, we must be able to meet our capital needs and expand our systems, technology, and internal controls in a timely and effective manner. We also must allocate our human resources optimally, including identifying, hiring, and retaining qualified employees, and effectively integrating the operations, systems, and personnel of any businesses we may acquire in our effort to achieve growth. The failure to manage our growth effectively could have a material adverse effect on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face risks associated with the evaluation of potential acquisitions, the integration of acquired businesses, and the introduction of new products, lines of business, and markets.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part of our business strategy, we may make acquisitions, including acquisitions in lines of business that are natural adjacencies. For example, we recently completed the acquisition of Gray Surety in January 2026 and the acquisitions of FIA and AAP in 2025. The success of our acquisition strategy is dependent upon our ability to identify appropriate acquisition targets, negotiate transactions on favorable terms, complete transactions, have adequate access to financing and the ability to finance acquisitions on acceptable terms, and successfully integrate them into our existing businesses. We may not realize the anticipated benefits of acquisitions we have completed or may complete in the future, and we may not be able to incorporate any acquired lines of business with our existing operations, or integrate personnel from the acquired businesses, in which case our business, financial condition and results of operations could be harmed.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that have been, or will be,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many of the businesses that we acquire and develop will likely have smaller scales of operations prior to the implementation of our growth strategy. If our growth continues, it may place a significant strain on our management team and on our operational and financial systems, procedures, and controls. If we are not able to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Failure to manage these risks arising from acquisitions or development of new businesses could materially and adversely affect our business, results of operations, and financial condition.</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Our operating results have varied from quarter to quarter and may not be indicative of our long</w:t>
      </w:r>
      <w:r>
        <w:rPr>
          <w:rFonts w:ascii="Times New Roman" w:hAnsi="Times New Roman"/>
          <w:color w:val="000000"/>
          <w:sz w:val="20"/>
        </w:rPr>
        <w:noBreakHyphen/>
      </w:r>
      <w:r>
        <w:rPr>
          <w:rFonts w:ascii="Times New Roman" w:hAnsi="Times New Roman"/>
          <w:b/>
          <w:i/>
          <w:color w:val="000000"/>
          <w:sz w:val="20"/>
        </w:rPr>
        <w:t>term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underwrite products and make investments to achieve favorable returns on tangible stockholders’ equity over the long term. Our opportunistic nature and focus on long</w:t>
        <w:noBreakHyphen/>
        <w:t xml:space="preserve">term growth in tangible equity may result in fluctuations in gross written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premiums, reinsurance expenses, loss expenses, and other underwriting expenses from period to period as we concentrate on underwriting contracts that we believe will generate better long</w:t>
        <w:noBreakHyphen/>
        <w:t>term, rather than short</w:t>
        <w:noBreakHyphen/>
        <w:t>term, results. Accordingly, our short</w:t>
        <w:noBreakHyphen/>
        <w:t>term results of operations may not be indicative of our long</w:t>
        <w:noBreakHyphen/>
        <w:t>term prospects.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Credit Agreement contains restrictions and covenants that limit our operating flexibility, and any debt borrowed under our Credit Agreement exposes us to additional risk and may adversely affect our financial condition and future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entered into a Credit Agreement (the “Credit Agreement”) with certain lenders that provides for revolving and term loan credit facilities. Borrowings under the Credit Agreement may impact our business and financial condition by: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Requiring the dedication of a portion of our expected cash flows from operations to service our debt, thereby reducing the amount of expected cash flows available for other purposes, including investing, and paying claims and operating expenses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Exposing us to interest rate risk since the interest rate in the Credit Agreement is a variable rate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the Credit Agreement contains financial covenants, restrictions on indebtedness, liens, investments, mergers, dispositions, prepayment of other indebtedness and dividends and other distributions. The financial covenants in the Credit Agreement requires that we do not exceed a maximum leverage ratio and maintain a minimum net worth at the end of each quarter. Our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Volatility in crop prices, as a result of weather conditions or other events, could adversely impact the performance of our crop business and our</w:t>
      </w:r>
      <w:r>
        <w:rPr>
          <w:rFonts w:ascii="Times New Roman" w:hAnsi="Times New Roman"/>
          <w:color w:val="000000"/>
          <w:sz w:val="20"/>
        </w:rPr>
        <w:t xml:space="preserve"> </w:t>
      </w:r>
      <w:r>
        <w:rPr>
          <w:rFonts w:ascii="Times New Roman" w:hAnsi="Times New Roman"/>
          <w:b/>
          <w:i/>
          <w:color w:val="000000"/>
          <w:sz w:val="20"/>
        </w:rPr>
        <w:t>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Weather conditions, including too much moisture (flooding or excessive rain), not enough moisture (droughts), and the level of crop prices in the commodities market heavily impact our crop insurance products. These factors are inherently unpredictable and could result in significant volatility in our operating results from period to period. Our results could also be negatively impacted by pests, plant disease or other biological risks. A significant decline in the commodity prices of one or more of the major crops that we insure could have a material adverse effect on our results of operations or financial condition.</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Instability in the surety market, resulting from construction defaults, contractual disputes, or evolving regulatory requirements, could negatively impact the performance of our surety products;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Fluctuations in construction industry performance, defaults on bonded projects, contractual disagreements and regulatory changes are inherent risks in the surety insurance industry. These events may lead to increased challenges in underwriting, claims management, and regulatory compliance. Depending on our ability to effectively manage the impact of these risks, we could face increased loss reserves, higher underwriting losses, and rising operational costs, all of which could materially affect our financial performance and overall profitability.</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the Economic Environment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misrepresent claims to obtain higher claims payments. These outcomes would reduce our underwriting profit to the extent these factors are not reflected in the rates we charge.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underwrite a significant portion of our insurance in California. An economic downturn which particularly impacts California could have an adverse effect on our financial condition and results of operations.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global trade policies, including the imposition of tariffs, along with broader economic uncertainty, could contribute to financial market volatility, interest rate fluctuations, and disruptions to the sectors we insure.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Ongoing global economic uncertainty, including the effects of inflation, interest rate volatility, and changes in international trade policies such as the imposition of tariffs, could have wide-ranging impacts on the markets in which we operate. These conditions may lead to shifts in consumer behavior, changes in exposure levels across personal and commercial lines, and increased costs associated with claims, operations, and policy administration. In addition, market volatility may negatively impact the performance of our investment portfolio and influence policyholder behavior. Together, these developments could adversely affect our financial results, capital position, and ability to execute our long-term business strategy.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Performance of our investment portfolio is subject to a variety of investment risks that may adversely affect our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Investment Committee. Our investments are subject to general economic conditions and market risks as well as risks inherent to particular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noBreakHyphen/>
        <w:t>backed and asset</w:t>
        <w:noBreakHyphen/>
        <w:t>backed securities, carry prepayment risk or, in a rising interest rate environment, may not prepay as quickly as expected.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also invest in marketable equity securities. These securities are carried on the balance sheet at fair market value and are subject to potential losses and declines in market value based on the performance of equity markets. Our equity securities totaled $99.3 million as of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our investment portfolio includes livestock put option contracts, which are recorded in Other investments at fair value. Changes in fair value are recognized in earnings. The fair value of these livestock derivative instruments was approximately $9.9 million as of December 31, 2025. Refer to Note 4 for additional details related to our livestock derivative instruments.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and the respective state insurance departments regulating each of our insurance company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may, in certain circumstances, invest a small percentage of our investment portfolio in private companies or limited partnerships which we believe provide strategic opportunities. These types of investments are typically illiquid, and we have limited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ability to take actions that protect or increase the value of this type of investment. Net losses from these investments or impairment of these investments may negatively impact our operating results.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could be forced to sell investments to meet our liquidity requirements.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litigation trends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Technology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failure or disruption of our information technology and telecommunications systems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is highly dependent on our information technology and telecommunications systems, including our underwriting system. We rely on these systems to interact with brokers and insureds, underwrite business, prepare policies and process premiums, perform actuarial and other modeling functions, process claims and make claims payments, and prepare internal and external financial statements and information. Some of these systems may include or rely on third</w:t>
        <w:noBreakHyphen/>
        <w:t>party systems not located on our premises or under our control. Events such as natural catastrophes, pandemics, cyber-attacks, terrorist acts, industrial accidents, system vulnerabilities, or malware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Security breaches or cyber-attacks could expose us to liability and damage our reputation and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noBreakHyphen/>
        <w:t>attacks or other disruptions.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Increased regulatory and public disclosure requirements related to cybersecurity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noBreakHyphen/>
        <w:t>ins or inappropriate access, or other developments will not compromise or breach the technology or other security measures protecting the networks and systems used in connection with our business.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We employ third</w:t>
      </w:r>
      <w:r>
        <w:rPr>
          <w:rFonts w:ascii="Times New Roman" w:hAnsi="Times New Roman"/>
          <w:color w:val="000000"/>
          <w:sz w:val="20"/>
        </w:rPr>
        <w:noBreakHyphen/>
      </w:r>
      <w:r>
        <w:rPr>
          <w:rFonts w:ascii="Times New Roman" w:hAnsi="Times New Roman"/>
          <w:b/>
          <w:i/>
          <w:color w:val="000000"/>
          <w:sz w:val="20"/>
        </w:rPr>
        <w:t>party licensed software for use in our business, and the inability to maintain these licenses, problems with the software we license, or increases to the cost of software licenses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Multiple areas of our business rely on certain third</w:t>
        <w:noBreakHyphen/>
        <w:t>party software obtained under licenses from other companies, and we expect to continue to rely on such third</w:t>
        <w:noBreakHyphen/>
        <w:t>party software in the future. Unforeseen issues may arise in third-party software platforms which may have an adverse impact on our operations. Integration of new third</w:t>
        <w:noBreakHyphen/>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identify or implement acceptable alternatives in a timely manner, or at all. Many of the risks associated with the use of third</w:t>
        <w:noBreakHyphen/>
        <w:t>party software cannot be eliminated, and these risks could negatively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disclose the affected portions of our source code or re</w:t>
        <w:noBreakHyphen/>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Control weaknesses or failures in cloud-based software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use cloud-based third-party software to host applications and support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growth and evolution of artificial intelligence (AI) may impact our business and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or our third-party vendors, clients or counterparties may develop or incorporate AI technology in certain business processes, services or products. Our research and development of such technology remains ongoing, and AI algorithms and training methodologies may be flawed. Leveraging AI capabilities to potentially improve our internal operations also presents further risks, costs, and challenges. While we aim to develop and use AI responsibly and attempt to identify and mitigate ethical and legal issues presented by its use, we may be unsuccessful in identifying or resolving issues before they arise.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third-party software vendors and service providers are increasingly incorporating AI into their processes and this may expose us to additional risks should they not be able to incorporate the technology effectively. The evolution and increased reliance on AI may exacerbate our information technology, data privacy, and cybersecurity risks. Furthermore, regulations around AI continue to evolve and we may be subject to increased regulation around AI in the future. AI-related issues, deficiencies and/or failures could adversely impact our operations, damage our reputation, and give rise to legal and/or regulatory action.</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Laws and Regulations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insurance company subsidiaries, PSIC, PESIC and FIA, are subject to extensive rules and regulations enforced by the insurance regulator of the state in which they are commercially domiciled. To a lesser degree, they are also subject to regulations in the other states in which they operate. Our Bermuda domiciled reinsurance subsidiary, Palomar Specialty Reinsurance Company Bermuda Ltd. (“PSRE”), is subject to regulation in Bermuda.</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subsidiaries are part of an “insurance holding company system” within the meaning of applicable state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respective state regulator, at least 30 days prior to engaging in the transaction, and the regulator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we may be subject to significant fines and penalties and our working relationship with the state insurance regulators may be impaired.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subsidiaries are subject to risk</w:t>
        <w:noBreakHyphen/>
        <w:t>based capital requirements, based upon the “risk-based capital model” adopted by the NAIC, and other minimum capital and surplus restrictions imposed under the laws of the state in which they are domiciled.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FIA is subject to regulation from the New Jersey Department of Banking and Insurance, which requires that FIA comply with New Jersey Statutes and Insurance Code. Failure to meet these regulatory requirements could result in substantial fines or penalties and may negatively affect FIA’s relationship with the New Jersey Department of Banking and Insurance.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Unexpected changes in the interpretation of our coverage or provisions, including loss limitations and exclusions, in our policies could have a material adverse effect on our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Crop insurance business is subject to extensive regulation and non-compliance with the regulations or changes in the regulations may adversely impact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Palomar Crop Insurance Services, Inc. (“PCIS”) participates in the federal crop insurance program and is impacted by any regulatory and legislative changes affecting that program. For example, the reinsurance levels that the federal government provides to authorized carriers could be reduced by future legislation. Additionally, the United States Department of Agriculture’s Risk Management Agency (“RMA”) establishes policy terms and conditions, rates and forms and is also responsible for setting compliance standards for our Crop insurance policies. We report all details of policies to the RMA and are party to a Standard Reinsurance Agreement (“SRA”) which sets out the relationship between private insurance companies and the Federal Crop Insurance Corporation. Noncompliance with any of the aforementioned regulations or legislative changes to the federal crop insurance program may impact PCIS’ ability to write crop insurance premiums in the future.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become subject to additional government or market regulation, including additional regulation around cybersecurity, which may have a material adverse impact on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could be adversely affected by changes in state laws, including those relating to asset and reserve valuation requirements, surplus requirements, limitations on investments and dividends, enterprise risk and risk</w:t>
        <w:noBreakHyphen/>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In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have implemented cybersecurity policies and procedures, there is no guarantee our policies and procedures will protect our systems against all attacks or comply with all provisions of these evolving regulations.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tax laws as a result of the enactment of tax legislation could impact our operations and profitability.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states increase the assessments we are required to pay, our business, financial condition and results of operations would suffer.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PSIC is licensed to conduct insurance operations on an admitted basis in 50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Because we are a holding company and substantially all our operations are conducted by our insurance subsidiaries, our ability to pay dividends depends on our ability to obtain cash dividends or other permitted payments from our insurance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PSRE and FIA. Insurance laws in jurisdictions such as various U.S. states and Bermuda restrict the ability of our subsidiaries to declare stockholder dividends. State insurance regulators require insurance companies to maintain specified levels of statutory capital and surplus. The maximum dividend distribution absent the approval or non</w:t>
        <w:noBreakHyphen/>
        <w:t>disapproval of the insurance regulatory authority in Oregon, California, Arizona, and New Jersey is limited by Oregon law at ORS 732.576, California law at Cal. Ins. Code 1215.5(g), Arizona Revised Statute 20-481, and New Jersey statute N.J.S.A 17:27A-4.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PESIC, and FIA may in the future adopt statutory provisions more restrictive than those currently in effect.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effects of litigation on our business are uncertain and could have an adverse effect on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Failure to protect our intellectual property rights could impair our ability to protect our intellectual property, proprietary technology platform and brand, or we may be sued by third parties for alleged infringement of their proprietary rights.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noBreakHyphen/>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noBreakHyphen/>
        <w:t>consuming and divert the attention of our management and key personnel from our business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accounting standards and future pronouncements may materially affect our reported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compliance with GAAP on a consolidated basis, many of our subsidiaries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incur significant costs as a public company, and our management is required to devote substantial time to complying with public company regulations.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noBreakHyphen/>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noBreakHyphen/>
        <w:t xml:space="preserve">Oxley Act. Our compliance with Section 404 requires that we incur substantial accounting expense and expend significant management efforts. We must maintain accounting and finance staff and consultants with appropriate public company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reporting, technical accounting, and internal control knowledge to satisfy the ongoing requirements of Section 404 and provide internal audit services.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Sarbanes</w:t>
        <w:noBreakHyphen/>
        <w:t>Oxley Act and the Dodd</w:t>
        <w:noBreakHyphen/>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noBreakHyphen/>
        <w:t>generating activities.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prepare and file periodic reports and distribute other stockholder communications, in compliance with the federal securities laws and requirements of Nasdaq;</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define and expand the roles and the duties of our Board of Directors and its committees;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institute comprehensive compliance and investor relations functions;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 and maintain our system of internal control over financial reporting, and report on management’s assessment thereof, in compliance with rules and regulations of the SEC and the Public Company Accounting Oversight Board.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We are required by Section</w:t>
      </w:r>
      <w:r>
        <w:rPr>
          <w:rFonts w:ascii="Times New Roman" w:hAnsi="Times New Roman"/>
          <w:color w:val="000000"/>
          <w:sz w:val="20"/>
        </w:rPr>
        <w:t xml:space="preserve"> </w:t>
      </w:r>
      <w:r>
        <w:rPr>
          <w:rFonts w:ascii="Times New Roman" w:hAnsi="Times New Roman"/>
          <w:b/>
          <w:i/>
          <w:color w:val="000000"/>
          <w:sz w:val="20"/>
        </w:rPr>
        <w:t>404 of the Sarbanes</w:t>
      </w:r>
      <w:r>
        <w:rPr>
          <w:rFonts w:ascii="Times New Roman" w:hAnsi="Times New Roman"/>
          <w:color w:val="000000"/>
          <w:sz w:val="20"/>
        </w:rPr>
        <w:noBreakHyphen/>
      </w:r>
      <w:r>
        <w:rPr>
          <w:rFonts w:ascii="Times New Roman" w:hAnsi="Times New Roman"/>
          <w:b/>
          <w:i/>
          <w:color w:val="000000"/>
          <w:sz w:val="20"/>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404(b) of the Sarbanes</w:t>
        <w:noBreakHyphen/>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w:t>
        <w:noBreakHyphen/>
        <w:t>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Applicable insurance laws may make it difficult to effect a change of control.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applicable state insurance laws and regulations which govern our subsidiaries’ operations,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noBreakHyphen/>
        <w:t>competitive results that may arise from the consummation of the acquisition of control. State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state insurance laws and regulations, absent a disclaimer of control filing and its acceptance by the respective state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Future transactions where we raise capital may negatively affect our stock price.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operating results and stock price may be volatile, or may decline regardless of our operating performance, and holders of our common stock could lose all or part of their investment.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market conditions in the broader stock market;</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actual or anticipated fluctuations in our quarterly financial and operating results;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introduction of new products or services by us or our competitors;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issuance of new or changed securities analysts’ reports or recommendations;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results of operations that vary from expectations of securities analysis and investors;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short sales, hedging and other derivative transactions in our common stock;</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guidance, if any, that we provide to the public, any changes in this guidance or our failure to meet this guidance;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strategic actions by us or our competitors;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announcement by us, our competitors or our acquisition targets;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sales, or anticipated sales, of large blocks of our stock, including by our directors, executive officers and principal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additions or departures in our Board or Directors, senior management or other key personnel;</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regulatory, legal or political developments;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public response to press releases or other public announcements by us or third parties, including our filings with the SEC;</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litigation and governmental investigations;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changing economic conditions;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indebtedness we may incur or securities we may issue in the future;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default under agreements governing our indebtedness;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exposure to capital and credit market risks that adversely affect our investment portfolio or our capital resources;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our credit ratings;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corporate tax rates;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interest or exchange rate fluctuations; and</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other events or factors, including those from natural disasters, war, pandemics, acts of terrorism, cyber-attacks or responses to these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bidi w:val="0"/>
        <w:spacing w:lineRule="auto" w:line="264" w:before="200" w:after="283"/>
        <w:jc w:val="left"/>
        <w:rPr>
          <w:rFonts w:ascii="Times New Roman" w:hAnsi="Times New Roman"/>
          <w:sz w:val="20"/>
        </w:rPr>
      </w:pPr>
      <w:r>
        <w:rPr>
          <w:rFonts w:ascii="Times New Roman" w:hAnsi="Times New Roman"/>
          <w:b/>
          <w:i/>
          <w:color w:val="000000"/>
          <w:sz w:val="20"/>
        </w:rPr>
        <w:t>Anti</w:t>
      </w:r>
      <w:r>
        <w:rPr>
          <w:rFonts w:ascii="Times New Roman" w:hAnsi="Times New Roman"/>
          <w:color w:val="000000"/>
          <w:sz w:val="20"/>
        </w:rPr>
        <w:noBreakHyphen/>
      </w:r>
      <w:r>
        <w:rPr>
          <w:rFonts w:ascii="Times New Roman" w:hAnsi="Times New Roman"/>
          <w:b/>
          <w:i/>
          <w:color w:val="000000"/>
          <w:sz w:val="20"/>
        </w:rPr>
        <w:t>takeover provisions in our organizational documents could delay or prevent a change in management and limit our share price.</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Provisions in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Our charter documents contain anti</w:t>
        <w:noBreakHyphen/>
        <w:t>takeover provisions that will hinder takeover attempts and could reduce the market value of our common stock or prevent sale at a premium. Our anti</w:t>
        <w:noBreakHyphen/>
        <w:t>takeover provisions: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permit the Board of Directors to establish the number of directors and fill any vacancies and newly created directorships;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provide, through 2027, that our Board of Directors are classified into three classes with staggered, three year terms and that directors may only be removed for cause;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require, through 2027, super</w:t>
        <w:noBreakHyphen/>
        <w:t>majority voting to amend provisions in our certificate of incorporation and bylaws;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include blank</w:t>
        <w:noBreakHyphen/>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prohibit stockholder action by other than unanimous written consent;</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prohibit cumulative voting in the election of directors; and</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Our certificate of incorporation and bylaws provide that the Court of Chancery of the State of Delaware is the exclusive forum for substantially all disputes between us and our stockholders, which could limit our stockholders</w:t>
      </w:r>
      <w:r>
        <w:rPr>
          <w:rFonts w:ascii="Times New Roman" w:hAnsi="Times New Roman"/>
          <w:color w:val="000000"/>
          <w:sz w:val="20"/>
        </w:rPr>
        <w:t xml:space="preserve">’ </w:t>
      </w:r>
      <w:r>
        <w:rPr>
          <w:rFonts w:ascii="Times New Roman" w:hAnsi="Times New Roman"/>
          <w:b/>
          <w:i/>
          <w:color w:val="000000"/>
          <w:sz w:val="20"/>
        </w:rPr>
        <w:t>ability to obtain a favorable judicial forum for disputes with us or our directors, officers or employees.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certificate of incorporation and bylaws provide that the Court of Chancery of the State of Delaware is the exclusive forum for the following civil actions: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of breach of a fiduciary duty by any of our directors, officers, employees or agents or our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arising pursuant to any provision of the DGCL or our certificate of incorporation or bylaws or as to which the DGCL confers jurisdiction on the Court of Chancery of the State of Delaware;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to interpret, apply, enforce or determine the validity of our certificate of incorporation or our bylaws; or</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governed by the internal affairs doctrine.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bidi w:val="0"/>
        <w:spacing w:lineRule="auto" w:line="273" w:before="200" w:after="283"/>
        <w:jc w:val="left"/>
        <w:rPr>
          <w:rFonts w:ascii="Times New Roman" w:hAnsi="Times New Roman"/>
          <w:sz w:val="20"/>
        </w:rPr>
      </w:pPr>
      <w:bookmarkStart w:id="6" w:name="item_1b_unresolved_staff_comments"/>
      <w:bookmarkEnd w:id="6"/>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color w:val="000000"/>
          <w:sz w:val="20"/>
        </w:rPr>
        <w:t>Unresolved Staff Comments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bookmarkStart w:id="7" w:name="item_1c_cybersecurity"/>
      <w:bookmarkEnd w:id="7"/>
      <w:r>
        <w:rPr>
          <w:rFonts w:ascii="Times New Roman" w:hAnsi="Times New Roman"/>
          <w:b/>
          <w:color w:val="000000"/>
          <w:sz w:val="20"/>
        </w:rPr>
        <w:t>Item 1C:</w:t>
      </w:r>
      <w:r>
        <w:rPr>
          <w:rFonts w:ascii="Times New Roman" w:hAnsi="Times New Roman"/>
          <w:color w:val="000000"/>
          <w:sz w:val="20"/>
        </w:rPr>
        <w:t xml:space="preserve"> </w:t>
      </w:r>
      <w:r>
        <w:rPr>
          <w:rFonts w:ascii="Times New Roman" w:hAnsi="Times New Roman"/>
          <w:b/>
          <w:color w:val="000000"/>
          <w:sz w:val="20"/>
        </w:rPr>
        <w:t>Cybersecurity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recognize that our business operations depend on the reliable and secure processing, storage, and transmission of confidential information in our computer systems and networks. We also recognize the importance of protecting customer's data and digital assets in our care. Therefore, identifying and assessing cybersecurity risk is integrated into our overall risk management systems and processes. We have created a layered security posture leveraging people, process, and technology to protect our information systems and our customer’s data and digital assets. We maintain a suite of information security, privacy, and data protection related policies, standards, and procedures leveraging the National Institute of Standards and Technology (“NIST”) along with the COBIT 2019 framework to align with applicable laws, regulatory guidance, and industry best practices.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employ an experienced security operations team that is responsible for the day-to-day assessment and management for material risks from cybersecurity threats. We require mandatory cybersecurity, privacy, and information handling training for all team members upon onboarding and on an annual basis thereafter. Additional role-based training is provided to the security, IT operations, and development teams. We also regularly communicate important cybersecurity updates to employees. To test the effectiveness of our training, a simulated phishing campaign is run monthly against all team members.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leverage a variety of tools to protect information. These tools include but are not limited to multifactor authentication, firewalls, intrusion detection, vulnerability and penetration testing, central log management, endpoint protection and patch management systems. Our identity and access management systems include industry leading products leveraged through our internally developed best practices. We also leverage threat hunting services that actively monitor for anomalies on our network and escalate these anomalies to our security operations team. We continue to mature our threat hunting, proactively searching for and identifying malicious attacks, and testing our cybersecurity posture to further enhance our cybersecurity programs. Our threat hunting includes comprehensive risk analysis of our assets along with routine external penetration testing from third party providers. The Company also utilizes a third-party consultant to perform a cybersecurity risk assessment annually in which we measure the current state of our cybersecurity program using the NIST Cybersecurity Framework. The results of this assessment are used to identify possible gaps, risks, and areas requiring remediation.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With the assistance of outside consultants, we have developed cybersecurity incident monitoring and reporting procedures. These procedures begin with continuously monitoring network hardware and applications for cybersecurity breaches and continuously identifying and recording any cyber security events. If appropriate, cyber security events are escalated as incidents and our incident management plan and incident response team are activated. Our incident management plan focuses on containing, eradicating, recovering and following up as necessary from a cybersecurity incident. In addition, incidents are evaluated to determine materiality as well as business impact and reviewed for privacy impact. This evaluation may involve members of our Board of Directors, executive team as well as consultants such as our outside legal counsel and independent auditors. Our cybersecurity incident monitoring and reporting procedures are tested annually through a tabletop event involving the business and IT operations staff. A tabletop event is a role-playing exercise simulating a real cybersecurity event which aims to ensure the plans are still covering all relevant and critical services and stakeholders are prepared. We continuously make cybersecurity improvements based on lessons learned from the tabletop exercises, enterprise risk assessments, and penetration testing.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ERM Committee of our Board of Directors is updated regularly on cybersecurity matters. The ERM Committee is comprised of select board members and select members of executive management and meets at least quarterly. During ERM meetings, our Chief Technology Officer and Head of Technology Engineering discuss key areas of cyber risk, and reviews key cybersecurity metrics and results of cybersecurity risk assessments and testing. In the event of a cybersecurity incident, our ERM Committee would also receive reports from our incident response team. The Board of Directors are briefed quarterly by the ERM Committee on cybersecurity matters that would include threats, policies, practices, and the roadmap being implemented to improve the security posture.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pStyle w:val="TextBody"/>
        <w:bidi w:val="0"/>
        <w:spacing w:lineRule="auto" w:line="273" w:before="200" w:after="283"/>
        <w:jc w:val="left"/>
        <w:rPr>
          <w:rFonts w:ascii="Times New Roman" w:hAnsi="Times New Roman"/>
          <w:sz w:val="20"/>
        </w:rPr>
      </w:pPr>
      <w:bookmarkStart w:id="8" w:name="item_2_properties"/>
      <w:bookmarkEnd w:id="8"/>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Properties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executive offices and insurance operations are located in La Jolla, California, where we occupy approximately 22,000 square feet of leased office space for annual rent and rent-related operating payments of approximately $1.0 million with the lease expiring in 2034. We also have an office in Edina, Minnesota, which occupies 7,457 square feet of office space for annual rent and rent-related operating payments of approximately $0.2 million. The lease for this space expires in 2027.</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as part of the acquisition of FIA, we acquired office suites that we own and use for corporate operations, consisting of approximately 21,250 square feet, of which approximately 6,000 square feet are occupied for corporate operations and the remainder is leased to third parties.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believe that our owned and leased facilities are adequate for our current needs.</w:t>
      </w:r>
    </w:p>
    <w:p>
      <w:pPr>
        <w:pStyle w:val="TextBody"/>
        <w:bidi w:val="0"/>
        <w:spacing w:lineRule="auto" w:line="273" w:before="200" w:after="283"/>
        <w:jc w:val="left"/>
        <w:rPr>
          <w:rFonts w:ascii="Times New Roman" w:hAnsi="Times New Roman"/>
          <w:sz w:val="20"/>
        </w:rPr>
      </w:pPr>
      <w:bookmarkStart w:id="9" w:name="item_3_legal_proceedings"/>
      <w:bookmarkEnd w:id="9"/>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Legal Proceedings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subject to routine legal proceedings in the normal course of operating our insurance business. We are not involved in any legal proceedings which reasonably could be expected to have a material adverse effect on our business, results of operations or financial condition.</w:t>
      </w:r>
    </w:p>
    <w:p>
      <w:pPr>
        <w:pStyle w:val="TextBody"/>
        <w:bidi w:val="0"/>
        <w:spacing w:lineRule="auto" w:line="273" w:before="200" w:after="283"/>
        <w:jc w:val="left"/>
        <w:rPr>
          <w:rFonts w:ascii="Times New Roman" w:hAnsi="Times New Roman"/>
          <w:sz w:val="20"/>
        </w:rPr>
      </w:pPr>
      <w:bookmarkStart w:id="10" w:name="item_4_mine_safety_disclosures"/>
      <w:bookmarkEnd w:id="10"/>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lineRule="auto" w:line="273" w:before="200" w:after="283"/>
        <w:jc w:val="left"/>
        <w:rPr>
          <w:rFonts w:ascii="Times New Roman" w:hAnsi="Times New Roman"/>
          <w:sz w:val="20"/>
        </w:rPr>
      </w:pPr>
      <w:bookmarkStart w:id="12" w:name="item_5_market_for_the_registrants"/>
      <w:bookmarkEnd w:id="12"/>
      <w:r>
        <w:rPr>
          <w:rFonts w:ascii="Times New Roman" w:hAnsi="Times New Roman"/>
          <w:b/>
          <w:color w:val="000000"/>
          <w:sz w:val="20"/>
        </w:rPr>
        <w:t>Item 5. Market for the Registrant</w:t>
      </w:r>
      <w:r>
        <w:rPr>
          <w:rFonts w:ascii="Times New Roman" w:hAnsi="Times New Roman"/>
          <w:color w:val="000000"/>
          <w:sz w:val="20"/>
        </w:rPr>
        <w:t>’</w:t>
      </w:r>
      <w:r>
        <w:rPr>
          <w:rFonts w:ascii="Times New Roman" w:hAnsi="Times New Roman"/>
          <w:b/>
          <w:color w:val="000000"/>
          <w:sz w:val="20"/>
        </w:rPr>
        <w:t>s Common Equity, Related Stockholder Matters and Issuer Purchases of Equity Securities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Market information for Common Stock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common shares began trading on the NASDAQ Global Select Market under the symbol “PLMR” on April 17, 2019. Prior to that time, there was no public market for our common shares. As of February 19, 2026, there were approximately five holders of record of our common stock. Because most of our shares of common stock are held by brokers and other institutions on behalf of our stockholders, this number is not representative of our total stockholders.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Payment of Dividends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U.S. subsidiaries, PSIC, PESIC and FIA, and our Bermuda subsidiary, PSRE. State insurance laws, including the laws of Oregon, Arizona, California, and New Jersey and the laws of Bermuda restrict the ability of these subsidiaries to declare stockholder dividends. State insurance regulators require insurance companies to maintain specified levels of statutory capital and surplus and restrict dividend payments. Dividend payments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may in the future adopt statutory provisions more restrictive than those currently in effect.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Bermuda reinsurance subsidiary is highly regulated and is required to comply with various conditions before it is able to pay dividends or make distributions to us. Bermuda law, including the Insurance Act 1978, as amended (“Insurance Act”) and the Companies Act 1981, as amended (“Companies Act”) impose restrictions on our Bermuda reinsurance subsidiary’s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our Bermuda reinsurance subsidiary without affirmative approval of the BMA.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July 2025, the Company’s Board of Directors approved a share repurchase program authorizing the repurchase of up to $150 million of outstanding shares of common stock through July 31, 2027. Repurchases under the program may be made from time to time in the open market or through privately negotiated transactions and may be suspended or discontinued at any time.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did not repurchase any shares of its common stock during the quarter ended December 31, 2025.</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Performance Graph</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performance graph compares the cumulative total shareholder return of an investment in (1) our common stock, (2) the cumulative total returns to the Nasdaq Composite Index and (3) the cumulative total returns to the Nasdaq Insurance Index, for the period from December 31, 2020 through December 31, 2025.</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graph assumes an initial investment of $100. Such returns are based on historical results and are not indicative of future performance.</w:t>
      </w:r>
    </w:p>
    <w:p>
      <w:pPr>
        <w:pStyle w:val="TextBody"/>
        <w:bidi w:val="0"/>
        <w:spacing w:lineRule="auto" w:line="273"/>
        <w:jc w:val="left"/>
        <w:rPr/>
      </w:pPr>
      <w:r>
        <w:rPr/>
        <w:t> </w:t>
      </w:r>
    </w:p>
    <w:p>
      <w:pPr>
        <w:pStyle w:val="TextBody"/>
        <w:bidi w:val="0"/>
        <w:spacing w:lineRule="auto" w:line="273"/>
        <w:jc w:val="center"/>
        <w:rPr/>
      </w:pPr>
      <w:r>
        <w:rPr/>
        <w:drawing>
          <wp:inline distT="0" distB="0" distL="0" distR="0">
            <wp:extent cx="5114925" cy="2867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14925" cy="2867025"/>
                    </a:xfrm>
                    <a:prstGeom prst="rect">
                      <a:avLst/>
                    </a:prstGeom>
                  </pic:spPr>
                </pic:pic>
              </a:graphicData>
            </a:graphic>
          </wp:inline>
        </w:drawing>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335"/>
        <w:gridCol w:w="146"/>
        <w:gridCol w:w="279"/>
        <w:gridCol w:w="899"/>
        <w:gridCol w:w="146"/>
        <w:gridCol w:w="146"/>
        <w:gridCol w:w="279"/>
        <w:gridCol w:w="899"/>
        <w:gridCol w:w="146"/>
        <w:gridCol w:w="146"/>
        <w:gridCol w:w="279"/>
        <w:gridCol w:w="899"/>
        <w:gridCol w:w="146"/>
        <w:gridCol w:w="146"/>
        <w:gridCol w:w="279"/>
        <w:gridCol w:w="899"/>
        <w:gridCol w:w="146"/>
        <w:gridCol w:w="146"/>
        <w:gridCol w:w="279"/>
        <w:gridCol w:w="899"/>
        <w:gridCol w:w="146"/>
        <w:gridCol w:w="146"/>
        <w:gridCol w:w="279"/>
        <w:gridCol w:w="899"/>
        <w:gridCol w:w="196"/>
      </w:tblGrid>
      <w:tr>
        <w:trPr/>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Holdings, Inc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151.69</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Nasdaq Composite Index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180.34</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Nasdaq Insurance Index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103.77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154.23</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13" w:name="item_6_reserved"/>
      <w:bookmarkEnd w:id="13"/>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bookmarkStart w:id="14" w:name="item_7_mda"/>
      <w:bookmarkEnd w:id="14"/>
      <w:r>
        <w:rPr>
          <w:rFonts w:ascii="Times New Roman" w:hAnsi="Times New Roman"/>
          <w:b/>
          <w:color w:val="000000"/>
          <w:sz w:val="20"/>
        </w:rPr>
        <w:t>Item 7. Management’s Discussion and Analysis of Financial Condition and Results of Operations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i/>
          <w:color w:val="000000"/>
          <w:sz w:val="20"/>
        </w:rPr>
        <w:t xml:space="preserve">The following discussion of our historical results of operations and our liquidity and capital resources should be read together with the consolidated financial statements and related notes that appear elsewhere in this Annual Report on Form 10-K. In addition to historical financial information, this Annual Report on Form 10-K contains </w:t>
      </w:r>
      <w:r>
        <w:rPr>
          <w:rFonts w:ascii="Times New Roman" w:hAnsi="Times New Roman"/>
          <w:color w:val="000000"/>
          <w:sz w:val="20"/>
        </w:rPr>
        <w:t>“</w:t>
      </w:r>
      <w:r>
        <w:rPr>
          <w:rFonts w:ascii="Times New Roman" w:hAnsi="Times New Roman"/>
          <w:i/>
          <w:color w:val="000000"/>
          <w:sz w:val="20"/>
        </w:rPr>
        <w:t>forward-looking statements.</w:t>
      </w:r>
      <w:r>
        <w:rPr>
          <w:rFonts w:ascii="Times New Roman" w:hAnsi="Times New Roman"/>
          <w:color w:val="000000"/>
          <w:sz w:val="20"/>
        </w:rPr>
        <w:t xml:space="preserve">” </w:t>
      </w:r>
      <w:r>
        <w:rPr>
          <w:rFonts w:ascii="Times New Roman" w:hAnsi="Times New Roman"/>
          <w:i/>
          <w:color w:val="000000"/>
          <w:sz w:val="20"/>
        </w:rPr>
        <w:t xml:space="preserve">You should review the </w:t>
      </w:r>
      <w:r>
        <w:rPr>
          <w:rFonts w:ascii="Times New Roman" w:hAnsi="Times New Roman"/>
          <w:color w:val="000000"/>
          <w:sz w:val="20"/>
        </w:rPr>
        <w:t>“</w:t>
      </w:r>
      <w:r>
        <w:rPr>
          <w:rFonts w:ascii="Times New Roman" w:hAnsi="Times New Roman"/>
          <w:i/>
          <w:color w:val="000000"/>
          <w:sz w:val="20"/>
        </w:rPr>
        <w:t>Special Note</w:t>
      </w:r>
      <w:r>
        <w:rPr>
          <w:rFonts w:ascii="Times New Roman" w:hAnsi="Times New Roman"/>
          <w:color w:val="000000"/>
          <w:sz w:val="20"/>
        </w:rPr>
        <w:t xml:space="preserve"> </w:t>
      </w:r>
      <w:r>
        <w:rPr>
          <w:rFonts w:ascii="Times New Roman" w:hAnsi="Times New Roman"/>
          <w:i/>
          <w:color w:val="000000"/>
          <w:sz w:val="20"/>
        </w:rPr>
        <w:t>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sections of this Annual Report on Form 10-K for factors and uncertainties that may cause our actual future results to be materially different from those in our forward-looking statements. Forward-looking statements in this Annual Report on Form 10-K are based on information available to us as of the date hereof, and we assume no obligation to update any such forward-looking statements.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a specialty insurance company that provides property and casualty insurance products to individuals and businesses. We leverage underwriting expertise and data-driven analytics to offer innovative solutions in five product categories: Earthquake, Casualty, Inland Marine and Other Property, Crop, and Fronting.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Beginning in 2026, we will reorganize the presentation of our product offerings and report Surety and Credit premium as a separate line. Our Fronting premium will cease to be reported as a separate line of business and the underlying premium will be consolidated into existing lines.</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Our Business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We offer coverage in both the admitted and excess and surplus lines (“E&amp;S”) markets, utilizing proprietary data analytics and a technology-enabled platform to support customized underwriting and pricing. Our insurance company subsidiaries, Palomar Specialty Insurance Company (“PSIC”), Palomar Excess and Surplus Insurance Company (“PESIC”), and First Indemnity of America Insurance Co. (“FIA”) carry an “A” financial strength rating from A.M. Best Company (“A.M. Best”), a leading rating agency for the insurance industry.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distribute our products through multiple channels, including retail agents, program administrators, wholesale brokers, and strategic partnerships with other insurance companies. Our business strategy is supported by a comprehensive risk transfer program with reinsurance coverage which we believe reduces earnings volatility and provides appropriate levels of protection from catastrophic events. Our management team combines decades of insurance industry experience across specialty underwriting, reinsurance, program administration, distribution, claims, and analytics.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Founded in 2014, we have significantly grown our business and have generated attractive returns. We have organically increased gross written premiums from $16.6 million in our first year of operations to $2.0 billion for the year ended December 31, 2025, which reflects a compound annual growth rate of approximately 55%. We have also been profitable since 2016, and our net income has increased over that period at a compound annual growth rate of 46%.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continuously grow our income by developing product offerings for lines of business that harness our core competencies and where we believe we can generate attractive risk adjusted returns. In recent years, we have introduced several new products including Crop, E&amp;S Casualty, Surety and Environmental Liability. These new products diversify our book of business and broaden our product portfolio. We believe that our market opportunity, distinctive products, and differentiated business model position us to grow our business profitably.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Volume of new business submissions in existing products or partnerships;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Binding of new business submissions in existing products or partnerships into policies;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Entrance into new partnerships or the offering of new types of insurance products;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Exits from existing partnerships or reducing or ceasing to offer existing insurance products;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Renewal rates of existing policies;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Average size and premium rate of bound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 This pattern reflects the seasonal nature of the Crop business, which typically results in a disproportionate amount of Crop premiums being recognized in the third quarter. As such, our interim results may not be indicative of full-year performance.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 In addition, the volume of premiums ceded in fronting agreements each period may vary due to the timing of entering new fronting partnerships and terminations of fronting partnerships.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most of the Crop earned premiums being recognized in the third quarter of each year.</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droughts, convective storms, terrorist acts or other aggregating events. Our losses and loss adjustment expenses are generally affected by: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occurrence, frequency, and severity of catastrophe events in the areas where we underwrite policies relating to these perils;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occurrence, frequency, and severity of non</w:t>
        <w:noBreakHyphen/>
        <w:t>catastrophe attritional losses;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mix of business written by us;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reinsurance agreements we have in place at the time of a loss;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geographic location and characteristics of the policies we underwrite;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the legal or regulatory environment related to the business we write;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Trends in legal defense costs;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Inflation in housing and construction costs;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Increases in amounts awarded by courts and juries.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noBreakHyphen/>
        <w:t>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Interest expense consists of interest incurred on borrowings from our U.S. Bank credit agreement and FHLB line of credit and the unused line fee and amortization of the commitment fee on our U.S. Bank credit agreement.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Investment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limited partnerships,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Realized and Unrealized Gains and Losses on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realized and unrealized gains and losses on investments are a function of the difference between the amount received by us on the sale of a security and the security’s cost-basis, mark-to-market adjustments, credit losses recognized in earnings, unrealized gains and losses on equity securities, and other changes in the fair value of investments. Unrealized gains and losses on fixed maturity securities are recognized as a component of other comprehensive income and do not impact our net income.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Currently our income tax expense consists mainly of federal income taxes imposed on our operations. Our effective tax rates are dependent upon the components of pretax earnings and the related tax effects.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Key Financial and Operating Metrics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discuss certain key financial and operating metrics, described below, which provide useful information about our business and the operational factors underlying our financial performance.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Underwriting revenue</w:t>
      </w:r>
      <w:r>
        <w:rPr>
          <w:rFonts w:ascii="Times New Roman" w:hAnsi="Times New Roman"/>
          <w:color w:val="000000"/>
          <w:sz w:val="20"/>
        </w:rPr>
        <w:t xml:space="preserve"> is a non</w:t>
        <w:noBreakHyphen/>
        <w:t>GAAP financial measure defined as total revenue, excluding net investment income and net realized and unrealized gains and losses on investments. See “Reconciliation of Non</w:t>
        <w:noBreakHyphen/>
        <w:t>GAAP Financial Measures” for a reconciliation of total revenue calculated in accordance with GAAP to underwriting revenue.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Underwriting income</w:t>
      </w:r>
      <w:r>
        <w:rPr>
          <w:rFonts w:ascii="Times New Roman" w:hAnsi="Times New Roman"/>
          <w:color w:val="000000"/>
          <w:sz w:val="20"/>
        </w:rPr>
        <w:t xml:space="preserve"> is a non</w:t>
        <w:noBreakHyphen/>
        <w:t>GAAP financial measure defined as income before income taxes excluding net investment income, net realized and unrealized gains and losses on investments, and interest expense. See “Reconciliation of Non</w:t>
        <w:noBreakHyphen/>
        <w:t>GAAP Financial Measures” for a reconciliation of income before income taxes calculated in accordance with GAAP to underwriting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 xml:space="preserve">Adjusted net income </w:t>
      </w:r>
      <w:r>
        <w:rPr>
          <w:rFonts w:ascii="Times New Roman" w:hAnsi="Times New Roman"/>
          <w:color w:val="000000"/>
          <w:sz w:val="20"/>
        </w:rPr>
        <w:t>is a non</w:t>
        <w:noBreakHyphen/>
        <w:t>GAAP financial measure defined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noBreakHyphen/>
        <w:t>GAAP Financial Measures” for a reconciliation of net income calculated in accordance with GAAP to adjusted net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Annualized return on equity</w:t>
      </w:r>
      <w:r>
        <w:rPr>
          <w:rFonts w:ascii="Times New Roman" w:hAnsi="Times New Roman"/>
          <w:color w:val="000000"/>
          <w:sz w:val="20"/>
        </w:rPr>
        <w:t xml:space="preserve"> is net income expressed on an annualized basis as a percentage of average beginning and ending stockholders’ equity during the period.</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Annualized adjusted return on equity</w:t>
      </w:r>
      <w:r>
        <w:rPr>
          <w:rFonts w:ascii="Times New Roman" w:hAnsi="Times New Roman"/>
          <w:color w:val="000000"/>
          <w:sz w:val="20"/>
        </w:rPr>
        <w:t xml:space="preserve"> is a non</w:t>
        <w:noBreakHyphen/>
        <w:t>GAAP financial measure defined as adjusted net income expressed on an annualized basis as a percentage of average beginning and ending stockholders’ equity during the period. See “Reconciliation of Non</w:t>
        <w:noBreakHyphen/>
        <w:t>GAAP Financial Measures” for a reconciliation of return on equity calculated using unadjusted GAAP numbers to adjusted return on equity.</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to net earned premiums.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expressed as a percentage, is the ratio of acquisition and other underwriting expenses, net of commission and other income to net earned premiums.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Combined ratio</w:t>
      </w:r>
      <w:r>
        <w:rPr>
          <w:rFonts w:ascii="Times New Roman" w:hAnsi="Times New Roman"/>
          <w:color w:val="000000"/>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combined ratio</w:t>
      </w:r>
      <w:r>
        <w:rPr>
          <w:rFonts w:ascii="Times New Roman" w:hAnsi="Times New Roman"/>
          <w:color w:val="000000"/>
          <w:sz w:val="20"/>
        </w:rPr>
        <w:t xml:space="preserve"> is a non</w:t>
        <w:noBreakHyphen/>
        <w:t>GAAP financial measure defined as the sum of the loss ratio and the expense ratio calculated excluding the impact of certain items that may not be indicative of underlying business trends, operating results, or future outlook. See “Reconciliation of Non</w:t>
        <w:noBreakHyphen/>
        <w:t>GAAP Financial Measures” for a reconciliation of combined ratio calculated using unadjusted GAAP numbers to adjusted combined ratio.</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Diluted adjusted earnings per share</w:t>
      </w:r>
      <w:r>
        <w:rPr>
          <w:rFonts w:ascii="Times New Roman" w:hAnsi="Times New Roman"/>
          <w:color w:val="000000"/>
          <w:sz w:val="20"/>
        </w:rPr>
        <w:t xml:space="preserve"> is a non</w:t>
        <w:noBreakHyphen/>
        <w:t>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w:t>
        <w:noBreakHyphen/>
        <w:t>GAAP Financial Measures” for a reconciliation of diluted earnings per share calculated in accordance with GAAP to diluted adjusted earnings per share.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Catastrophe loss ratio</w:t>
      </w:r>
      <w:r>
        <w:rPr>
          <w:rFonts w:ascii="Times New Roman" w:hAnsi="Times New Roman"/>
          <w:color w:val="000000"/>
          <w:sz w:val="20"/>
        </w:rPr>
        <w:t xml:space="preserve"> is a non</w:t>
        <w:noBreakHyphen/>
        <w:t>GAAP financial measure defined as the ratio of catastrophe losses to net earned premiums. See “Reconciliation of Non</w:t>
        <w:noBreakHyphen/>
        <w:t>GAAP Financial Measures” for a reconciliation of loss ratio calculated using unadjusted GAAP numbers to catastrophe loss ratio.</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combined ratio excluding catastrophe losses</w:t>
      </w:r>
      <w:r>
        <w:rPr>
          <w:rFonts w:ascii="Times New Roman" w:hAnsi="Times New Roman"/>
          <w:color w:val="000000"/>
          <w:sz w:val="20"/>
        </w:rPr>
        <w:t xml:space="preserve"> is a non</w:t>
        <w:noBreakHyphen/>
        <w:t>GAAP financial measure defined as adjusted combined ratio excluding the impact of catastrophe losses. See “Reconciliation of Non</w:t>
        <w:noBreakHyphen/>
        <w:t>GAAP Financial Measures” for a reconciliation of combined ratio calculated using unadjusted GAAP numbers to adjusted combined ratio excluding catastrophe losses.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underwriting income</w:t>
      </w:r>
      <w:r>
        <w:rPr>
          <w:rFonts w:ascii="Times New Roman" w:hAnsi="Times New Roman"/>
          <w:color w:val="000000"/>
          <w:sz w:val="20"/>
        </w:rPr>
        <w:t xml:space="preserve"> 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Tangible stockholders</w:t>
      </w:r>
      <w:r>
        <w:rPr>
          <w:rFonts w:ascii="Times New Roman" w:hAnsi="Times New Roman"/>
          <w:color w:val="000000"/>
          <w:sz w:val="20"/>
        </w:rPr>
        <w:t xml:space="preserve">’ </w:t>
      </w:r>
      <w:r>
        <w:rPr>
          <w:rFonts w:ascii="Times New Roman" w:hAnsi="Times New Roman"/>
          <w:i/>
          <w:color w:val="000000"/>
          <w:sz w:val="20"/>
        </w:rPr>
        <w:t>equity</w:t>
      </w:r>
      <w:r>
        <w:rPr>
          <w:rFonts w:ascii="Times New Roman" w:hAnsi="Times New Roman"/>
          <w:color w:val="000000"/>
          <w:sz w:val="20"/>
        </w:rPr>
        <w:t xml:space="preserve"> is a non</w:t>
        <w:noBreakHyphen/>
        <w:t>GAAP financial measure defined as stockholders’ equity less intangible assets. See “Reconciliation of Non</w:t>
        <w:noBreakHyphen/>
        <w:t>GAAP Financial Measures” for a reconciliation of stockholders’ equity calculated in accordance with GAAP to tangible stockholders’ equity.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results for the years ended December 31, 2025 and 2024:</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010"/>
        <w:gridCol w:w="146"/>
        <w:gridCol w:w="211"/>
        <w:gridCol w:w="991"/>
        <w:gridCol w:w="271"/>
        <w:gridCol w:w="146"/>
        <w:gridCol w:w="211"/>
        <w:gridCol w:w="931"/>
        <w:gridCol w:w="271"/>
        <w:gridCol w:w="146"/>
        <w:gridCol w:w="211"/>
        <w:gridCol w:w="841"/>
        <w:gridCol w:w="166"/>
        <w:gridCol w:w="146"/>
        <w:gridCol w:w="201"/>
        <w:gridCol w:w="790"/>
        <w:gridCol w:w="516"/>
      </w:tblGrid>
      <w:tr>
        <w:trPr/>
        <w:tc>
          <w:tcPr>
            <w:tcW w:w="4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3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486,290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(1,064,230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(897,111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964,022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644,851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319,171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291,948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57.2</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97.4</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808,131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513,471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294,660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57.4</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228,594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134,759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93,835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69.6</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217,133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149,657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67,476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45.1</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176,458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117,113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color w:val="000000"/>
                <w:sz w:val="20"/>
              </w:rPr>
              <w:t xml:space="preserve">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185,946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111,942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74,004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(65.6</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56,005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35,824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159.0</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253,390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151,196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102,194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197,070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159.0</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21,014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200.6</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sz w:val="20"/>
              </w:rPr>
            </w:pPr>
            <w:r>
              <w:rPr>
                <w:rFonts w:ascii="Times New Roman" w:hAnsi="Times New Roman"/>
                <w:b/>
                <w:color w:val="000000"/>
                <w:sz w:val="20"/>
              </w:rPr>
              <w:t>Adjusted net income</w:t>
            </w:r>
            <w:r>
              <w:rPr>
                <w:rFonts w:ascii="Times New Roman" w:hAnsi="Times New Roman"/>
                <w:color w:val="000000"/>
                <w:sz w:val="20"/>
              </w:rPr>
              <w:t>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216,116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82,605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61.9</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Annualized adjusted return on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Catastrophe loss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 xml:space="preserve">Adjusted underwriting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218,947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134,147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84,800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63.2</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Indicates non-GAAP financial measure; see “Reconciliation of Non</w:t>
        <w:noBreakHyphen/>
        <w:t>GAAP Financial Measures” for a reconciliation of the non</w:t>
        <w:noBreakHyphen/>
        <w:t>GAAP financial measures to their most directly comparable financial measures prepared in accordance with GAAP.</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Gross written premiums increased $486.3 million, or 31.5%, to $2.0 billion for the year ended December 31, 2025 compared to $1.5 billion for the year ended December 31, 2024. Premium growth was primarily due to an increased volume of policies in the majority of our lines of business, particularly in our Casualty and Crop lines, which was driven by new business generated with existing partners, strong premium retention rates for existing business, expansion of our distribution footprint, and new partnerships, partially offset by a decrease in our Fronting line. The following table summarizes our gross written premiums by line of business and shows each line’s percentage of total gross written premiums for each period:</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841"/>
        <w:gridCol w:w="166"/>
        <w:gridCol w:w="146"/>
        <w:gridCol w:w="152"/>
        <w:gridCol w:w="599"/>
        <w:gridCol w:w="457"/>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8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5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571,373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522,864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w:t>
            </w:r>
          </w:p>
        </w:tc>
        <w:tc>
          <w:tcPr>
            <w:tcW w:w="4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542,949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235,592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307,357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130.5</w:t>
            </w:r>
          </w:p>
        </w:tc>
        <w:tc>
          <w:tcPr>
            <w:tcW w:w="45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Inland Marine and Other Property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446,184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334,079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112,105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w:t>
            </w:r>
          </w:p>
        </w:tc>
        <w:tc>
          <w:tcPr>
            <w:tcW w:w="4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247,547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116,239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131,308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113.0</w:t>
            </w:r>
          </w:p>
        </w:tc>
        <w:tc>
          <w:tcPr>
            <w:tcW w:w="45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Fronting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4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31.5</w:t>
            </w:r>
          </w:p>
        </w:tc>
        <w:tc>
          <w:tcPr>
            <w:tcW w:w="4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 large fronting partnership terminated in the third quarter of 2024, which primarily caused the decline in fronting premiums shown above.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gross written premiums by insurance subsidiary:</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781"/>
        <w:gridCol w:w="146"/>
        <w:gridCol w:w="146"/>
        <w:gridCol w:w="179"/>
        <w:gridCol w:w="572"/>
        <w:gridCol w:w="416"/>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2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995,901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823,263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172,638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PESIC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936,971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661,404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275,567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57,295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19,432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FIA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31.5</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increased $167.1 million, or 18.6%, to $1.1 billion for the year ended December 31, 2025 from $897.1 million for the year ended December 31, 2024. The increase in ceded written premium was primarily driven by growth in written premiums subject to quota share arrangements, such as those in Casualty and Crop lines, as well as elevated exposure leading to higher XOL reinsurance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our volume of ceded written premiums increased, ceded written premiums as a percentage of gross written premiums decreased to 52.5% for the year ended December 31, 2025 from 58.2% for the year ended December 31, 2024. This percentage decrease was driven by changes in our composition of business whereby premiums written in the current period were subject to lower quota share or XOL cession percentages compared to premiums written in the prior period.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written premiums increased $319.2 million, or 49.5%, to $964.0 million for the year ended December 31, 2025 from $644.9 million for the year ended December 31, 2024. The increase was primarily due to an increase in gross written premiums, primarily in our Casualty and Crop lines, partially offset by increased ceded written premiums.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earned premiums increased $291.9 million, or 57.2%, to $802.6 million for the year ended December 31, 2025 from $510.7 million for the year ended December 31, 2024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pStyle w:val="TextBody"/>
        <w:bidi w:val="0"/>
        <w:spacing w:lineRule="auto" w:line="273"/>
        <w:jc w:val="left"/>
        <w:rPr/>
      </w:pPr>
      <w:r>
        <w:rPr/>
        <w:t> </w:t>
      </w:r>
    </w:p>
    <w:tbl>
      <w:tblPr>
        <w:tblW w:w="8051" w:type="dxa"/>
        <w:jc w:val="left"/>
        <w:tblInd w:w="0" w:type="dxa"/>
        <w:tblLayout w:type="fixed"/>
        <w:tblCellMar>
          <w:top w:w="28" w:type="dxa"/>
          <w:left w:w="28" w:type="dxa"/>
          <w:bottom w:w="28" w:type="dxa"/>
          <w:right w:w="28" w:type="dxa"/>
        </w:tblCellMar>
      </w:tblPr>
      <w:tblGrid>
        <w:gridCol w:w="2176"/>
        <w:gridCol w:w="146"/>
        <w:gridCol w:w="211"/>
        <w:gridCol w:w="931"/>
        <w:gridCol w:w="271"/>
        <w:gridCol w:w="146"/>
        <w:gridCol w:w="211"/>
        <w:gridCol w:w="931"/>
        <w:gridCol w:w="271"/>
        <w:gridCol w:w="146"/>
        <w:gridCol w:w="211"/>
        <w:gridCol w:w="781"/>
        <w:gridCol w:w="166"/>
        <w:gridCol w:w="146"/>
        <w:gridCol w:w="236"/>
        <w:gridCol w:w="755"/>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1,787,184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1,397,369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389,815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(984,549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(886,682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net earned premium ratio increased due to changes in our composition of business whereby premiums earned in the current period were subject to lower quota share or XOL cession percentages compared to premiums earned in the prior period, which was partially driven by the aforementioned decrease in fronting premiums.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increased $2.7 million to $5.5 million for the year ended December 31, 2025 from $2.8 million for the year ended December 31, 2024. The balance increased due to an increase in commissions and policy related fees driven by increased premiums written.</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Losses and Loss Adjustment Expenses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increased $93.8 million, or 69.6%, to $228.6 million for the year ended December 31, 2025 from $134.8 million for the year ended December 31, 2024. Losses and loss adjustment expenses consisted of the following elements during the respective periods:</w:t>
      </w:r>
    </w:p>
    <w:p>
      <w:pPr>
        <w:pStyle w:val="TextBody"/>
        <w:bidi w:val="0"/>
        <w:spacing w:lineRule="auto" w:line="273"/>
        <w:jc w:val="left"/>
        <w:rPr/>
      </w:pPr>
      <w:r>
        <w:rPr/>
        <w:t> </w:t>
      </w:r>
    </w:p>
    <w:tbl>
      <w:tblPr>
        <w:tblW w:w="9146" w:type="dxa"/>
        <w:jc w:val="left"/>
        <w:tblInd w:w="0" w:type="dxa"/>
        <w:tblLayout w:type="fixed"/>
        <w:tblCellMar>
          <w:top w:w="28" w:type="dxa"/>
          <w:left w:w="28" w:type="dxa"/>
          <w:bottom w:w="28" w:type="dxa"/>
          <w:right w:w="28" w:type="dxa"/>
        </w:tblCellMar>
      </w:tblPr>
      <w:tblGrid>
        <w:gridCol w:w="3511"/>
        <w:gridCol w:w="146"/>
        <w:gridCol w:w="211"/>
        <w:gridCol w:w="781"/>
        <w:gridCol w:w="271"/>
        <w:gridCol w:w="146"/>
        <w:gridCol w:w="211"/>
        <w:gridCol w:w="781"/>
        <w:gridCol w:w="271"/>
        <w:gridCol w:w="146"/>
        <w:gridCol w:w="211"/>
        <w:gridCol w:w="781"/>
        <w:gridCol w:w="166"/>
        <w:gridCol w:w="146"/>
        <w:gridCol w:w="186"/>
        <w:gridCol w:w="805"/>
        <w:gridCol w:w="37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(102.6</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229,322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106,913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114.5</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228,594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134,759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69.6</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Catastrophe loss activity for the year ended December 31, 2025 was related to favorable development on prior period catastrophe events, offset by flood losses in the third quarter.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year ended December 31, 2024 was primarily related to flood losses in the first quarter, severe convective storms in the second quarter, and Hurricanes Beryl, Debby, and Helene during the third and fourth quarters.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Non-catastrophe losses increased for the year ended December 31, 2025 compared to the year ended December 31, 2024 due mainly to higher attritional losses driven by premium growth on lines of business subject to attritional losses such as Casualty, Crop, and Inland Marine and Other Property.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Acquisition expenses increased $67.5 million, or 45.1%, to $217.1 million for the year ended December 31, 2025 from $149.7 million for the year ended December 31, 2024. The increase was primarily due to higher commissions due to higher gross earned premiums and lower fronting fees due to changes in the composition of our business. Acquisition expenses as a percentage of gross earned premiums were 12.1% for the year ended December 31, 2025 compared to 10.7% for the year ended December 31, 2024. Acquisition expenses as a percentage of gross earned premiums increased due to higher commissions as a percentage of gross earned premiums and lower fronting fees as a percentage of gross earned premiums due to changes in the composition of our business.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increased $59.3 million, or 50.7%, to $176.5 million for the year ended December 31, 2025 from $117.1 million for the year ended December 31, 2024. The increase was primarily due to the Company incurring higher payroll, technology, and stock-based compensation expenses associated with general growth.</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as a percentage of gross earned premiums were 9.9% for the year ended December 31, 2025 compared to 8.4% for the year ended December 31, 2024. Excluding the impact of expenses relating to transactions, stock-based compensation, amortization of intangibles, and catastrophe bonds, other underwriting expenses as a percentage of gross earned premiums were 8.0% for the year ended December 31, 2025 compared to 6.8% for the year ended December 31, 2024. Other underwriting expenses as a percentage of gross earned premiums fluctuates period over period based on timing of certain expenses relative to premium growth.</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Net Investment Income and Net Realized and Unrealized Gains (Losses) on Investments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increased $20.2 million, or 56.3%, to $56.0 million for the year ended December 31, 2025 from $35.8 million for the year ended December 31, 2024. The increase was primarily due to a higher average balance of investments during the year ended December 31, 2025 due primarily to cash generated from operations and the investing of proceeds from our August 2024 secondary offering. In addition, higher yields on invested assets versus the prior year contributed to the increase.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incurred $11.8 million of net realized and unrealized gains on investments for the year ended December 31, 2025 compared to $4.6 million of net realized and unrealized gains for the year ended December 31, 2024. In both periods, the balance was primarily driven by unrealized gains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pStyle w:val="TextBody"/>
        <w:bidi w:val="0"/>
        <w:spacing w:lineRule="auto" w:line="273"/>
        <w:jc w:val="left"/>
        <w:rPr/>
      </w:pPr>
      <w:r>
        <w:rPr/>
        <w:t> </w:t>
      </w:r>
    </w:p>
    <w:tbl>
      <w:tblPr>
        <w:tblW w:w="9146" w:type="dxa"/>
        <w:jc w:val="left"/>
        <w:tblInd w:w="0" w:type="dxa"/>
        <w:tblLayout w:type="fixed"/>
        <w:tblCellMar>
          <w:top w:w="28" w:type="dxa"/>
          <w:left w:w="28" w:type="dxa"/>
          <w:bottom w:w="28" w:type="dxa"/>
          <w:right w:w="28" w:type="dxa"/>
        </w:tblCellMar>
      </w:tblPr>
      <w:tblGrid>
        <w:gridCol w:w="4096"/>
        <w:gridCol w:w="146"/>
        <w:gridCol w:w="211"/>
        <w:gridCol w:w="676"/>
        <w:gridCol w:w="166"/>
        <w:gridCol w:w="146"/>
        <w:gridCol w:w="211"/>
        <w:gridCol w:w="676"/>
        <w:gridCol w:w="166"/>
        <w:gridCol w:w="146"/>
        <w:gridCol w:w="211"/>
        <w:gridCol w:w="676"/>
        <w:gridCol w:w="166"/>
        <w:gridCol w:w="146"/>
        <w:gridCol w:w="201"/>
        <w:gridCol w:w="790"/>
        <w:gridCol w:w="31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88"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55,164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management fees and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tax expense increased $22.7 million to $56.3 million for the year ended December 31, 2025 from $33.6 million for the year ended December 31, 2024 due to higher pre-tax income for the year ended December 31, 2025. For the year ended December 31, 2025 and 2024, the Company’s income tax rate of 22.2% for both periods was higher than the statutory rate of 21% due primarily to non-deductible executive compensation expense.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Reconciliation of Non</w:t>
      </w:r>
      <w:r>
        <w:rPr>
          <w:rFonts w:ascii="Times New Roman" w:hAnsi="Times New Roman"/>
          <w:color w:val="000000"/>
          <w:sz w:val="20"/>
        </w:rPr>
        <w:noBreakHyphen/>
      </w:r>
      <w:r>
        <w:rPr>
          <w:rFonts w:ascii="Times New Roman" w:hAnsi="Times New Roman"/>
          <w:b/>
          <w:i/>
          <w:color w:val="000000"/>
          <w:sz w:val="20"/>
        </w:rPr>
        <w:t>GAAP Financial Measures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Underwriting Revenue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Total revenue calculated in accordance with GAAP reconciles to underwriting revenue as follows:</w:t>
      </w:r>
    </w:p>
    <w:p>
      <w:pPr>
        <w:pStyle w:val="TextBody"/>
        <w:bidi w:val="0"/>
        <w:spacing w:lineRule="auto" w:line="273"/>
        <w:jc w:val="left"/>
        <w:rPr/>
      </w:pPr>
      <w:r>
        <w:rPr/>
        <w:t> </w:t>
      </w:r>
    </w:p>
    <w:tbl>
      <w:tblPr>
        <w:tblW w:w="7394" w:type="dxa"/>
        <w:jc w:val="left"/>
        <w:tblInd w:w="0" w:type="dxa"/>
        <w:tblLayout w:type="fixed"/>
        <w:tblCellMar>
          <w:top w:w="28" w:type="dxa"/>
          <w:left w:w="28" w:type="dxa"/>
          <w:bottom w:w="28" w:type="dxa"/>
          <w:right w:w="28" w:type="dxa"/>
        </w:tblCellMar>
      </w:tblPr>
      <w:tblGrid>
        <w:gridCol w:w="4741"/>
        <w:gridCol w:w="146"/>
        <w:gridCol w:w="211"/>
        <w:gridCol w:w="781"/>
        <w:gridCol w:w="166"/>
        <w:gridCol w:w="146"/>
        <w:gridCol w:w="211"/>
        <w:gridCol w:w="78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875,967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553,863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(35,824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Underwriting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808,131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513,471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Underwriting Income and Adjusted Underwriting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underwriting income as income before income taxes excluding net investment income, net realized and unrealized gains and losses on investments, and interest expense. Underwriting income represents the pre</w:t>
        <w:noBreakHyphen/>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noBreakHyphen/>
        <w:t>tax income calculated in accordance with GAAP, and other companies may define underwriting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noBreakHyphen/>
        <w:t>tax income calculated in accordance with GAAP. Other companies may define adjusted underwriting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before income taxes calculated in accordance with GAAP reconciles to underwriting income and adjusted underwriting income as follows:</w:t>
      </w:r>
    </w:p>
    <w:p>
      <w:pPr>
        <w:pStyle w:val="TextBody"/>
        <w:bidi w:val="0"/>
        <w:spacing w:lineRule="auto" w:line="273"/>
        <w:jc w:val="left"/>
        <w:rPr/>
      </w:pPr>
      <w:r>
        <w:rPr/>
        <w:t> </w:t>
      </w:r>
    </w:p>
    <w:tbl>
      <w:tblPr>
        <w:tblW w:w="6749" w:type="dxa"/>
        <w:jc w:val="left"/>
        <w:tblInd w:w="0" w:type="dxa"/>
        <w:tblLayout w:type="fixed"/>
        <w:tblCellMar>
          <w:top w:w="28" w:type="dxa"/>
          <w:left w:w="28" w:type="dxa"/>
          <w:bottom w:w="28" w:type="dxa"/>
          <w:right w:w="28" w:type="dxa"/>
        </w:tblCellMar>
      </w:tblPr>
      <w:tblGrid>
        <w:gridCol w:w="4096"/>
        <w:gridCol w:w="146"/>
        <w:gridCol w:w="211"/>
        <w:gridCol w:w="781"/>
        <w:gridCol w:w="166"/>
        <w:gridCol w:w="146"/>
        <w:gridCol w:w="211"/>
        <w:gridCol w:w="78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253,390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151,196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(35,824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Underwriting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111,942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underwriting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134,147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Adjusted Net Income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income calculated in accordance with GAAP reconciles to adjusted net income as follows:</w:t>
      </w:r>
    </w:p>
    <w:p>
      <w:pPr>
        <w:pStyle w:val="TextBody"/>
        <w:bidi w:val="0"/>
        <w:spacing w:lineRule="auto" w:line="273"/>
        <w:jc w:val="left"/>
        <w:rPr/>
      </w:pPr>
      <w:r>
        <w:rPr/>
        <w:t> </w:t>
      </w:r>
    </w:p>
    <w:tbl>
      <w:tblPr>
        <w:tblW w:w="7407" w:type="dxa"/>
        <w:jc w:val="left"/>
        <w:tblInd w:w="0" w:type="dxa"/>
        <w:tblLayout w:type="fixed"/>
        <w:tblCellMar>
          <w:top w:w="28" w:type="dxa"/>
          <w:left w:w="28" w:type="dxa"/>
          <w:bottom w:w="28" w:type="dxa"/>
          <w:right w:w="28" w:type="dxa"/>
        </w:tblCellMar>
      </w:tblPr>
      <w:tblGrid>
        <w:gridCol w:w="4741"/>
        <w:gridCol w:w="146"/>
        <w:gridCol w:w="212"/>
        <w:gridCol w:w="786"/>
        <w:gridCol w:w="167"/>
        <w:gridCol w:w="146"/>
        <w:gridCol w:w="212"/>
        <w:gridCol w:w="78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9"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197,070</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117,573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4,644</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21,014</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4,683</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2,660</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216,116</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Adjusted Return on 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Annualized adjusted return on equity is calculated as follows:</w:t>
      </w:r>
    </w:p>
    <w:p>
      <w:pPr>
        <w:pStyle w:val="TextBody"/>
        <w:bidi w:val="0"/>
        <w:spacing w:lineRule="auto" w:line="273"/>
        <w:jc w:val="left"/>
        <w:rPr/>
      </w:pPr>
      <w:r>
        <w:rPr/>
        <w:t> </w:t>
      </w:r>
    </w:p>
    <w:tbl>
      <w:tblPr>
        <w:tblW w:w="6539" w:type="dxa"/>
        <w:jc w:val="left"/>
        <w:tblInd w:w="0" w:type="dxa"/>
        <w:tblLayout w:type="fixed"/>
        <w:tblCellMar>
          <w:top w:w="28" w:type="dxa"/>
          <w:left w:w="28" w:type="dxa"/>
          <w:bottom w:w="28" w:type="dxa"/>
          <w:right w:w="28" w:type="dxa"/>
        </w:tblCellMar>
      </w:tblPr>
      <w:tblGrid>
        <w:gridCol w:w="3676"/>
        <w:gridCol w:w="146"/>
        <w:gridCol w:w="211"/>
        <w:gridCol w:w="781"/>
        <w:gridCol w:w="271"/>
        <w:gridCol w:w="146"/>
        <w:gridCol w:w="211"/>
        <w:gridCol w:w="781"/>
        <w:gridCol w:w="31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133,511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835,849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600,140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return on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Adjusted Combined Ratio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is calculated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342"/>
        <w:gridCol w:w="146"/>
        <w:gridCol w:w="211"/>
        <w:gridCol w:w="781"/>
        <w:gridCol w:w="271"/>
        <w:gridCol w:w="146"/>
        <w:gridCol w:w="211"/>
        <w:gridCol w:w="781"/>
        <w:gridCol w:w="316"/>
      </w:tblGrid>
      <w:tr>
        <w:trPr/>
        <w:tc>
          <w:tcPr>
            <w:tcW w:w="7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Sum of losses, loss adjustment expenses, underwriting, acquisition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616,689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398,745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(21,014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(16,685</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(1,558</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Diluted Adjusted Earnings Per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Diluted adjusted earnings per share is calculated as follows:</w:t>
      </w:r>
    </w:p>
    <w:p>
      <w:pPr>
        <w:pStyle w:val="TextBody"/>
        <w:bidi w:val="0"/>
        <w:spacing w:lineRule="auto" w:line="273"/>
        <w:jc w:val="left"/>
        <w:rPr/>
      </w:pPr>
      <w:r>
        <w:rPr/>
        <w:t> </w:t>
      </w:r>
    </w:p>
    <w:tbl>
      <w:tblPr>
        <w:tblW w:w="8990" w:type="dxa"/>
        <w:jc w:val="left"/>
        <w:tblInd w:w="0" w:type="dxa"/>
        <w:tblLayout w:type="fixed"/>
        <w:tblCellMar>
          <w:top w:w="28" w:type="dxa"/>
          <w:left w:w="28" w:type="dxa"/>
          <w:bottom w:w="28" w:type="dxa"/>
          <w:right w:w="28" w:type="dxa"/>
        </w:tblCellMar>
      </w:tblPr>
      <w:tblGrid>
        <w:gridCol w:w="4591"/>
        <w:gridCol w:w="146"/>
        <w:gridCol w:w="307"/>
        <w:gridCol w:w="1511"/>
        <w:gridCol w:w="213"/>
        <w:gridCol w:w="213"/>
        <w:gridCol w:w="307"/>
        <w:gridCol w:w="1511"/>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2"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216,116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27,485,250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26,223,842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adjusted 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Catastrophe Loss Ratio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 ratio and catastrophe loss ratio are calculated as follows:</w:t>
      </w:r>
    </w:p>
    <w:p>
      <w:pPr>
        <w:pStyle w:val="TextBody"/>
        <w:bidi w:val="0"/>
        <w:spacing w:lineRule="auto" w:line="273"/>
        <w:jc w:val="left"/>
        <w:rPr/>
      </w:pPr>
      <w:r>
        <w:rPr/>
        <w:t> </w:t>
      </w:r>
    </w:p>
    <w:tbl>
      <w:tblPr>
        <w:tblW w:w="6914" w:type="dxa"/>
        <w:jc w:val="left"/>
        <w:tblInd w:w="0" w:type="dxa"/>
        <w:tblLayout w:type="fixed"/>
        <w:tblCellMar>
          <w:top w:w="28" w:type="dxa"/>
          <w:left w:w="28" w:type="dxa"/>
          <w:bottom w:w="28" w:type="dxa"/>
          <w:right w:w="28" w:type="dxa"/>
        </w:tblCellMar>
      </w:tblPr>
      <w:tblGrid>
        <w:gridCol w:w="4051"/>
        <w:gridCol w:w="146"/>
        <w:gridCol w:w="211"/>
        <w:gridCol w:w="781"/>
        <w:gridCol w:w="271"/>
        <w:gridCol w:w="146"/>
        <w:gridCol w:w="211"/>
        <w:gridCol w:w="781"/>
        <w:gridCol w:w="316"/>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228,594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134,759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Adjusted Combined Ratio Excluding Catastrophe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excluding catastrophe losses is calculated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342"/>
        <w:gridCol w:w="146"/>
        <w:gridCol w:w="211"/>
        <w:gridCol w:w="781"/>
        <w:gridCol w:w="271"/>
        <w:gridCol w:w="146"/>
        <w:gridCol w:w="211"/>
        <w:gridCol w:w="781"/>
        <w:gridCol w:w="316"/>
      </w:tblGrid>
      <w:tr>
        <w:trPr/>
        <w:tc>
          <w:tcPr>
            <w:tcW w:w="7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616,689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398,745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(21,014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(16,685</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(1,558</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combined ratio excluding 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Tangible Stockholders</w:t>
      </w:r>
      <w:r>
        <w:rPr>
          <w:rFonts w:ascii="Times New Roman" w:hAnsi="Times New Roman"/>
          <w:color w:val="000000"/>
          <w:sz w:val="20"/>
        </w:rPr>
        <w:t xml:space="preserve">’ </w:t>
      </w:r>
      <w:r>
        <w:rPr>
          <w:rFonts w:ascii="Times New Roman" w:hAnsi="Times New Roman"/>
          <w:b/>
          <w:i/>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Stockholders’ equity calculated in accordance with GAAP reconciles to tangible stockholders’ equity as follows:</w:t>
      </w:r>
    </w:p>
    <w:p>
      <w:pPr>
        <w:pStyle w:val="TextBody"/>
        <w:bidi w:val="0"/>
        <w:spacing w:lineRule="auto" w:line="273"/>
        <w:jc w:val="left"/>
        <w:rPr/>
      </w:pPr>
      <w:r>
        <w:rPr/>
        <w:t> </w:t>
      </w:r>
    </w:p>
    <w:tbl>
      <w:tblPr>
        <w:tblW w:w="5279" w:type="dxa"/>
        <w:jc w:val="left"/>
        <w:tblInd w:w="0" w:type="dxa"/>
        <w:tblLayout w:type="fixed"/>
        <w:tblCellMar>
          <w:top w:w="28" w:type="dxa"/>
          <w:left w:w="28" w:type="dxa"/>
          <w:bottom w:w="28" w:type="dxa"/>
          <w:right w:w="28" w:type="dxa"/>
        </w:tblCellMar>
      </w:tblPr>
      <w:tblGrid>
        <w:gridCol w:w="2626"/>
        <w:gridCol w:w="146"/>
        <w:gridCol w:w="211"/>
        <w:gridCol w:w="781"/>
        <w:gridCol w:w="166"/>
        <w:gridCol w:w="146"/>
        <w:gridCol w:w="211"/>
        <w:gridCol w:w="781"/>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942,667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729,030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Goodwill and 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Tangible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881,613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715,788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Sources and Uses of Funds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U.S. insurance company subsidiaries, PSIC, PESIC, and FIA, are restricted by the statutes as to the amount of dividends that they may pay without prior approval by state insurance commissioners.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$176.0 million in 2026 without approval by the California and Oregon Insurance Commissioners. During October 2025, PSIC elected to pay a dividend of $99.0 million to its parent company.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$7.4 million in 2026 without approval of the Arizona Insurance Commissioner. No dividends were declared or paid during the year ended December 31, 2025.</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is subject to New Jersey law, such that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$1.8 million in 2026, conditional upon the Commissioner’s approval. No dividends were declared or paid during the year ended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the above limitations, any dividend or distribution declared is also subject to state regulatory approval prior to payment. In the future, state insurance regulatory authorities may adopt statutory provisions and dividend limitations more restrictive than those currently in effect.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Insurance companies in the United States are also required by state law to maintain a minimum level of policyholder’s surplus. State insurance regulators have a risk-based capital standard designed to identify property and casualty insurers that may be inadequately capitalized based on inherent risks of the insurer’s assets and liabilities and its mix of net written premium. Insurers falling below a calculated threshold may be subject to varying degrees of regulatory action. As of December 31, 2025 and 2024, the total adjusted capital of PSIC, PESIC, and FIA were in excess of their respective prescribed risk-based capital requirements.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the Insurance Act and related regulations, our Bermuda reinsurance subsidiary, PSRE, is required to maintain certain solvency and liquidity levels, which it maintained as of December 31, 2025 and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PSRE maintains a Class 3A license and thus must maintain a minimum liquidity ratio in which the value of its relevant assets is not less than 75% of the amount of its relevant liabilities for general business. Relevant assets include cash and cash equivalents, fixed maturity securities, accrued interest income, premiums receivable, losses recoverable from reinsurers, and funds withheld. The relevant liabilities include total general business insurance reserves and total other liabilities, less sundry liabilities. As of December 31, 2025 and 2024, we met the minimum liquidity ratio requirement.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Pursuant to Bermuda regulations, the maximum amount of dividends and return of capital available to be paid by a reinsurer is determined pursuant to a formula. Under this formula, the maximum amount of dividends and return of capital available from PSRE during 2026 is calculated to be approximately $4.5 million. However, this dividend amount is subject to annual enhanced solvency requirement calculations. There were no dividends declared or paid during the years ended December 31, 2025 and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sources of cash flow are written premiums, investment income, reinsurance recoveries, sales and redemptions of investments, and proceeds from offerings of debt and equity securities. We use our cash flows primarily to pay reinsurance premiums, operating expenses, losses and loss adjustment expenses, and 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cash flows from operations may differ substantially from our net income due to non-cash charges or due to changes in balance sheet accounts.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generated positive cash flows from operations for the years ended December 31, 2025 and 2024. Management believes that cash receipts from premium, proceeds from investment sales and redemptions, and investment income and reinsurance recoveries, if necessary, are sufficient to cover cash outflows in the foreseeable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cash flows for the years ended December 31, 2025 and 2024:</w:t>
      </w:r>
    </w:p>
    <w:p>
      <w:pPr>
        <w:pStyle w:val="TextBody"/>
        <w:bidi w:val="0"/>
        <w:spacing w:lineRule="auto" w:line="273"/>
        <w:jc w:val="left"/>
        <w:rPr/>
      </w:pPr>
      <w:r>
        <w:rPr/>
        <w:t> </w:t>
      </w:r>
    </w:p>
    <w:tbl>
      <w:tblPr>
        <w:tblW w:w="7169" w:type="dxa"/>
        <w:jc w:val="left"/>
        <w:tblInd w:w="0" w:type="dxa"/>
        <w:tblLayout w:type="fixed"/>
        <w:tblCellMar>
          <w:top w:w="28" w:type="dxa"/>
          <w:left w:w="28" w:type="dxa"/>
          <w:bottom w:w="28" w:type="dxa"/>
          <w:right w:w="28" w:type="dxa"/>
        </w:tblCellMar>
      </w:tblPr>
      <w:tblGrid>
        <w:gridCol w:w="4396"/>
        <w:gridCol w:w="146"/>
        <w:gridCol w:w="211"/>
        <w:gridCol w:w="841"/>
        <w:gridCol w:w="166"/>
        <w:gridCol w:w="146"/>
        <w:gridCol w:w="211"/>
        <w:gridCol w:w="841"/>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409,121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261,157</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(353,982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(306,244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73,774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cash flow from operating activities has been positive in each of the last two years. 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Cash used in investing activities for each of the last two years related primarily to purchases of fixed income and equity securities in excess of sales and maturities.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Cash used in financing activities for the year ended December 31, 2025 related to $3.8 million in proceeds from stock option exercises, $3.7 million in proceeds from policy holder contributions of surplus and $1.2 million in proceeds from our employee stock purchase plan, offset by share repurchases of $37.3 million. Cash provided by financing activities for the year ended December 31, 2024 related to the receipt of $115.7 million in proceeds from a stock offering, $7.0 million in proceeds from stock option exercises, $2.8 million in proceeds from policy holder contributions of surplus and $0.9 million in proceeds from our employee stock purchase plan, offset by $52.6 million in payments on our FHLB line of credit.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catastrophic loss events. To the extent our future operating cash flows are insufficient to cover our net losses from catastrophic events, we had $1.5 billion in cash and investment securities available at December 31, 2025. We also have the ability to access additional capital through pursuing third-party borrowings including our credit agreements, sales of our equity or debt securities, or entrance into a reinsurance arrangement.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illustrates our contractual obligations and commercial commitments by due date as of December 31, 2025:</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940"/>
        <w:gridCol w:w="146"/>
        <w:gridCol w:w="211"/>
        <w:gridCol w:w="781"/>
        <w:gridCol w:w="146"/>
        <w:gridCol w:w="146"/>
        <w:gridCol w:w="263"/>
        <w:gridCol w:w="975"/>
        <w:gridCol w:w="146"/>
        <w:gridCol w:w="146"/>
        <w:gridCol w:w="345"/>
        <w:gridCol w:w="1278"/>
        <w:gridCol w:w="146"/>
        <w:gridCol w:w="146"/>
        <w:gridCol w:w="375"/>
        <w:gridCol w:w="1205"/>
        <w:gridCol w:w="146"/>
        <w:gridCol w:w="146"/>
        <w:gridCol w:w="290"/>
        <w:gridCol w:w="932"/>
        <w:gridCol w:w="296"/>
      </w:tblGrid>
      <w:tr>
        <w:trPr/>
        <w:tc>
          <w:tcPr>
            <w:tcW w:w="1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One Year to Less Than 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8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Years to Less Than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More Than Five Years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3"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Reserves for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688,231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516,675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62,416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8,217</w:t>
            </w:r>
          </w:p>
        </w:tc>
        <w:tc>
          <w:tcPr>
            <w:tcW w:w="2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517,602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12,804</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reserve for losses and loss adjustment expenses represents management’s estimate of the ultimate cost of settling losses. As more fully discussed in “—Critical Accounting Policies—Reserve for Losses and Loss Adjustment Expenses” below, the estimation of the reserve for losses and loss adjustment expenses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can be significantly different from the amounts disclosed above.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amounts in the above table represent our gross estimates of known liabilities as of December 31, 2025 and do not include any allowance for claims for future events within the time period specified. Accordingly, it is highly likely that the total amounts of obligations paid by us in the time periods shown will be greater than those indicated in the table.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Share Repurchases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July 31, 2025, the Company’s Board of Directors approved a share repurchase program authorizing the repurchase of up to $150 million of the Company’s outstanding common stock through July 31, 2027. 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repurchased 308,417 shares for $37.3 million under this program during the year ended December 31, 2025 and $112.7 million remains available for future repurchases.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December 2021, we entered into a Credit Agreement (the “Credit Agreement”) with U.S. Bank National Association which provides a revolving credit facility of up to $100 million through December 8, 2026. Interest on the credit facility accrues on each SOFR (as defined in the Credit Agreement)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$5.6 million of the borrowing capacity of the Credit Agreement is pledged as collateral and not able to be utilized.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we do not have any outstanding borrowings under the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January 2026, we entered into a new credit agreement that replaced our existing revolving credit facility. The new credit agreement provides for unsecured credit facilities totaling $450 million, comprised of a $150 million revolving facility and a $300 million term loan, each maturing on January 27, 2031.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Borrowings under the new credit agreement bear interest at variable rates based on Term SOFR or an alternate base rate, plus an applicable margin determined by our debt-to-capital ratio. The term loan amortizes quarterly, and borrowings may be prepaid without premium. Obligations under the new credit agreement are guaranteed by certain of our domestic subsidiaries and are unsecured, subject to a negative pledge.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Proceeds from the new credit agreement may be used for general corporate purposes, including permitted acquisitions and the refinancing of existing indebtedness. The new credit agreement contains customary affirmative and negative covenants, including financial covenants, that may limit our operating and financial flexibility.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the Company did not have any borrowings outstanding through the FHLB line of credit.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Stockholders’ Equity</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At December 31, 2025 total stockholders’ equity was $942.7 million and tangible stockholders’ equity was $881.6 million, compared to stockholders’ equity of $729.0 million and tangible stockholders’ equity of $715.8 million as of December 31, 2024. Stockholders’ equity increased primarily due to net income we earned for the period and activity related to stock-based compensation. Stock-based compensation expense is treated as an additional paid-in-capital and increases stockholders’ equity.</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Tangible stockholders’ equity is a non-GAAP financial measure. See “Reconciliation of Non-GAAP Financial Measures” for a reconciliation of stockholders’ equity in accordance with GAAP to tangible stockholders’ equity.</w:t>
      </w:r>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Investment Portfolio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tax-exempt fixed maturities, as well as publicly traded mutual funds and common stock of individual companies. Our cash and invested assets consist of cash and cash equivalents, fixed maturity securities, and equity securities. As of December 31, 2025, the majority of our investment portfolio, or $1.2 billion, was comprised of fixed maturity securities that are classified as available-for-sale and carried at fair value with unrealized gains and losses on these securities, net of applicable taxes, reported as a separate component of accumulated other comprehensive income. Also included in our investment portfolio were $99.3 million of equity securities, $18.6 million of investments in limited partnerships, and $9.9 million of livestock derivative instruments. In addition, we maintained a non-restricted cash and cash equivalent balance of $106.9 million at December 31, 2025. Our fixed maturity securities, including cash equivalents, had a weighted average effective duration of 3.81 and 4.04 years and an average rating of A1/A+ at December 31, 2025 and 2024. Our fixed income investment portfolio had a book yield of 4.83% as of December 31, 2025, compared to 4.59% as of December 31,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At December 31, 2025 and 2024 the amortized cost and fair value on available-for-sale securities were as follows:</w:t>
      </w:r>
    </w:p>
    <w:p>
      <w:pPr>
        <w:pStyle w:val="TextBody"/>
        <w:bidi w:val="0"/>
        <w:spacing w:lineRule="auto" w:line="273"/>
        <w:jc w:val="left"/>
        <w:rPr/>
      </w:pPr>
      <w:r>
        <w:rPr/>
        <w:t> </w:t>
      </w:r>
    </w:p>
    <w:tbl>
      <w:tblPr>
        <w:tblW w:w="9746" w:type="dxa"/>
        <w:jc w:val="left"/>
        <w:tblInd w:w="0" w:type="dxa"/>
        <w:tblLayout w:type="fixed"/>
        <w:tblCellMar>
          <w:top w:w="28" w:type="dxa"/>
          <w:left w:w="28" w:type="dxa"/>
          <w:bottom w:w="28" w:type="dxa"/>
          <w:right w:w="28" w:type="dxa"/>
        </w:tblCellMar>
      </w:tblPr>
      <w:tblGrid>
        <w:gridCol w:w="5196"/>
        <w:gridCol w:w="146"/>
        <w:gridCol w:w="211"/>
        <w:gridCol w:w="931"/>
        <w:gridCol w:w="146"/>
        <w:gridCol w:w="146"/>
        <w:gridCol w:w="211"/>
        <w:gridCol w:w="931"/>
        <w:gridCol w:w="146"/>
        <w:gridCol w:w="146"/>
        <w:gridCol w:w="207"/>
        <w:gridCol w:w="813"/>
        <w:gridCol w:w="516"/>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606,748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9594" w:type="dxa"/>
        <w:jc w:val="left"/>
        <w:tblInd w:w="0" w:type="dxa"/>
        <w:tblLayout w:type="fixed"/>
        <w:tblCellMar>
          <w:top w:w="28" w:type="dxa"/>
          <w:left w:w="28" w:type="dxa"/>
          <w:bottom w:w="28" w:type="dxa"/>
          <w:right w:w="28" w:type="dxa"/>
        </w:tblCellMar>
      </w:tblPr>
      <w:tblGrid>
        <w:gridCol w:w="5196"/>
        <w:gridCol w:w="146"/>
        <w:gridCol w:w="241"/>
        <w:gridCol w:w="899"/>
        <w:gridCol w:w="146"/>
        <w:gridCol w:w="146"/>
        <w:gridCol w:w="211"/>
        <w:gridCol w:w="781"/>
        <w:gridCol w:w="146"/>
        <w:gridCol w:w="146"/>
        <w:gridCol w:w="207"/>
        <w:gridCol w:w="813"/>
        <w:gridCol w:w="516"/>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36"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30,283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492,395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475,491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tables provide the credit quality of investment securities as of December 31, 2025 and 2024:</w:t>
      </w:r>
    </w:p>
    <w:p>
      <w:pPr>
        <w:pStyle w:val="TextBody"/>
        <w:bidi w:val="0"/>
        <w:spacing w:lineRule="auto" w:line="273"/>
        <w:jc w:val="left"/>
        <w:rPr/>
      </w:pPr>
      <w:r>
        <w:rPr/>
        <w:t> </w:t>
      </w:r>
    </w:p>
    <w:tbl>
      <w:tblPr>
        <w:tblW w:w="4354" w:type="dxa"/>
        <w:jc w:val="left"/>
        <w:tblInd w:w="0" w:type="dxa"/>
        <w:tblLayout w:type="fixed"/>
        <w:tblCellMar>
          <w:top w:w="28" w:type="dxa"/>
          <w:left w:w="28" w:type="dxa"/>
          <w:bottom w:w="28" w:type="dxa"/>
          <w:right w:w="28" w:type="dxa"/>
        </w:tblCellMar>
      </w:tblPr>
      <w:tblGrid>
        <w:gridCol w:w="1741"/>
        <w:gridCol w:w="146"/>
        <w:gridCol w:w="211"/>
        <w:gridCol w:w="931"/>
        <w:gridCol w:w="146"/>
        <w:gridCol w:w="146"/>
        <w:gridCol w:w="146"/>
        <w:gridCol w:w="571"/>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143,223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411,484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318,324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297,191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CCC &amp; Below</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4232" w:type="dxa"/>
        <w:jc w:val="left"/>
        <w:tblInd w:w="0" w:type="dxa"/>
        <w:tblLayout w:type="fixed"/>
        <w:tblCellMar>
          <w:top w:w="28" w:type="dxa"/>
          <w:left w:w="28" w:type="dxa"/>
          <w:bottom w:w="28" w:type="dxa"/>
          <w:right w:w="28" w:type="dxa"/>
        </w:tblCellMar>
      </w:tblPr>
      <w:tblGrid>
        <w:gridCol w:w="1741"/>
        <w:gridCol w:w="146"/>
        <w:gridCol w:w="217"/>
        <w:gridCol w:w="803"/>
        <w:gridCol w:w="146"/>
        <w:gridCol w:w="146"/>
        <w:gridCol w:w="146"/>
        <w:gridCol w:w="571"/>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9"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130,161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254,890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236,855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10,614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CCC &amp; Below</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amortized cost and fair value of our available-for-sale investments in fixed maturity securities summarized by contractual maturity as of December 31, 2025 were as follows:</w:t>
      </w:r>
    </w:p>
    <w:p>
      <w:pPr>
        <w:pStyle w:val="TextBody"/>
        <w:bidi w:val="0"/>
        <w:spacing w:lineRule="auto" w:line="273"/>
        <w:jc w:val="left"/>
        <w:rPr/>
      </w:pPr>
      <w:r>
        <w:rPr/>
        <w:t> </w:t>
      </w:r>
    </w:p>
    <w:tbl>
      <w:tblPr>
        <w:tblW w:w="7501" w:type="dxa"/>
        <w:jc w:val="left"/>
        <w:tblInd w:w="0" w:type="dxa"/>
        <w:tblLayout w:type="fixed"/>
        <w:tblCellMar>
          <w:top w:w="28" w:type="dxa"/>
          <w:left w:w="28" w:type="dxa"/>
          <w:bottom w:w="28" w:type="dxa"/>
          <w:right w:w="28" w:type="dxa"/>
        </w:tblCellMar>
      </w:tblPr>
      <w:tblGrid>
        <w:gridCol w:w="3151"/>
        <w:gridCol w:w="146"/>
        <w:gridCol w:w="211"/>
        <w:gridCol w:w="931"/>
        <w:gridCol w:w="146"/>
        <w:gridCol w:w="146"/>
        <w:gridCol w:w="211"/>
        <w:gridCol w:w="931"/>
        <w:gridCol w:w="146"/>
        <w:gridCol w:w="146"/>
        <w:gridCol w:w="207"/>
        <w:gridCol w:w="813"/>
        <w:gridCol w:w="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62,232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62,241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267,553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267,430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226,631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229,466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ten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113,073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109,012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Mortgage and 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Expected maturities may differ from contractual maturities because borrowers may have the right to call or prepay obligations. See “Critical Accounting Policies and Estimates- Investment Valuation and Fair Value” for discussion of investment valuation considerations.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discussion of our accounting policies, see the Notes to Consolidated Financial Statements included in this Annual Report on Form 10-K.</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Reserve for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reserve for losses and loss adjustment expenses represents our estimate of the unpaid portion of the ultimate cost of all reported and unreported losses and loss adjustment expenses as of the balance sheet date. We do not discount this reserve. We seek to establish reserves that will ultimately prove to be adequate.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categorize our reserves for unpaid losses and loss adjustment expenses into two types: case reserves and reserves for incurred but not yet reported losses (“IBNR”). Through our third-party administrators (“TPAs”), we generally are notified of losses by our insureds or their agents or brokers. Based on the information provided by the TPAs, we establish initial case reserves by estimating the ultimate losses from the claim, including administrative costs associated with the ultimate settlement of the claim. Our personnel use their knowledge of the specific claim along with internal and external experts, including underwriters and legal counsel, to estimate the expected ultimate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establish IBNR reserves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 We use statistical analysis to estimate the cost of losses and loss adjustment expenses related to IBNR. Those estimates are based on our historical information, industry information and practices, and estimates of trends that may affect the ultimate frequency of incurred but not reported claims and changes in ultimate claims severity.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regularly review our reserve estimates and adjust them as necessary as experience develops or as new information becomes known to us. Such adjustments are included in current operations. During the loss settlement period,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 Even after such adjustments, the ultimate liability may exceed or be less than the revised estimates. Accordingly, the ultimate settlement of losses and the related loss adjustment expenses may vary significantly from the estimate included in our consolidated financial statements.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summarize our gross and net reserves for unpaid losses and loss adjustment expenses at December 31, 2025 and 2024.</w:t>
      </w:r>
    </w:p>
    <w:p>
      <w:pPr>
        <w:pStyle w:val="TextBody"/>
        <w:bidi w:val="0"/>
        <w:spacing w:lineRule="auto" w:line="273"/>
        <w:jc w:val="left"/>
        <w:rPr/>
      </w:pPr>
      <w:r>
        <w:rPr/>
        <w:t> </w:t>
      </w:r>
    </w:p>
    <w:tbl>
      <w:tblPr>
        <w:tblW w:w="8993"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07"/>
        <w:gridCol w:w="813"/>
        <w:gridCol w:w="271"/>
        <w:gridCol w:w="146"/>
        <w:gridCol w:w="211"/>
        <w:gridCol w:w="781"/>
        <w:gridCol w:w="146"/>
        <w:gridCol w:w="146"/>
        <w:gridCol w:w="207"/>
        <w:gridCol w:w="813"/>
        <w:gridCol w:w="7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5"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Loss</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Loss</w:t>
            </w:r>
            <w:r>
              <w:rPr>
                <w:rFonts w:ascii="Times New Roman" w:hAnsi="Times New Roman"/>
                <w:color w:val="000000"/>
                <w:sz w:val="20"/>
              </w:rPr>
              <w:t xml:space="preserve"> </w:t>
            </w:r>
            <w:r>
              <w:rPr>
                <w:rFonts w:ascii="Times New Roman" w:hAnsi="Times New Roman"/>
                <w:b/>
                <w:color w:val="000000"/>
                <w:sz w:val="20"/>
              </w:rPr>
              <w:t>Adjustment</w:t>
            </w:r>
            <w:r>
              <w:rPr>
                <w:rFonts w:ascii="Times New Roman" w:hAnsi="Times New Roman"/>
                <w:color w:val="000000"/>
                <w:sz w:val="20"/>
              </w:rPr>
              <w:t xml:space="preserve"> </w:t>
            </w:r>
            <w:r>
              <w:rPr>
                <w:rFonts w:ascii="Times New Roman" w:hAnsi="Times New Roman"/>
                <w:b/>
                <w:color w:val="000000"/>
                <w:sz w:val="20"/>
              </w:rPr>
              <w:t>Reserves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5" w:type="dxa"/>
            <w:gridSpan w:val="14"/>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7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Case reserves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182,051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w:t>
            </w:r>
          </w:p>
        </w:tc>
        <w:tc>
          <w:tcPr>
            <w:tcW w:w="7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IBNR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82.2</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reserves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8993"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07"/>
        <w:gridCol w:w="813"/>
        <w:gridCol w:w="271"/>
        <w:gridCol w:w="146"/>
        <w:gridCol w:w="211"/>
        <w:gridCol w:w="781"/>
        <w:gridCol w:w="146"/>
        <w:gridCol w:w="146"/>
        <w:gridCol w:w="207"/>
        <w:gridCol w:w="813"/>
        <w:gridCol w:w="7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5"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Loss</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Loss</w:t>
            </w:r>
            <w:r>
              <w:rPr>
                <w:rFonts w:ascii="Times New Roman" w:hAnsi="Times New Roman"/>
                <w:color w:val="000000"/>
                <w:sz w:val="20"/>
              </w:rPr>
              <w:t xml:space="preserve"> </w:t>
            </w:r>
            <w:r>
              <w:rPr>
                <w:rFonts w:ascii="Times New Roman" w:hAnsi="Times New Roman"/>
                <w:b/>
                <w:color w:val="000000"/>
                <w:sz w:val="20"/>
              </w:rPr>
              <w:t>Adjustment</w:t>
            </w:r>
            <w:r>
              <w:rPr>
                <w:rFonts w:ascii="Times New Roman" w:hAnsi="Times New Roman"/>
                <w:color w:val="000000"/>
                <w:sz w:val="20"/>
              </w:rPr>
              <w:t xml:space="preserve"> </w:t>
            </w:r>
            <w:r>
              <w:rPr>
                <w:rFonts w:ascii="Times New Roman" w:hAnsi="Times New Roman"/>
                <w:b/>
                <w:color w:val="000000"/>
                <w:sz w:val="20"/>
              </w:rPr>
              <w:t>Reserves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5" w:type="dxa"/>
            <w:gridSpan w:val="14"/>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Case reserves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164,665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40,731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w:t>
            </w:r>
          </w:p>
        </w:tc>
        <w:tc>
          <w:tcPr>
            <w:tcW w:w="7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IBNR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reserves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The process of estimating the reserves for losses and loss adjustment expenses requires a high degree of judgment and is subject to several variables. On a quarterly basis, we perform an analysis of our loss development and select the expected ultimate loss ratio for each of our product lines by exposure period. In our actuarial analysis, we use input from our TPAs and our underwriting departments, including premium pricing assumptions and historical experience.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and incurred loss experience,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industry loss experience, and changes in market conditions, policy forms, exclusions, and exposures. The actuarial methods used to estimate loss reserves are: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pPr>
      <w:r>
        <w:rPr>
          <w:rFonts w:ascii="Times New Roman" w:hAnsi="Times New Roman"/>
          <w:i/>
          <w:color w:val="000000"/>
          <w:sz w:val="20"/>
        </w:rPr>
        <w:t>Reported and/or Paid Loss Development Methods</w:t>
      </w:r>
      <w:r>
        <w:rPr>
          <w:color w:val="000000"/>
        </w:rPr>
        <w:t>—</w:t>
      </w:r>
      <w:r>
        <w:rPr>
          <w:rFonts w:ascii="Times New Roman" w:hAnsi="Times New Roman"/>
          <w:color w:val="000000"/>
          <w:sz w:val="20"/>
        </w:rPr>
        <w:t>Ultimate losses are estimated based on historical reported and/or paid loss patterns. Reported losses are the sum of paid and case losses. Industry development patterns are substituted for historical development patterns when sufficient historical data is not available.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pPr>
      <w:r>
        <w:rPr>
          <w:rFonts w:ascii="Times New Roman" w:hAnsi="Times New Roman"/>
          <w:i/>
          <w:color w:val="000000"/>
          <w:sz w:val="20"/>
        </w:rPr>
        <w:t>IBNR-to-Case Reserve Ratio Method</w:t>
      </w:r>
      <w:r>
        <w:rPr>
          <w:color w:val="000000"/>
        </w:rPr>
        <w:t>—</w:t>
      </w:r>
      <w:r>
        <w:rPr>
          <w:rFonts w:ascii="Times New Roman" w:hAnsi="Times New Roman"/>
          <w:color w:val="000000"/>
          <w:sz w:val="20"/>
        </w:rPr>
        <w:t>This method calculates ratios of IBNR to case reserves based on incurred and paid development factors from the development methods. Estimated IBNR equals the product of case reserves and the IBNR-to-case reserve ratio. These IBNR amounts are added to the reported-to-date amount to derive ultimate losses.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pPr>
      <w:r>
        <w:rPr>
          <w:rFonts w:ascii="Times New Roman" w:hAnsi="Times New Roman"/>
          <w:i/>
          <w:color w:val="000000"/>
          <w:sz w:val="20"/>
        </w:rPr>
        <w:t>Reported Bornhuetter-Ferguson Severity Method</w:t>
      </w:r>
      <w:r>
        <w:rPr>
          <w:color w:val="000000"/>
        </w:rPr>
        <w:t>—</w:t>
      </w:r>
      <w:r>
        <w:rPr>
          <w:rFonts w:ascii="Times New Roman" w:hAnsi="Times New Roman"/>
          <w:color w:val="000000"/>
          <w:sz w:val="20"/>
        </w:rPr>
        <w:t>Under this method, ultimate losses are estimated as the sum of cumulative reported losses and estimated IBNR losses. IBNR losses are estimated based on expected average severity, estimated ultimate claim counts and the historical development patterns of reported losses.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pPr>
      <w:r>
        <w:rPr>
          <w:rFonts w:ascii="Times New Roman" w:hAnsi="Times New Roman"/>
          <w:i/>
          <w:color w:val="000000"/>
          <w:sz w:val="20"/>
        </w:rPr>
        <w:t>Reported Bornhuetter Ferguson Pure Premium Method</w:t>
      </w:r>
      <w:r>
        <w:rPr>
          <w:color w:val="000000"/>
        </w:rPr>
        <w:t>—</w:t>
      </w:r>
      <w:r>
        <w:rPr>
          <w:rFonts w:ascii="Times New Roman" w:hAnsi="Times New Roman"/>
          <w:color w:val="000000"/>
          <w:sz w:val="20"/>
        </w:rPr>
        <w:t>Under this method, ultimate losses are estimated as the sum of cumulative reported losses and estimated IBNR losses. IBNR losses are estimated based on expected pure premium and on the historical development patterns of reported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method(s) used vary based on the line of business and the nature of the loss event. Development patterns for catastrophic events are based on the time since event versus an accident quarter and year pattern used for non-catastrophic events. Considering each of the alternative ultimate estimates, we select an estimate of ultimate loss for each line of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 Adjustment Expense reserves are estimated based on the ratio of paid loss adjustment expense to paid loss, which is estimated separately by line of business as well as split by hurricane and excluding hurricane. We then apply this ratio to our estimated unpaid loss, by multiplying the ratio times 50% of loss case reserves and 100% of loss IBNR reserves. This is applied by line of business and accident year to arrive at estimated unpaid loss adjustment expense on a gross basis. We then add the estimated unpaid loss adjustment expense on a gross basis to the paid loss adjustment expense to calculate estimated ultimate loss adjustment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 quarterly basis, the leaders of our executive management, accounting, actuarial, and claims teams meet to review the recommendations made by our actuarial team and use their best judgment to determine the best estimate to be recorded for the reserve for losses and loss adjustment expenses on our balance sheet.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table below quantifies the impact of potential reserve deviations from our carried reserve at December 31, 2025. We applied sensitivity factors to incurred losses for the three most recent accident years and to the carried reserve for all prior accident years combined. We believe that potential changes such as these would not have a material impact on our liquidity.</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146"/>
        <w:gridCol w:w="912"/>
        <w:gridCol w:w="146"/>
        <w:gridCol w:w="343"/>
        <w:gridCol w:w="799"/>
        <w:gridCol w:w="297"/>
        <w:gridCol w:w="146"/>
        <w:gridCol w:w="322"/>
        <w:gridCol w:w="1193"/>
        <w:gridCol w:w="146"/>
        <w:gridCol w:w="146"/>
        <w:gridCol w:w="253"/>
        <w:gridCol w:w="940"/>
        <w:gridCol w:w="146"/>
        <w:gridCol w:w="146"/>
        <w:gridCol w:w="236"/>
        <w:gridCol w:w="827"/>
        <w:gridCol w:w="166"/>
        <w:gridCol w:w="146"/>
        <w:gridCol w:w="340"/>
        <w:gridCol w:w="1023"/>
        <w:gridCol w:w="219"/>
      </w:tblGrid>
      <w:tr>
        <w:trPr/>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Ultimate LLAE</w:t>
            </w:r>
          </w:p>
        </w:tc>
        <w:tc>
          <w:tcPr>
            <w:tcW w:w="29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0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3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Potential Impact on 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Sensitivity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Sensitivity</w:t>
              <w:br/>
              <w:t>Factor</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Ultimate Incurred LLAE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Net LLAE 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Pre</w:t>
              <w:noBreakHyphen/>
              <w:t>tax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673" w:type="dxa"/>
            <w:gridSpan w:val="2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Times New Roman" w:hAnsi="Times New Roman"/>
                <w:b/>
                <w:color w:val="000000"/>
                <w:sz w:val="16"/>
              </w:rPr>
              <w:t>($ in</w:t>
            </w:r>
            <w:r>
              <w:rPr>
                <w:rFonts w:ascii="Times New Roman" w:hAnsi="Times New Roman"/>
                <w:color w:val="000000"/>
                <w:sz w:val="16"/>
              </w:rPr>
              <w:t xml:space="preserve"> </w:t>
            </w:r>
            <w:r>
              <w:rPr>
                <w:rFonts w:ascii="Times New Roman" w:hAnsi="Times New Roman"/>
                <w:b/>
                <w:color w:val="000000"/>
                <w:sz w:val="16"/>
              </w:rPr>
              <w:t>thousands)</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Sample increases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w:t>
            </w:r>
          </w:p>
        </w:tc>
        <w:tc>
          <w:tcPr>
            <w:tcW w:w="2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172,451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9,810</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123,548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57,717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2,440</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Prior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2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289,058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45,790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2,284</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Sample decreases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172,451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(9,810</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123,548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57,717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(2,440</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2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289,058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45,790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(2,284</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Effective tax rate estimated to be 21%</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present the development of our loss reserves by accident year on a gross basis and net of reinsurance recoveries during each of the below calendar years:</w:t>
      </w:r>
    </w:p>
    <w:p>
      <w:pPr>
        <w:pStyle w:val="TextBody"/>
        <w:bidi w:val="0"/>
        <w:spacing w:lineRule="auto" w:line="273"/>
        <w:jc w:val="left"/>
        <w:rPr/>
      </w:pPr>
      <w:r>
        <w:rPr/>
        <w:t> </w:t>
      </w:r>
    </w:p>
    <w:tbl>
      <w:tblPr>
        <w:tblW w:w="10888" w:type="dxa"/>
        <w:jc w:val="left"/>
        <w:tblInd w:w="0" w:type="dxa"/>
        <w:tblLayout w:type="fixed"/>
        <w:tblCellMar>
          <w:top w:w="28" w:type="dxa"/>
          <w:left w:w="28" w:type="dxa"/>
          <w:bottom w:w="28" w:type="dxa"/>
          <w:right w:w="28" w:type="dxa"/>
        </w:tblCellMar>
      </w:tblPr>
      <w:tblGrid>
        <w:gridCol w:w="856"/>
        <w:gridCol w:w="146"/>
        <w:gridCol w:w="211"/>
        <w:gridCol w:w="781"/>
        <w:gridCol w:w="146"/>
        <w:gridCol w:w="146"/>
        <w:gridCol w:w="211"/>
        <w:gridCol w:w="781"/>
        <w:gridCol w:w="146"/>
        <w:gridCol w:w="146"/>
        <w:gridCol w:w="211"/>
        <w:gridCol w:w="781"/>
        <w:gridCol w:w="146"/>
        <w:gridCol w:w="146"/>
        <w:gridCol w:w="211"/>
        <w:gridCol w:w="571"/>
        <w:gridCol w:w="146"/>
        <w:gridCol w:w="146"/>
        <w:gridCol w:w="211"/>
        <w:gridCol w:w="781"/>
        <w:gridCol w:w="146"/>
        <w:gridCol w:w="146"/>
        <w:gridCol w:w="211"/>
        <w:gridCol w:w="736"/>
        <w:gridCol w:w="166"/>
        <w:gridCol w:w="146"/>
        <w:gridCol w:w="211"/>
        <w:gridCol w:w="736"/>
        <w:gridCol w:w="166"/>
        <w:gridCol w:w="146"/>
        <w:gridCol w:w="211"/>
        <w:gridCol w:w="736"/>
        <w:gridCol w:w="21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5" w:type="dxa"/>
            <w:gridSpan w:val="3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 Ultimate Loss and LAE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8" w:type="dxa"/>
            <w:gridSpan w:val="1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Calendar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Development- (Favorable) 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Accident</w:t>
            </w:r>
            <w:r>
              <w:rPr>
                <w:rFonts w:ascii="Times New Roman" w:hAnsi="Times New Roman"/>
                <w:color w:val="000000"/>
                <w:sz w:val="20"/>
              </w:rPr>
              <w:t xml:space="preserve"> </w:t>
            </w: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FIA</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 to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 to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to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5" w:type="dxa"/>
            <w:gridSpan w:val="3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651,669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615,869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599,103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596,360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(8,012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334,520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308,049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294,978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(13,098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537,646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503,769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(35,649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658,007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(56,759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10618" w:type="dxa"/>
        <w:jc w:val="left"/>
        <w:tblInd w:w="0" w:type="dxa"/>
        <w:tblLayout w:type="fixed"/>
        <w:tblCellMar>
          <w:top w:w="28" w:type="dxa"/>
          <w:left w:w="28" w:type="dxa"/>
          <w:bottom w:w="28" w:type="dxa"/>
          <w:right w:w="28" w:type="dxa"/>
        </w:tblCellMar>
      </w:tblPr>
      <w:tblGrid>
        <w:gridCol w:w="856"/>
        <w:gridCol w:w="146"/>
        <w:gridCol w:w="211"/>
        <w:gridCol w:w="781"/>
        <w:gridCol w:w="146"/>
        <w:gridCol w:w="146"/>
        <w:gridCol w:w="211"/>
        <w:gridCol w:w="781"/>
        <w:gridCol w:w="146"/>
        <w:gridCol w:w="146"/>
        <w:gridCol w:w="211"/>
        <w:gridCol w:w="781"/>
        <w:gridCol w:w="146"/>
        <w:gridCol w:w="146"/>
        <w:gridCol w:w="211"/>
        <w:gridCol w:w="571"/>
        <w:gridCol w:w="166"/>
        <w:gridCol w:w="146"/>
        <w:gridCol w:w="211"/>
        <w:gridCol w:w="781"/>
        <w:gridCol w:w="146"/>
        <w:gridCol w:w="146"/>
        <w:gridCol w:w="211"/>
        <w:gridCol w:w="571"/>
        <w:gridCol w:w="146"/>
        <w:gridCol w:w="146"/>
        <w:gridCol w:w="211"/>
        <w:gridCol w:w="631"/>
        <w:gridCol w:w="166"/>
        <w:gridCol w:w="146"/>
        <w:gridCol w:w="211"/>
        <w:gridCol w:w="736"/>
        <w:gridCol w:w="21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05" w:type="dxa"/>
            <w:gridSpan w:val="3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 Ultimate Loss and LAE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8" w:type="dxa"/>
            <w:gridSpan w:val="1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Calendar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Development- (Favorable) 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Accident</w:t>
            </w:r>
            <w:r>
              <w:rPr>
                <w:rFonts w:ascii="Times New Roman" w:hAnsi="Times New Roman"/>
                <w:color w:val="000000"/>
                <w:sz w:val="20"/>
              </w:rPr>
              <w:t xml:space="preserve"> </w:t>
            </w: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FIA</w:t>
              <w:b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 to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 to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 to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05" w:type="dxa"/>
            <w:gridSpan w:val="3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218,202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220,431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219,724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224,670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70,346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68,015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64,388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137,850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123,548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This column includes the acquired FIA balances. As the FIA acquisition occurred on January 1, 2025, these balances are excluded from the 2023-2024 development calculations.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During the year ended December 31, 2025, our total gross incurred losses for accident years 2024 and prior developed favorably by $56.8 million. The gross favorable development was due primarily to lower than anticipated severity of attritional losses in our Inland Marine and Other Property line of business. On a net basis, the development was favorable by $19.8 million due to the same reason.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the year ended December 31, 2024, our total gross incurred losses for accident years 2023 and prior developed favorably by $43.2 million. The gross favorable development was due primarily to lower than anticipated severity of attritional losses in our Inland Marine and Other Property line of business. On a net basis, the development was favorable by $3.0 million due to the same reason.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the year ended December 31, 2023, our total gross incurred losses for accident years 2022 and prior developed favorably by $35.8 million. The gross favorable development was due primarily to lower than anticipated severity of catastrophe losses, offset by higher than anticipated severity of attritional losses. On a net basis, the development was unfavorable by $2.2 million due to the effect of ceding gross favorable development under our catastrophe XOL reinsurance program and due to unfavorable development on lines of business subject to lower amounts of ceding.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included in our financial statements. We regularly review our estimates and adjust them as necessary as experience develops or as new information becomes known to us. Such adjustments are included in the results of current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Investment Valuation and Fair Value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invest in a variety of investment grade fixed maturity securities, including U.S. government issues, state government issues, mortgage and asset-backed obligations, and corporate bonds. All of our investments in fixed maturity securities and equity securities are carried at fair value, defined as the price that we would receive upon selling an investment in an orderly transaction to an independent buyer in the principal or most advantageous market of the investment. Market participants are assumed to be independent, knowledgeable, able and willing to transact an exchange and not acting under duress.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our disclosure of the fair value of our investments, we utilize a hierarchy based on the quality of inputs used to measure fair value. The hierarchy gives the highest priority to unadjusted quoted prices in active markets for identical assets or liabilities (Level 1 measurements) and the lowest priority to unobservable inputs (Level 3 measurements). Adjustments to transaction prices or quoted market prices may be required in illiquid or disorderly markets in order to estimate fair value. The three levels of the fair value hierarchy are described below: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1—Unadjusted quoted prices are available in active markets for identical investments as of the reporting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3—Pricing inputs into models are unobservable for the investment. The unobservable inputs require significant management judgment or estimation.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use independent pricing sources to obtain the estimated fair values of investments. The fair value is based on quoted market prices, where available. In cases where quoted market prices are not available, the fair value is based on a variety of valuation techniques depending on the type of investment. The fair values obtained from independent pricing sources are reviewed for reasonableness and any discrepancies are investigated for final valuation.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fair value of our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These fair value measurements are estimated based on observable, objectively verifiable market information rather than market quotes; therefore, these investments are classified and disclosed in Level 2 of the hierarchy.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fair value of our investments in equity securities is based on quoted prices available in active markets and classified and disclosed in Level 1 of the hierarchy.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Investment securities are subject to fluctuations in fair value due to changes in issuer-specific circumstances, such as credit rating, and changes in industry-specific circumstances, such as movements in credit spreads based on the market’s perception of industry risks. In addition, fixed maturities are subject to fluctuations in fair value due to changes in interest rates. As a result of these potential fluctuations, it is possible to have significant unrealized gains or losses on a security. Unrealized gains and losses on our fixed maturity securities are included in accumulated other comprehensive income as a separate component of total stockholders’ equity. Equity securities are carried at fair value with unrealized gains and losses included as a component of net income on the Company’s consolidated statement of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financial assets, including available-for-sale securities are required to be presented at the net amount expected to be collected by means of an allowance for credit losses that is included in net income. Credit losses relating to available-for-sale debt securities are also required to be recorded through a reversible allowance for credit losses, but the allowance is limited to the amount by which fair value is less than amortized cost.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reviews all securities with unrealized losses on a regular basis to assess whether the decline in the securities fair value necessitates the recognition of an allowance for credit losses. Factors considered in the review include the extent to which the fair value has been less than amortized cost, and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issuer to make scheduled interest or principal payments, and the payment structure of the investment and the issuers ability to make contractual payments on the investment.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also considers whether it intends to sell the security or if it is more likely than not that it will be required to sell the security before recovery of its amortized cost. When assessing whether it intends to sell a fixed-maturity security or if it is likely to be required to sell a fixed-maturity security before recovery of its amortized cost, the Company evaluates facts and circumstances including, but not limited to, decisions to reposition the investment portfolio, potential sales of investments to meet cash flow needs, and potential sales of investments to capitalize on favorable pricing.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income based on the fair value of the security at the time of assessment. For fixed-maturity securities that the Company has the intent and ability to hold, the Company compares the estimated present value of the cash flows expected to be collected to the amortized cost of the security. The extent to which the estimated present value of the cash flows expected to be collected is less than the amortized cost of the security represents the credit-related portion of the impairment, which is recognized in net income through an allowance for credit losses. Any remaining decline in fair value represents the noncredit portion of the impairment, which is recognized in other comprehensive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reports accrued interest receivable as a component of accrued investment income on its consolidated balance sheet which is presented separately from available-for-sale securities. The Company does not measure an allowance for credit losses on accrued interest receivable and instead would write off accrued interest receivable at the time an issuer defaults or is expected to default on payments.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also invests a small portion of its portfolio in limited partnerships, which are classified as other investments on its consolidated balance sheet. These investments are measured at estimated fair value utilizing a net asset value per share (or its equivalent) as a practical expedient.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Deferred 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account for taxes under the asset and liability method, under which we record deferred income taxes as assets or liabilities on our balance sheet to reflect the net tax effect of the temporary differences between the carrying amount of assets and liabilities for financial reporting purposes and their respective tax bases. Deferred tax assets and liabilities are measured by applying enacted tax rates in effect for the years in which such differences are expected to reverse.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deferred tax assets result from temporary differences primarily attributable to unearned premiums, state net operating losses (“NOLs”), loss reserves and deferred compensation. Our deferred tax liabilities result primarily from deferred acquisition costs, internally developed software, and unrealized gains in the investment portfolio.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recognize deferred tax assets when we determine that such assets are more-likely-than-not to be realized in future periods. In making such a determination, we consider all available evidence, including future reversals of existing taxable temporary differences, tax-planning strategies, projected future taxable income, projected future tax rates, and results of recent operations. On a quarterly basis, we review our deferred tax assets and, if we determine that it is more likely than not that some portion or all of the deferred tax assets will not be realized, we reduce our deferred tax asset with a valuation allowance. The assessment requires significant judgement and review of all positive and negative evidence to reach a conclusion that it is more likely than not that all or some of portion of the deferred tax asset will not be realized.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assessing the need for a deferred tax asset valuation allowance, we are required to make certain judgments and assumptions about our future operations based on historical experience and information regarding reversals of existing temporary differences, carryback capacity, and future taxable income. As of December 31, 2025, we had a net capital deferred tax liability of $3.3 million, compared to a net capital deferred tax asset of $5.3 million as of December 31,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we had a valuation allowance of $3.3 million relating to our state net operating loss carryforwards and the remainder of our deferred tax assets did not require a valuation allowance.</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See “Note 2—Recent Accounting Pronouncements” in the Notes to Consolidated Financial Statements included in this Annual Report on Form 10-K for a discussion of accounting pronouncements recently adopted and recently issued accounting pronouncements not yet adopted and their potential impact to our financial statements.</w:t>
      </w:r>
    </w:p>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pStyle w:val="TextBody"/>
        <w:bidi w:val="0"/>
        <w:spacing w:lineRule="auto" w:line="273" w:before="200" w:after="283"/>
        <w:jc w:val="left"/>
        <w:rPr>
          <w:rFonts w:ascii="Times New Roman" w:hAnsi="Times New Roman"/>
          <w:sz w:val="20"/>
        </w:rPr>
      </w:pPr>
      <w:bookmarkStart w:id="15" w:name="item_7a_quantitative_and_qualitative"/>
      <w:bookmarkEnd w:id="15"/>
      <w:r>
        <w:rPr>
          <w:rFonts w:ascii="Times New Roman" w:hAnsi="Times New Roman"/>
          <w:b/>
          <w:color w:val="000000"/>
          <w:sz w:val="20"/>
        </w:rPr>
        <w:t>Item 7A.</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We do not have material exposure to foreign currency exchange rate risk or commodity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Credit risk is the potential loss resulting from adverse changes in an issuer’s ability to repay its debt obligations. General concern exists about the number of municipalities experiencing financial difficulties in light of the adverse economic conditions experienced over the past several years. We manage the exposure to credit risk in our municipal bond portfolio by investing in high quality securities and by diversifying our holdings, which are typically either general obligation or revenue bonds related to essential products and services. We manage the exposure to credit risk in our corporate bond portfolio by investing in high quality securities and by diversifying our holdings.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71.3% rated “A−” or better. At December 31, 2025, 4.4%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manage our exposure to interest rate risk through a disciplined asset/liability matching and capital management process. In the management of this risk, the characteristics of duration, credit and variability of cash flows are critical elements. We regularly assess these risks and balance them within the context of our liability and capital position.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the estimated fair value of our fixed maturities was $1.2 billion. We estimate that a 100-basis point increase in interest rates would cause a 3.8% decline in the estimated fair value of our fixed maturities portfolio, while a 100-basis point decrease in interest rates would cause a 3.85% increase in the estimated fair value of that portfolio. The selected scenarios are not predictions of future events, but rather illustrate the effect that such events may have on the fair value of our fixed maturities portfolio.</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Equity Price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Equity risk represents the potential economic losses due to adverse changes in equity security prices. As of December 31, 2025, the estimated fair value of our equity securities was $99.3 million. Our equity securities consist primarily of exchange traded funds which seek to track the performance of the broader U.S. stock market. Therefore, the fair value of our equity securities will fluctuate with the value of the overall U.S. stock market and a large decline in the value of the U.S. stock market would cause a corresponding decline in the value of our equity securities.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Inflation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establish our insurance premiums prior to knowing the amount of losses and loss adjustment expenses or the extent to which inflation may affect such amounts. We attempt to anticipate the potential impact of inflation in our pricing and our establishing of reserves for losses and loss adjustment expenses. Inflation in excess of the levels we have assumed could cause losses and loss adjustment expenses to be higher than we anticipated. Inflation assumptions also impact our reinsurance costs and the amount of reinsurance we must purchase to meet certain thresholds and higher inflation assumptions cause our reinsurance costs to increase.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Substantial future increases in inflation could also result in future increases in interest rates, which in turn are likely to result in a decline in the market value of the investment portfolio and cause unrealized losses or reductions in total stockholders’ equity.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Seasonality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Inland Marine and Other Property line of business exposes us to claims from seasonal weather events such as hurricanes and windstorms. The occurrence of such events typically increases between June and November of each year. As a result, we may experience increased losses in our Inland Marine and Other Property line of business during this period. We also write and earn the majority of our Crop premiums during the third quarter of each year.</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16" w:name="item_8_financial_statements"/>
      <w:bookmarkEnd w:id="16"/>
      <w:r>
        <w:rPr>
          <w:rFonts w:ascii="Times New Roman" w:hAnsi="Times New Roman"/>
          <w:b/>
          <w:color w:val="000000"/>
          <w:sz w:val="20"/>
        </w:rPr>
        <w:t>Item 8: Financial Statements</w:t>
      </w:r>
      <w:r>
        <w:rPr>
          <w:rFonts w:ascii="Times New Roman" w:hAnsi="Times New Roman"/>
          <w:color w:val="000000"/>
          <w:sz w:val="20"/>
        </w:rPr>
        <w:t xml:space="preserve"> </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9739"/>
        <w:gridCol w:w="466"/>
      </w:tblGrid>
      <w:tr>
        <w:trPr/>
        <w:tc>
          <w:tcPr>
            <w:tcW w:w="97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Index to Audited Consolidated Financial Statements of Palomar Holdings,</w:t>
            </w:r>
            <w:r>
              <w:rPr>
                <w:rFonts w:ascii="Times New Roman" w:hAnsi="Times New Roman"/>
                <w:color w:val="000000"/>
                <w:sz w:val="20"/>
              </w:rPr>
              <w:t xml:space="preserve"> </w:t>
            </w:r>
            <w:r>
              <w:rPr>
                <w:rFonts w:ascii="Times New Roman" w:hAnsi="Times New Roman"/>
                <w:b/>
                <w:color w:val="000000"/>
                <w:sz w:val="20"/>
              </w:rPr>
              <w:t>Inc. and Subsidiaries as of</w:t>
            </w:r>
            <w:r>
              <w:rPr>
                <w:rFonts w:ascii="Times New Roman" w:hAnsi="Times New Roman"/>
                <w:color w:val="000000"/>
                <w:sz w:val="20"/>
              </w:rPr>
              <w:t xml:space="preserve"> </w:t>
            </w:r>
            <w:r>
              <w:rPr>
                <w:rFonts w:ascii="Times New Roman" w:hAnsi="Times New Roman"/>
                <w:b/>
                <w:color w:val="000000"/>
                <w:sz w:val="20"/>
              </w:rPr>
              <w:t>December 31, 2025 and 2024 and for each of the Three Years Ended December 31, 2025, 2024 and 2023</w:t>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42)</w:t>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i/>
                <w:color w:val="000000"/>
                <w:sz w:val="20"/>
              </w:rPr>
            </w:pPr>
            <w:r>
              <w:rPr>
                <w:rFonts w:ascii="Times New Roman" w:hAnsi="Times New Roman"/>
                <w:i/>
                <w:color w:val="000000"/>
                <w:sz w:val="20"/>
              </w:rPr>
              <w:t>Consolidated Financial Statements</w:t>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ind w:left="0" w:right="0" w:firstLine="200"/>
              <w:jc w:val="left"/>
              <w:rPr/>
            </w:pPr>
            <w:hyperlink w:anchor="condensed_consolidated_balance_sheets">
              <w:r>
                <w:rPr>
                  <w:rStyle w:val="InternetLink"/>
                  <w:rFonts w:ascii="Times New Roman" w:hAnsi="Times New Roman"/>
                  <w:color w:val="0000FF"/>
                  <w:sz w:val="20"/>
                  <w:u w:val="single"/>
                </w:rPr>
                <w:t>Consolidated Balance Sheets as of December 31, 2025 and 2024</w:t>
              </w:r>
            </w:hyperlink>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ind w:left="0" w:right="0" w:firstLine="200"/>
              <w:jc w:val="left"/>
              <w:rPr/>
            </w:pPr>
            <w:hyperlink w:anchor="consolidated_statements_of_income">
              <w:r>
                <w:rPr>
                  <w:rStyle w:val="InternetLink"/>
                  <w:rFonts w:ascii="Times New Roman" w:hAnsi="Times New Roman"/>
                  <w:color w:val="0000FF"/>
                  <w:sz w:val="20"/>
                  <w:u w:val="single"/>
                </w:rPr>
                <w:t>Consolidated Statements of Income and Comprehensive Income for the three years ended December 31, 2025, 2024 and 2023</w:t>
              </w:r>
            </w:hyperlink>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ind w:left="0" w:right="0" w:firstLine="200"/>
              <w:jc w:val="left"/>
              <w:rPr/>
            </w:pPr>
            <w:hyperlink w:anchor="statements_of_equity">
              <w:r>
                <w:rPr>
                  <w:rStyle w:val="InternetLink"/>
                  <w:rFonts w:ascii="Times New Roman" w:hAnsi="Times New Roman"/>
                  <w:color w:val="0000FF"/>
                  <w:sz w:val="20"/>
                  <w:u w:val="single"/>
                </w:rPr>
                <w:t>Consolidated Statements of Stockholders’ Equity for the three years ended December 31, 2025, 2024 and 2023</w:t>
              </w:r>
            </w:hyperlink>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ind w:left="0" w:right="0" w:firstLine="200"/>
              <w:jc w:val="left"/>
              <w:rPr/>
            </w:pPr>
            <w:hyperlink w:anchor="statement_of_cash_flows">
              <w:r>
                <w:rPr>
                  <w:rStyle w:val="InternetLink"/>
                  <w:rFonts w:ascii="Times New Roman" w:hAnsi="Times New Roman"/>
                  <w:color w:val="0000FF"/>
                  <w:sz w:val="20"/>
                  <w:u w:val="single"/>
                </w:rPr>
                <w:t>Consolidated Statements of Cash Flows for the three years ended December 31, 2025, 2024 and 2023</w:t>
              </w:r>
            </w:hyperlink>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jc w:val="left"/>
              <w:rPr/>
            </w:pPr>
            <w:hyperlink w:anchor="notes_to_consolidated_financial_stmt">
              <w:r>
                <w:rPr>
                  <w:rStyle w:val="InternetLink"/>
                  <w:rFonts w:ascii="Times New Roman" w:hAnsi="Times New Roman"/>
                  <w:color w:val="0000FF"/>
                  <w:sz w:val="20"/>
                  <w:u w:val="single"/>
                </w:rPr>
                <w:t>Notes to Consolidated Financial Statements</w:t>
              </w:r>
            </w:hyperlink>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financial_information">
              <w:r>
                <w:rPr>
                  <w:rStyle w:val="InternetLink"/>
                  <w:rFonts w:ascii="Times New Roman" w:hAnsi="Times New Roman"/>
                  <w:color w:val="0000FF"/>
                  <w:sz w:val="20"/>
                  <w:u w:val="single"/>
                </w:rPr>
                <w:t>Schedule II—Condensed Financial Information of Registrant—Parent Company only</w:t>
              </w:r>
            </w:hyperlink>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w:t>
            </w:r>
          </w:p>
        </w:tc>
      </w:tr>
      <w:tr>
        <w:trPr/>
        <w:tc>
          <w:tcPr>
            <w:tcW w:w="9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739" w:type="dxa"/>
            <w:tcBorders/>
            <w:tcMar>
              <w:top w:w="0" w:type="dxa"/>
              <w:left w:w="0" w:type="dxa"/>
              <w:bottom w:w="0" w:type="dxa"/>
              <w:right w:w="0" w:type="dxa"/>
            </w:tcMar>
            <w:vAlign w:val="center"/>
          </w:tcPr>
          <w:p>
            <w:pPr>
              <w:pStyle w:val="TableContents"/>
              <w:bidi w:val="0"/>
              <w:spacing w:lineRule="auto" w:line="252" w:before="0" w:after="283"/>
              <w:jc w:val="left"/>
              <w:rPr/>
            </w:pPr>
            <w:hyperlink w:anchor="valuation_and_qualifying_accounts">
              <w:r>
                <w:rPr>
                  <w:rStyle w:val="InternetLink"/>
                  <w:rFonts w:ascii="Times New Roman" w:hAnsi="Times New Roman"/>
                  <w:color w:val="0000FF"/>
                  <w:sz w:val="20"/>
                  <w:u w:val="single"/>
                </w:rPr>
                <w:t>Schedule V—Valuation and Qualifying Accounts</w:t>
              </w:r>
            </w:hyperlink>
          </w:p>
        </w:tc>
        <w:tc>
          <w:tcPr>
            <w:tcW w:w="46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Schedules other than those listed are omitted for the reason that they are not required, are not applicable or that equivalent information has been included in the financial statements or notes thereto or elsewhere herein.</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17" w:name="report_of_independent_registered"/>
      <w:bookmarkEnd w:id="17"/>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the Stockholders and the Board of Directors of Palomar Holdings, Inc.</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We have audited Palomar Holdings,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Palomar Holdings, Inc. and subsidiaries (the Company) maintained, in all material respects, effective internal control over financial reporting as of December 31, 2025, based on the COSO criteria.</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As indicated in the accompanying Management’s Report on Internal Control Over Financial Reporting, management’s assessment of and conclusion on the effectiveness of internal control over financial reporting did not include the internal controls of FIA or PCIS, which are included in the 2025 consolidated financial statements of the Company and together constituted 5% and 3% of total and net assets, respectively, as of December 31, 2025 and 3% and 1% of total revenues and net income, respectively, for the year then ended. Our audit of internal control over financial reporting of the Company also did not include an evaluation of the internal control over financial reporting of FIA or PCIS.</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2025 and 2024, the related consolidated statements of income and comprehensive income, stockholders’ equity and cash flows for each of the three years in the period ended December 31, 2025, and the related notes and financial statement schedules listed in the Index at Item 15(a) and our report dated February 24, 2026 expressed an unqualified opinion thereon.</w:t>
      </w:r>
    </w:p>
    <w:p>
      <w:pPr>
        <w:pStyle w:val="TextBody"/>
        <w:bidi w:val="0"/>
        <w:spacing w:lineRule="auto" w:line="273" w:before="18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73" w:before="180" w:after="283"/>
        <w:jc w:val="left"/>
        <w:rPr>
          <w:rFonts w:ascii="Times New Roman" w:hAnsi="Times New Roman"/>
          <w:sz w:val="20"/>
        </w:rPr>
      </w:pPr>
      <w:r>
        <w:rPr>
          <w:rFonts w:ascii="Times New Roman" w:hAnsi="Times New Roman"/>
          <w:b/>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February 24, 2026</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the Stockholders and the Board of Directors of Palomar Holdings, Inc.</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Palomar Holdings, Inc. and subsidiaries (the Company) as of December 31, 2025 and 2024, the related consolidated statements of income and comprehensive income, stockholders’ equity and cash flows for each of the three years in the period ended December 31, 2025,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73"/>
        <w:jc w:val="left"/>
        <w:rPr/>
      </w:pPr>
      <w:r>
        <w:rPr/>
        <w:t> </w:t>
      </w:r>
    </w:p>
    <w:tbl>
      <w:tblPr>
        <w:tblW w:w="5517" w:type="dxa"/>
        <w:jc w:val="left"/>
        <w:tblInd w:w="0" w:type="dxa"/>
        <w:tblLayout w:type="fixed"/>
        <w:tblCellMar>
          <w:top w:w="28" w:type="dxa"/>
          <w:left w:w="28" w:type="dxa"/>
          <w:bottom w:w="28" w:type="dxa"/>
          <w:right w:w="28" w:type="dxa"/>
        </w:tblCellMar>
      </w:tblPr>
      <w:tblGrid>
        <w:gridCol w:w="161"/>
        <w:gridCol w:w="5356"/>
      </w:tblGrid>
      <w:tr>
        <w:trPr/>
        <w:tc>
          <w:tcPr>
            <w:tcW w:w="161" w:type="dxa"/>
            <w:tcBorders/>
            <w:vAlign w:val="center"/>
          </w:tcPr>
          <w:p>
            <w:pPr>
              <w:pStyle w:val="TableContents"/>
              <w:bidi w:val="0"/>
              <w:spacing w:before="0" w:after="283"/>
              <w:jc w:val="left"/>
              <w:rPr>
                <w:sz w:val="4"/>
                <w:szCs w:val="4"/>
              </w:rPr>
            </w:pPr>
            <w:r>
              <w:rPr>
                <w:sz w:val="4"/>
                <w:szCs w:val="4"/>
              </w:rPr>
            </w:r>
          </w:p>
        </w:tc>
        <w:tc>
          <w:tcPr>
            <w:tcW w:w="53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i/>
                <w:color w:val="000000"/>
                <w:sz w:val="20"/>
              </w:rPr>
            </w:pPr>
            <w:r>
              <w:rPr>
                <w:rFonts w:ascii="Times New Roman" w:hAnsi="Times New Roman"/>
                <w:b/>
                <w:i/>
                <w:color w:val="000000"/>
                <w:sz w:val="20"/>
              </w:rPr>
              <w:t>Valuation of Reserve for Losses and Loss Adjustment Expenses</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278"/>
        <w:gridCol w:w="8927"/>
      </w:tblGrid>
      <w:tr>
        <w:trPr/>
        <w:tc>
          <w:tcPr>
            <w:tcW w:w="1278" w:type="dxa"/>
            <w:tcBorders/>
            <w:vAlign w:val="center"/>
          </w:tcPr>
          <w:p>
            <w:pPr>
              <w:pStyle w:val="TableContents"/>
              <w:bidi w:val="0"/>
              <w:spacing w:before="0" w:after="283"/>
              <w:jc w:val="left"/>
              <w:rPr>
                <w:sz w:val="4"/>
                <w:szCs w:val="4"/>
              </w:rPr>
            </w:pPr>
            <w:r>
              <w:rPr>
                <w:sz w:val="4"/>
                <w:szCs w:val="4"/>
              </w:rPr>
            </w:r>
          </w:p>
        </w:tc>
        <w:tc>
          <w:tcPr>
            <w:tcW w:w="8927"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278" w:type="dxa"/>
            <w:tcBorders/>
            <w:tcMar>
              <w:top w:w="0" w:type="dxa"/>
              <w:left w:w="0" w:type="dxa"/>
              <w:bottom w:w="0" w:type="dxa"/>
              <w:right w:w="0" w:type="dxa"/>
            </w:tcMar>
            <w:vAlign w:val="center"/>
          </w:tcPr>
          <w:p>
            <w:pPr>
              <w:pStyle w:val="TableContents"/>
              <w:bidi w:val="0"/>
              <w:spacing w:lineRule="auto" w:line="252"/>
              <w:ind w:left="0" w:right="0" w:firstLine="180"/>
              <w:jc w:val="left"/>
              <w:rPr>
                <w:rFonts w:ascii="Times New Roman" w:hAnsi="Times New Roman"/>
                <w:i/>
                <w:color w:val="000000"/>
                <w:sz w:val="20"/>
              </w:rPr>
            </w:pPr>
            <w:r>
              <w:rPr>
                <w:rFonts w:ascii="Times New Roman" w:hAnsi="Times New Roman"/>
                <w:i/>
                <w:color w:val="000000"/>
                <w:sz w:val="20"/>
              </w:rPr>
              <w:t>Description of</w:t>
            </w:r>
          </w:p>
          <w:p>
            <w:pPr>
              <w:pStyle w:val="TableContents"/>
              <w:bidi w:val="0"/>
              <w:spacing w:lineRule="auto" w:line="252" w:before="0" w:after="283"/>
              <w:ind w:left="0" w:right="0" w:firstLine="180"/>
              <w:jc w:val="left"/>
              <w:rPr>
                <w:rFonts w:ascii="Times New Roman" w:hAnsi="Times New Roman"/>
                <w:i/>
                <w:color w:val="000000"/>
                <w:sz w:val="20"/>
              </w:rPr>
            </w:pPr>
            <w:r>
              <w:rPr>
                <w:rFonts w:ascii="Times New Roman" w:hAnsi="Times New Roman"/>
                <w:i/>
                <w:color w:val="000000"/>
                <w:sz w:val="20"/>
              </w:rPr>
              <w:t>the Matter</w:t>
            </w:r>
          </w:p>
        </w:tc>
        <w:tc>
          <w:tcPr>
            <w:tcW w:w="892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At December 31, 2025, the reserve for losses and loss adjustment expenses (LAE) is $688,231 (in thousands). As explained in Notes 2 and 10 to the consolidated financial statements, the reserve for losses and LAE represents management’s best estimate for unpaid claims and claim adjustment expenses on reported losses and estimates of losses incurred but not reported (IBNR), net of salvage and subrogation recoveries. The liability is based on individual claims, case reserves and other estimates reported by policyholders, as well as management estimates of ultimate losses and loss adjustment expenses. Inherent in the estimates of ultimate losses and loss adjustment expenses are expected trends in claims severity and frequency and other factors that could vary significantly as claims are settled. IBNR reserves include an estimate for future loss payments on incurred claims not yet reported and for expected development on reported claims. There is significant uncertainty inherent in determining management’s best estimate of IBNR, which is sensitive to significant assumptions including the selection of actuarial methods and reported and paid loss emergence patterns.</w:t>
            </w:r>
          </w:p>
        </w:tc>
      </w:tr>
    </w:tbl>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271"/>
        <w:gridCol w:w="8934"/>
      </w:tblGrid>
      <w:tr>
        <w:trPr/>
        <w:tc>
          <w:tcPr>
            <w:tcW w:w="1271" w:type="dxa"/>
            <w:tcBorders/>
            <w:vAlign w:val="center"/>
          </w:tcPr>
          <w:p>
            <w:pPr>
              <w:pStyle w:val="TableContents"/>
              <w:bidi w:val="0"/>
              <w:spacing w:before="0" w:after="283"/>
              <w:jc w:val="left"/>
              <w:rPr>
                <w:sz w:val="4"/>
                <w:szCs w:val="4"/>
              </w:rPr>
            </w:pPr>
            <w:r>
              <w:rPr>
                <w:sz w:val="4"/>
                <w:szCs w:val="4"/>
              </w:rPr>
            </w:r>
          </w:p>
        </w:tc>
        <w:tc>
          <w:tcPr>
            <w:tcW w:w="8934" w:type="dxa"/>
            <w:tcBorders/>
            <w:vAlign w:val="center"/>
          </w:tcPr>
          <w:p>
            <w:pPr>
              <w:pStyle w:val="TableContents"/>
              <w:bidi w:val="0"/>
              <w:spacing w:before="0" w:after="283"/>
              <w:jc w:val="left"/>
              <w:rPr>
                <w:sz w:val="4"/>
                <w:szCs w:val="4"/>
              </w:rPr>
            </w:pPr>
            <w:r>
              <w:rPr>
                <w:sz w:val="4"/>
                <w:szCs w:val="4"/>
              </w:rPr>
            </w:r>
          </w:p>
        </w:tc>
      </w:tr>
      <w:tr>
        <w:trPr/>
        <w:tc>
          <w:tcPr>
            <w:tcW w:w="12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34" w:type="dxa"/>
            <w:tcBorders/>
            <w:tcMar>
              <w:top w:w="0" w:type="dxa"/>
              <w:left w:w="0" w:type="dxa"/>
              <w:bottom w:w="0" w:type="dxa"/>
              <w:right w:w="0" w:type="dxa"/>
            </w:tcMar>
            <w:vAlign w:val="center"/>
          </w:tcPr>
          <w:p>
            <w:pPr>
              <w:pStyle w:val="TableContents"/>
              <w:bidi w:val="0"/>
              <w:spacing w:lineRule="auto" w:line="252" w:before="200" w:after="200"/>
              <w:ind w:left="0" w:right="0" w:firstLine="180"/>
              <w:jc w:val="left"/>
              <w:rPr>
                <w:rFonts w:ascii="Times New Roman" w:hAnsi="Times New Roman"/>
                <w:color w:val="000000"/>
                <w:sz w:val="20"/>
              </w:rPr>
            </w:pPr>
            <w:r>
              <w:rPr>
                <w:rFonts w:ascii="Times New Roman" w:hAnsi="Times New Roman"/>
                <w:color w:val="000000"/>
                <w:sz w:val="20"/>
              </w:rPr>
              <w:t>Auditing management’s best estimate of IBNR reserves was complex due to the highly judgmental nature of the assumptions, including selection of actuarial methods and reported and paid loss emergence patterns, used in the valuation process. These assumptions have a significant effect on the valuation of IBNR reserves.</w:t>
            </w:r>
          </w:p>
        </w:tc>
      </w:tr>
      <w:tr>
        <w:trPr/>
        <w:tc>
          <w:tcPr>
            <w:tcW w:w="1271" w:type="dxa"/>
            <w:tcBorders/>
            <w:tcMar>
              <w:top w:w="0" w:type="dxa"/>
              <w:left w:w="0" w:type="dxa"/>
              <w:bottom w:w="0" w:type="dxa"/>
              <w:right w:w="0" w:type="dxa"/>
            </w:tcMar>
            <w:vAlign w:val="center"/>
          </w:tcPr>
          <w:p>
            <w:pPr>
              <w:pStyle w:val="TableContents"/>
              <w:bidi w:val="0"/>
              <w:spacing w:lineRule="auto" w:line="252"/>
              <w:ind w:left="0" w:right="0" w:firstLine="180"/>
              <w:jc w:val="left"/>
              <w:rPr>
                <w:rFonts w:ascii="Times New Roman" w:hAnsi="Times New Roman"/>
                <w:i/>
                <w:color w:val="000000"/>
                <w:sz w:val="20"/>
              </w:rPr>
            </w:pPr>
            <w:r>
              <w:rPr>
                <w:rFonts w:ascii="Times New Roman" w:hAnsi="Times New Roman"/>
                <w:i/>
                <w:color w:val="000000"/>
                <w:sz w:val="20"/>
              </w:rPr>
              <w:t>How We Addressed the Matter</w:t>
            </w:r>
          </w:p>
          <w:p>
            <w:pPr>
              <w:pStyle w:val="TableContents"/>
              <w:bidi w:val="0"/>
              <w:spacing w:lineRule="auto" w:line="252" w:before="0" w:after="283"/>
              <w:ind w:left="0" w:right="0" w:firstLine="180"/>
              <w:jc w:val="left"/>
              <w:rPr>
                <w:rFonts w:ascii="Times New Roman" w:hAnsi="Times New Roman"/>
                <w:i/>
                <w:color w:val="000000"/>
                <w:sz w:val="20"/>
              </w:rPr>
            </w:pPr>
            <w:r>
              <w:rPr>
                <w:rFonts w:ascii="Times New Roman" w:hAnsi="Times New Roman"/>
                <w:i/>
                <w:color w:val="000000"/>
                <w:sz w:val="20"/>
              </w:rPr>
              <w:t>in Our Audit</w:t>
            </w:r>
          </w:p>
        </w:tc>
        <w:tc>
          <w:tcPr>
            <w:tcW w:w="8934"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 xml:space="preserve">We obtained an understanding, evaluated the design and tested the operating effectiveness of the Company’s controls over the process for estimating IBNR reserves. This included, among other procedures, testing management review controls in place over the review and approval of methods and assumptions used in estimating IBNR reserves. </w:t>
            </w:r>
          </w:p>
          <w:p>
            <w:pPr>
              <w:pStyle w:val="TableContents"/>
              <w:bidi w:val="0"/>
              <w:spacing w:lineRule="auto" w:line="252" w:before="200" w:after="283"/>
              <w:jc w:val="left"/>
              <w:rPr>
                <w:rFonts w:ascii="Times New Roman" w:hAnsi="Times New Roman"/>
                <w:color w:val="000000"/>
                <w:sz w:val="20"/>
              </w:rPr>
            </w:pPr>
            <w:r>
              <w:rPr>
                <w:rFonts w:ascii="Times New Roman" w:hAnsi="Times New Roman"/>
                <w:color w:val="000000"/>
                <w:sz w:val="20"/>
              </w:rPr>
              <w:t>To test IBNR reserves, our audit procedures included, among others, testing the completeness and accuracy of the data used in the calculation by testing reconciliations of the underlying claims and policyholder data recorded in the source systems to the actuarial reserving calculations and comparing a sample of incurred and paid claims to source documentation. With the assistance of our actuarial specialists, we evaluated the Company’s selection of actuarial methods compared to methods used in the industry for the specific types of insurance. To evaluate the significant assumptions used by management, we compared the assumptions to current and historical claims trends and to current industry benchmarks. We compared the Company’s recorded reserves to a range of reasonable reserve estimates developed by our actuarial specialists based on independently selected methods and assumptions. We also compared the results of the reserve study prepared by the Company’s actuarial specialists to management’s recorded reserve. Additionally, we performed a hindsight analysis of the prior period estimates using subsequent claims development.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February 24, 2026</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Part I: FINANCIAL INFORMATION</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shares and par value data)</w:t>
      </w:r>
    </w:p>
    <w:p>
      <w:pPr>
        <w:pStyle w:val="TextBody"/>
        <w:bidi w:val="0"/>
        <w:spacing w:lineRule="auto" w:line="273"/>
        <w:jc w:val="left"/>
        <w:rPr/>
      </w:pPr>
      <w:bookmarkStart w:id="18" w:name="condensed_consolidated_balance_sheets"/>
      <w:bookmarkEnd w:id="18"/>
      <w:r>
        <w:rPr/>
        <w:t> </w:t>
      </w:r>
    </w:p>
    <w:tbl>
      <w:tblPr>
        <w:tblW w:w="10205" w:type="dxa"/>
        <w:jc w:val="left"/>
        <w:tblInd w:w="0" w:type="dxa"/>
        <w:tblLayout w:type="fixed"/>
        <w:tblCellMar>
          <w:top w:w="28" w:type="dxa"/>
          <w:left w:w="28" w:type="dxa"/>
          <w:bottom w:w="28" w:type="dxa"/>
          <w:right w:w="28" w:type="dxa"/>
        </w:tblCellMar>
      </w:tblPr>
      <w:tblGrid>
        <w:gridCol w:w="6963"/>
        <w:gridCol w:w="146"/>
        <w:gridCol w:w="218"/>
        <w:gridCol w:w="967"/>
        <w:gridCol w:w="166"/>
        <w:gridCol w:w="146"/>
        <w:gridCol w:w="218"/>
        <w:gridCol w:w="967"/>
        <w:gridCol w:w="414"/>
      </w:tblGrid>
      <w:tr>
        <w:trPr/>
        <w:tc>
          <w:tcPr>
            <w:tcW w:w="6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Fixed maturity securities available for sale, at fair value (amortized cost: $1,227,605 in 2025; $973,330 in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939,046</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 at fair value (cost: $81,772 in 2025; $32,987 in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40,529</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2,277</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5,863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1,352,023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987,715</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80,438</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8,440</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Premiums receivable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452,908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305,724</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policy acquisition costs,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127,718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94,881</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paid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56,428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47,076</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unpaid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412,273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348,083</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 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355,918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276,237</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91,086</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8,768</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Goodwill and intangible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13,242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3,050,967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2,262,220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115,663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70,079</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Reserve for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688,231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503,382</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988,143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741,692</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 premium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271,413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190,168</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Funds held under reinsurance treaty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27,869</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96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2,108,300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96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1,533,190</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5,000,000 shares authorized, 0 shares issued and outstanding as of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26,520,417 and 26,529,402 shares issued and outstanding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523,168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493,656</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(26,845</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262,216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729,030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3,050,967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2,262,220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Consolidated Statements of Income and Comprehensive Income</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lineRule="auto" w:line="273"/>
        <w:jc w:val="center"/>
        <w:rPr/>
      </w:pPr>
      <w:bookmarkStart w:id="19" w:name="consolidated_statements_of_income"/>
      <w:bookmarkEnd w:id="19"/>
      <w:r>
        <w:rPr/>
        <w:t> </w:t>
      </w:r>
    </w:p>
    <w:tbl>
      <w:tblPr>
        <w:tblW w:w="10205" w:type="dxa"/>
        <w:jc w:val="left"/>
        <w:tblInd w:w="0" w:type="dxa"/>
        <w:tblLayout w:type="fixed"/>
        <w:tblCellMar>
          <w:top w:w="28" w:type="dxa"/>
          <w:left w:w="28" w:type="dxa"/>
          <w:bottom w:w="28" w:type="dxa"/>
          <w:right w:w="28" w:type="dxa"/>
        </w:tblCellMar>
      </w:tblPr>
      <w:tblGrid>
        <w:gridCol w:w="5383"/>
        <w:gridCol w:w="146"/>
        <w:gridCol w:w="211"/>
        <w:gridCol w:w="1036"/>
        <w:gridCol w:w="166"/>
        <w:gridCol w:w="146"/>
        <w:gridCol w:w="211"/>
        <w:gridCol w:w="1036"/>
        <w:gridCol w:w="166"/>
        <w:gridCol w:w="146"/>
        <w:gridCol w:w="211"/>
        <w:gridCol w:w="1036"/>
        <w:gridCol w:w="311"/>
      </w:tblGrid>
      <w:tr>
        <w:trPr/>
        <w:tc>
          <w:tcPr>
            <w:tcW w:w="5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1,141,558</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(1,064,230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(897,111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(731,531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964,022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644,851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410,027</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(64,114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345,913</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23,705</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2,941</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875,967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553,863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375,926</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228,594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134,759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72,592</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217,133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149,657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107,745</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176,458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117,113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88,172</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622,577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402,667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272,284</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253,390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151,196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103,642</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79,201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(losses) on securities available for sale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12,524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91,725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26,639,733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25,520,343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24,822,004</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27,485,250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26,223,842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25,327,091</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sz w:val="20"/>
        </w:rPr>
      </w:pPr>
      <w:r>
        <w:rPr>
          <w:rFonts w:ascii="Times New Roman" w:hAnsi="Times New Roman"/>
          <w:b/>
          <w:color w:val="000000"/>
          <w:sz w:val="20"/>
        </w:rPr>
        <w:t>Consolidated Statements of 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spacing w:lineRule="auto" w:line="273"/>
        <w:jc w:val="center"/>
        <w:rPr/>
      </w:pPr>
      <w:bookmarkStart w:id="20" w:name="statements_of_equity"/>
      <w:bookmarkEnd w:id="20"/>
      <w:r>
        <w:rPr/>
        <w:t> </w:t>
      </w:r>
    </w:p>
    <w:tbl>
      <w:tblPr>
        <w:tblW w:w="10205" w:type="dxa"/>
        <w:jc w:val="left"/>
        <w:tblInd w:w="0" w:type="dxa"/>
        <w:tblLayout w:type="fixed"/>
        <w:tblCellMar>
          <w:top w:w="28" w:type="dxa"/>
          <w:left w:w="28" w:type="dxa"/>
          <w:bottom w:w="28" w:type="dxa"/>
          <w:right w:w="28" w:type="dxa"/>
        </w:tblCellMar>
      </w:tblPr>
      <w:tblGrid>
        <w:gridCol w:w="2335"/>
        <w:gridCol w:w="146"/>
        <w:gridCol w:w="146"/>
        <w:gridCol w:w="916"/>
        <w:gridCol w:w="166"/>
        <w:gridCol w:w="146"/>
        <w:gridCol w:w="277"/>
        <w:gridCol w:w="489"/>
        <w:gridCol w:w="146"/>
        <w:gridCol w:w="146"/>
        <w:gridCol w:w="196"/>
        <w:gridCol w:w="691"/>
        <w:gridCol w:w="166"/>
        <w:gridCol w:w="146"/>
        <w:gridCol w:w="277"/>
        <w:gridCol w:w="939"/>
        <w:gridCol w:w="166"/>
        <w:gridCol w:w="146"/>
        <w:gridCol w:w="196"/>
        <w:gridCol w:w="691"/>
        <w:gridCol w:w="166"/>
        <w:gridCol w:w="146"/>
        <w:gridCol w:w="231"/>
        <w:gridCol w:w="822"/>
        <w:gridCol w:w="313"/>
      </w:tblGrid>
      <w:tr>
        <w:trPr/>
        <w:tc>
          <w:tcPr>
            <w:tcW w:w="2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25,027,467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333,558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384,754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12,524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12,524</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14,913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14,913</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17,080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799</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147,341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1,237</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 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(418,901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(22,266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(22,266</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79,201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24,772,987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350,597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144,643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471,252</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(2,854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(2,854</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16,685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16,685</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in stock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1,380,000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115,724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115,724</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17,100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902</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359,315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6,990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6,990</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 holder contribution to surplus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2,758</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117,573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117,573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26,529,402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493,656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729,030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24,339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24,339</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21,014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21,014</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12,426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1,165</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287,006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3,755</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 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3,719</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Offering costs (related to prior year offering)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(141</w:t>
            </w:r>
          </w:p>
        </w:tc>
        <w:tc>
          <w:tcPr>
            <w:tcW w:w="3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(308,417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(37,284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(37,284</w:t>
            </w:r>
          </w:p>
        </w:tc>
        <w:tc>
          <w:tcPr>
            <w:tcW w:w="3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3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197,070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197,070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26,520,417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523,168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422,002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942,667</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rPr/>
      </w:pPr>
      <w:bookmarkStart w:id="21" w:name="consolidated_statements_of_changes"/>
      <w:bookmarkEnd w:id="21"/>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pPr>
      <w:bookmarkStart w:id="22" w:name="statement_of_cash_flows"/>
      <w:bookmarkStart w:id="23" w:name="condensed_consolidated_scfs"/>
      <w:bookmarkEnd w:id="22"/>
      <w:bookmarkEnd w:id="23"/>
      <w:r>
        <w:rPr/>
        <w:t> </w:t>
      </w:r>
    </w:p>
    <w:tbl>
      <w:tblPr>
        <w:tblW w:w="10193" w:type="dxa"/>
        <w:jc w:val="left"/>
        <w:tblInd w:w="0" w:type="dxa"/>
        <w:tblLayout w:type="fixed"/>
        <w:tblCellMar>
          <w:top w:w="28" w:type="dxa"/>
          <w:left w:w="28" w:type="dxa"/>
          <w:bottom w:w="28" w:type="dxa"/>
          <w:right w:w="28" w:type="dxa"/>
        </w:tblCellMar>
      </w:tblPr>
      <w:tblGrid>
        <w:gridCol w:w="5791"/>
        <w:gridCol w:w="146"/>
        <w:gridCol w:w="196"/>
        <w:gridCol w:w="751"/>
        <w:gridCol w:w="166"/>
        <w:gridCol w:w="146"/>
        <w:gridCol w:w="196"/>
        <w:gridCol w:w="751"/>
        <w:gridCol w:w="166"/>
        <w:gridCol w:w="146"/>
        <w:gridCol w:w="196"/>
        <w:gridCol w:w="751"/>
        <w:gridCol w:w="79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197,070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117,573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79,201</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21,013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16,685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14,913</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8,927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4,503</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Loss on asset disposal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(11,831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(2,941</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 on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Deferred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(2,826</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Accrued investment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(1,505</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Premium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(147,066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(43,752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(99,114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Deferred policy acquisition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(31,175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(33,891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(4,250</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Reinsurance recoverables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(73,542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(118,365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(83,181</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Ceded 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(79,681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(10,429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(61,724</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26,210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(15,704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(24,885</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29,178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15,666</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Reserve for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178,061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161,107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110,860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240,859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144,589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125,789</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Ceded premiums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81,245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35,615</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Funds held under reinsurance treaty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16,981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14,450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2,739</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(7,255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7,255</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Net proceeds from (purchases of) derivative contracts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409,121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261,157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116,106</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Capitalized software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(6,744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Purchases of 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(848,358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(601,410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(233,770</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Purchases of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(55,550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(945</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Purchase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(3,000</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Sales and maturities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614,616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301,847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120,285</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12,956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295</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Change in securities receivable or payable,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950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Investments in limited partnerships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(11,244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(5,485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(58,591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(5,534</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Purchase of policy renewal rights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(353,982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(306,244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(128,478</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Payments on Line of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(52,600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Proceeds from Line of Credit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16,200</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Proceeds from common stock issued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799</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Proceeds from common stock issued via stock option exercises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6,990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1,237</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Policy 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(37,284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(22,266</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Proceeds from stock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115,724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73,774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(3,940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26,353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28,687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(16,312</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68,164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106,892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80,539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51,852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Supplementary cash flow information: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paid for federal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57,961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37,810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20,640</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paid for state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484</w:t>
            </w:r>
          </w:p>
        </w:tc>
        <w:tc>
          <w:tcPr>
            <w:tcW w:w="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3,682</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 summarizes our cash and cash equivalents and restricted cash within the consolidated balance sheets (in thousands):</w:t>
      </w:r>
    </w:p>
    <w:p>
      <w:pPr>
        <w:pStyle w:val="TextBody"/>
        <w:bidi w:val="0"/>
        <w:spacing w:lineRule="auto" w:line="273"/>
        <w:jc w:val="left"/>
        <w:rPr/>
      </w:pPr>
      <w:r>
        <w:rPr/>
        <w:t> </w:t>
      </w:r>
    </w:p>
    <w:tbl>
      <w:tblPr>
        <w:tblW w:w="6960" w:type="dxa"/>
        <w:jc w:val="left"/>
        <w:tblInd w:w="0" w:type="dxa"/>
        <w:tblLayout w:type="fixed"/>
        <w:tblCellMar>
          <w:top w:w="28" w:type="dxa"/>
          <w:left w:w="28" w:type="dxa"/>
          <w:bottom w:w="28" w:type="dxa"/>
          <w:right w:w="28" w:type="dxa"/>
        </w:tblCellMar>
      </w:tblPr>
      <w:tblGrid>
        <w:gridCol w:w="3811"/>
        <w:gridCol w:w="146"/>
        <w:gridCol w:w="268"/>
        <w:gridCol w:w="992"/>
        <w:gridCol w:w="146"/>
        <w:gridCol w:w="146"/>
        <w:gridCol w:w="299"/>
        <w:gridCol w:w="961"/>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80,438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sz w:val="20"/>
        </w:rPr>
      </w:pPr>
      <w:bookmarkStart w:id="24" w:name="notes_to_consolidated_financial_stmt"/>
      <w:bookmarkEnd w:id="24"/>
      <w:r>
        <w:rPr>
          <w:rFonts w:ascii="Times New Roman" w:hAnsi="Times New Roman"/>
          <w:b/>
          <w:color w:val="000000"/>
          <w:sz w:val="20"/>
        </w:rPr>
        <w:t>Notes</w:t>
      </w:r>
      <w:r>
        <w:rPr>
          <w:rFonts w:ascii="Times New Roman" w:hAnsi="Times New Roman"/>
          <w:color w:val="000000"/>
          <w:sz w:val="20"/>
        </w:rPr>
        <w:t xml:space="preserve"> </w:t>
      </w:r>
      <w:r>
        <w:rPr>
          <w:rFonts w:ascii="Times New Roman" w:hAnsi="Times New Roman"/>
          <w:b/>
          <w:color w:val="000000"/>
          <w:sz w:val="20"/>
        </w:rPr>
        <w:t>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 Summary of Operations and Basis of Presentation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Summary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DBA Palomar General Insurance Agency (“PGIA”), and a Delaware incorporated management company, Palomar Underwriters Exchange Organization, Inc. (“PUEO”), that provides services to a Hawaii domiciled reciprocal exchange, Laulima Exchange (“Laulima”), as its attorney-in-fact, a New Jersey domiciled insurance carrier specializing in surety bonds, First Indemnity of America Insurance Co. (“FIA”), and a Delaware-incorporated insurance management company, Palomar Crop Insurance Services, Inc. (“PCIS”).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PSIC is a property and casualty insurance company domiciled in the state of Oregon. PSIC is licensed to underwrite insurance on an admitted basis in 50 states in the United States, as of December 31, 2025, mainly through managing general insurance agencies, wholesale brokers, and independent agents.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PSRE is a Bermuda captive reinsurance company that has historically been used to reinsure certain premiums on a quota share basis exclusively for PSIC.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PESIC is an Arizona domiciled surplus lines insurance company. PESIC is licensed in Arizona to write surplus lines policies across all the Company’s lines of business and was formed and began writing policies in 2020.</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PGIA is a property and casualty general insurance agency for PSIC, PESIC, and unaffiliated insurance carriers. As a general insurance agency, PGIA assists in developing insurance products, underwriting insurance policies, and receiving and disbursing funds from premium and loss transactions under contracts on behalf of insurance companies. PGIA earns commissions from the product development, marketing, and servicing of the insurance companies’ programs. PGIA also earns fee income from policyholder transactions.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PUEO is a Delaware corporation that was formed in 2023 and provides management services to Laulima Exchange (“Laulima”), a Hawaii domiciled reciprocal exchange, as its attorney-in-fact. Laulima was formed in 2023 and is comprised of an unincorporated association of Hawaii homeowners (“subscribers”) that agree to insure one another.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FIA is a New Jersey-domiciled insurance carrier specializing in surety bonds. FIA was founded in 1979 and provides surety bond products across multiple states.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PCIS is a Delaware-incorporated insurance management company. PCIS provides management and related services supporting insurance products for American farmers.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operates as an insurance holding company system and is subject to the insurance holding company laws of the States of Oregon, Arizona, and New Jersey, the states in which PSIC, PESIC, and FIA are domiciled. The Company is also commercially domiciled in California, making it subject to California insurance holding company laws.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Company has a single operating segment, the property and casualty insurance business. The Company’s chief operating decision maker (“CODM”) is the Chief Executive Officer. The CODM reviews the Company’s consolidated net income as reported under GAAP, which is the primary measure of segment profit or loss. The CODM also reviews the individual measures and significant segment expenses that contribute to net income including gross written premiums, net earned premiums, losses and loss adjustment expenses, acquisition and underwriting expenses, and net investment income. The CODM reviews these measures, comparing them to prior periods and forecasted expectations, and makes resource allocation decisions based on the analysis. The significant segment expenses provided to the CODM are consistent with the categories shown in the Company’s Consolidated Statements of Income and Comprehensive Income and there are no other segment items used by the CODM. While the Company’s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CODM also reviews the revenue streams attributable to individual products, operations are managed, resources are allocated, and financial performance is evaluated on a consolidated basis.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U.S. generally accepted accounting principles (“GAAP”) and include the accounts of the Company and its wholly-owned subsidiaries. The consolidated financial statements also include the accounts of Laulima, as Laulima is a variable interest entity (“VIE”) for which the Company is the primary beneficiary. All intercompany balances and transactions have been eliminated in consolidation.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amounts reported in the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consolidated financial statements include, but are not limited to, reserves for losses and loss adjustment expenses, reinsurance recoverables on unpaid losses, and the fair values of investments.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Cash and cash equivalents include time deposits and marketable securities with original maturities of three months or less at acquisition and are stated at cost, which approximates fair value. The Company maintains cash balances in federally insured financial institutions.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Restricted cash includes cash on deposit with reinsurance carriers. Restricted cash also includes cash held in a fiduciary capacity for the benefit of third-party insurance carriers.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of the Company’s investments in fixed maturity securities are classified as available-for-sale and are carried at fair value.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Investment income consists primarily of interest and dividends. Interest income is recognized on an accrual basis. Premiums and discounts on mortgage-backed securities and asset-backed securities are amortized or accrued using the prospective method which considers anticipated prepayments at the date of purchase. To the extent that the estimated lives of such securities change as a result of changes in estimated prepayment rates, the adjustments are included in net investment income using the prospective method. Dividend income is recognized on the ex-dividend date. Net investment income represents investment income, net of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Unrealized gains and losses related to fixed maturity securities are included in accumulated other comprehensive income as a separate component of stockholders’ equity. Equity securities are carried at fair value with unrealized gains and losses included as a component of net income on the Company’s consolidated statement of income and comprehensive income. The Company uses the specific-identification method to determine the cost of fixed maturity securities sold and the first-in, first-out method for lots of equity securities sold. The Company previously held an equity method investment, with gains or losses recognized as a component of realized and unrealized gains or losses on investments. The Company did not hold any equity method investments as of December 31, 2025. The Company also invests a small portion of its portfolio in limited partnerships, which are classified as other investments on the consolidated balance sheet. These investments are measured at estimated fair value utilizing a net asset value per share (or its equivalent) as a practical expedient. Gains or losses from other investments are recognized as a component of realized and unrealized gains or losses on investments in the Company's Statement of Income and Comprehensive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reviews all securities with unrealized losses on a quarterly basis to assess whether the decline in the securities fair value necessitates the recognition of an allowance for credit losses. Factors considered in the review include the extent to which the fair value has been less than amortized cost, and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issuer to make scheduled interest or principal payments, and the payment structure of the investment and the issuers ability to make contractual payments on the investment.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also considers whether it intends to sell the security or if it is more likely than not that it will be required to sell the security before recovery of its amortized cost. When assessing whether it intends to sell a fixed-maturity security or if it is likely to be required to sell a fixed-maturity security before recovery of its amortized cost, the Company evaluates facts and circumstances including, but not limited to, decisions to reposition the investment portfolio, potential sales of investments to meet cash flow needs, and potential sales of investments to capitalize on favorable pricing.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income based on the fair value of the security at the time of assessment. For fixed-maturity securities that the Company has the intent and ability to hold, the Company compares the estimated present value of the cash flows expected to be collected to the amortized cost of the security. The extent to which the estimated present value of the cash flows expected to be collected is less than the amortized cost of the security represents the credit-related portion of the impairment, which is recognized in net income through an allowance for credit losses. Any remaining decline in fair value represents the noncredit portion of the impairment, which is recognized in other comprehensive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reports accrued interest receivable as a component of accrued investment income on its consolidated balance sheet which is presented separately from available-for-sale securities. The Company does not measure an allowance for credit losses on accrued interest receivable and instead would write off accrued interest receivable at the time an issuer defaults or is expected to default on payments.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uses commodity derivatives to manage exposures arising from its insurance business. The Company purchases exchange traded commodity put options which enables the Company to offset potential price changes to the underlying commodities. The Company accounts for its derivatives in accordance with ASC Topic 815, Derivatives and Hedging, which requires all derivatives to be recorded at fair value on the Company’s balance sheet as either assets or liabilities, depending on their rights or obligations, with changes in fair value reflected in current earnings. Derivatives are presented as other assets in the “Other investments” line item on the consolidated balance sheet. Changes in the fair value of derivatives are recognized in “Losses and loss adjustment expenses” on the consolidated statements of income and comprehensive income. Because these fair value changes are non-cash, they are reflected in net income and adjusted within the change in the Reserve for losses and loss adjustment expenses line in the consolidated statements of cash flows. Cash settlements related to derivative instruments are classified within operating activities. While the Company considers these exchange-traded put options to be effective economic hedges, the Company has not elected hedge accounting treatment. The fair value of the Company’s derivatives is estimated by reference to quoted prices or broker quotes, where available, or in the absence of quoted prices of broker quotes, the use of industry or internal valuation models. See Note 4 for further details and required disclosures.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Fair Value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Fair value is defined as the price that the Company would receive upon selling an investment in an orderly transaction to an independent buyer in the principal or most advantageous market of the investment.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three-tier hierarchy of inputs is summarized in the three broad levels listed below: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1—Unadjusted quoted prices are available in active markets for identical investments as of the reporting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2—Pricing inputs are quoted prices for similar investments in active markets; quoted prices for identical or similar investments in inactive markets; or valuation based on models where the significant inputs are observable or can be corroborated by observable market data.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3—Pricing inputs into models are unobservable for the investment. The unobservable inputs require significant management judgment or estimation.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fair value of the Company’s investments in equity securities is based on quoted prices available in active markets and classified and disclosed in Level 1 of the hierarchy.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Variable Interest Entities (“VIE”)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VIE is a legal entity that does not have sufficient equity at risk to finance its activities without additional financial support or is structured such that equity investors lack the ability to make significant decisions relating to the entity’s operations through voting rights or do not participate in the gains and losses of the entity. The Company consolidates VIEs in which the Company is deemed the primary beneficiary. The primary beneficiary is the entity that has both (1) the obligation to absorb losses or the right to receive benefits that could potentially be significant to the VIE and (2) the power to direct the activities of the VIE that most significantly affect that entity’s economic performance.</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cash and cash equivalents, fixed maturity securities and reinsurance recoverables. The Company places its cash and cash equivalents with high credit quality financial institutions and its fixed maturity securities in securities of the U.S. government, U.S. government agencies, and high credit quality issuers of debt securities. The Company evaluates the financial condition of its reinsurers and reinsures its business with highly rated reinsurers and sometimes requires letters of credit or retains funds from reinsurers (see Note 11).</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Premiums Receivable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Premiums receivable represent amounts due from policyholders, insurance agents, or program administrators for policies written. Generally, premiums are collected prior to providing risk coverage, minimizing the Company’s exposure to credit risk. Premiums receivable are short-term in nature and due within a year. The Company has established an allowance for uncollectible premiums related to its credit risk, which it reviews on a quarterly basis and adjusts as appropriate. The company considers the current economic environment, specific regulatory developments, and historic payment and cancelation trends by line of business and location when determining whether to record an allowance for uncollectible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recorded an allowance for uncollectible premiums of $1.1 million as of December 31, 2025 and $0.1 million as of December 31, 2024, respectively, and believes that all other amounts are collectable.</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Gross premiums written are recorded at policy inception and are earned as revenue ratably over the term of the respective policies. Premiums written not yet recognized as revenue are reflected as unearned premiums on the balance sheet, or as advanced premiums if received prior to the policy effective date. Premiums written where cash is not yet received are recognized as premiums receivable.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premium deficiency is recognized if the sum of expected losses and loss adjustment expenses, unamortized acquisition costs, and policy maintenance costs exceeds the remaining unearned premiums. A premium deficiency would first be recognized by charging any unamortized acquisition costs to expense to the extent required to eliminate the deficiency. If the premium deficiency were greater than unamortized acquisition costs, a liability would be accrued for the excess deficiency. The Company does not consider anticipated investment income when determining if a premium deficiency exists. There was no premium deficiency at December 31, 2025 or 2024.</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Deferred Policy Acquisition Costs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costs of successfully acquiring new business, principally commission expense and premium taxes, are deferred and amortized over the terms of the policies in force, net of any ceding commissions or fronting fees and are shown as acquisition expenses in the accompanying consolidated statements of income and comprehensive income.</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is comprised of commissions and fees earned in conjunction with underwriting policies. Commission and fee income is earned at the time the policy is written.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Property and equipment are capitalized and carried at cost less accumulated depreciation. Depreciation for buildings is calculated on a straight-line basis using a useful life of 39 years. Depreciation for computer hardware and equipment and furniture is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calculated on a straight-line basis using useful lives of 3 to 5 years. Leasehold improvements and other fixed assets are capitalized and depreciated over the useful lives of the properties and equipment. Expenditures for maintenance and repairs are charged to operations as incurred. Upon disposition, the asset and related accumulated depreciation are removed from the balance sheet, and the resulting gain or loss is recognized in the Company’s results of operations.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Capitalized Software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Costs associated with the implementation of certain internal systems are capitalized and carried at capitalized cost less accumulated amortization and impairment, if any, and are included as a component of prepaid expenses and other assets on the Company’s consolidated balance sheet. Costs capitalized include internal personnel costs, external developer costs, and interest. The implementation costs relate to systems built on software which the Company purchases under a cloud computing arrangement and accounts for as a service contract. As such, capitalized costs are amortized over the term of the service contract. Capitalized software costs are evaluated for impairment whenever events or changes in circumstances indicate that the carrying amount may not be recoverable.</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Intangible Assets and Goodwill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Intangible assets consist of both finite and indefinite lived assets. Finite lived intangible assets consist primarily of customer relationships which are amortized over a period of 8 years. Indefinite lived intangible assets consist primarily of state licenses acquired upon formation of the Company. Goodwill is recognized as a result of business combinations. Intangible assets and goodwill are initially recognized and measured at fair value and are subsequently evaluated for impairment annually or more frequently if circumstances warrant. No impairments of intangible assets or goodwill were recognized for the years ended December 31, 2025, 2024 or 2023.</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Long-lived assets with finite lives are tested for impairment whenever recognized events or changes in circumstances indicate the carrying value of these assets may not be recoverable. If indicators of impairment are present, the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This assessment is based on the carrying amount of the asset or asset group at the date it is tested for recoverability. An impairment loss is measured as the amount by which the carrying amount of a long-lived asset or asset group exceeds its fair value. No impairments of long-lived assets were recognized for the years ended December 31, 2025, 2024 or 2023.</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Reserve for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reserve for unpaid losses and loss adjustment expenses includes estimates for unpaid claims and claim adjustment expenses on reported losses and estimates of losses incurred but not reported (“IBNR”), net of salvage and subrogation recoveries. The liability is based on individual claims, case reserves and other estimates reported by policyholders, as well as management estimates of ultimate losses and loss adjustment expenses. Inherent in the estimates of ultimate losses and loss adjustment expenses are expected trends in claims severity and frequency and other factors that could vary significantly as claims are settled.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estimates of ultimate losses and loss adjustment expenses are based in part upon the estimation of claims resulting from natural disasters such as hurricanes and earthquakes. Estimation by management of the ultimate losses and loss adjustment expenses resulting from catastrophic events is inherently difficult because of the potential severity of property catastrophe claims. Therefore, the Company uses both proprietary and commercially available models, as well as historic claims experience, for purposes of providing an estimate of ultimate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Reserves for IBNR are established in accordance with industry practice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Ultimate losses and loss adjustment expenses may vary materially from the amounts provided in the consolidated financial statements. Estimates of unpaid losses and loss adjustment expenses are reviewed regularly and, as experience develops and new information becomes known, the liabilities are adjusted as necessary. Such adjustments, if any, are reflected in operations in the period in which they become known and are accounted for as changes in estimates. The Company does not discount its liability for unpaid losses and loss adjustment expenses.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purchases excess of loss and quota share reinsurance to protect it against the impact of losses. The Company also writes premiums under fronting agreements where it cedes the majority of premium and risk to reinsurers in exchange for a fronting fee. Reinsurance premiums, commissions, and ceded unearned premiums are accounted for on bases consistent with the underlying terms of the reinsurance contracts and in proportion to the amount of insurance protection provided. The Company receives ceding commissions and fronting fees in connection with quota share and fronting reinsurance contracts. The ceding commissions and fronting fees are capitalized and amortized as a reduction of acquisition expenses. Amounts applicable to ceded unearned premiums are reported as assets in the accompanying consolidated balance sheets. Premiums earned and losses and loss adjustment expenses incurred are stated in the accompanying consolidated statements of income and comprehensive income net of amounts ceded to reinsurers.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Reinsurance recoverables represent balances due to the Company from its reinsurers for paid and unpaid losses and loss adjustment expenses. The Company is exposed to credit losses from reinsurers being unable to meet their obligations. The Company evaluates the financial condition of potential reinsurers and reinsures its business with highly rated reinsurers with a rating of “A-“ (Excellent) (Outlook Stable) or better from A.M. Best. Reinsurers who do not meet the Company’s rating criteria are required to post collateral. The Company reviews credit quality of its reinsurers on a quarterly basis. The Company’s reinsurance contracts also include special termination provisions that allow the Company to cancel and replace any participating reinsurer that is downgraded below a rating of “A−” from A.M. Best, or whose surplus drops by more than 20%. Historically, the Company has experienced minimal credit losses from reinsurance recoverables and did not have an allowance for uncollectible reinsurance recoverables as of December 31, 2025 or December 31, 2024.</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Stock Based Compensation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Stock-based compensation expense is recognized on a straight-line basis over the vesting period of awards. The Company does not apply a forfeiture rate to unvested awards and accounts for forfeitures as they occur. For stock option grants, the fair value of awards is estimated using the Black Scholes Model. The fair value of restricted stock units is determined using the closing price of the Company’s common stock on the grant date. The fair value of performance stock units containing employee service or company financial performance-based conditions is determined using the closing price of the Company’s common stock on the grant date. The fair value of performance stock units containing conditions based on performance of the Company’s stock is determined using a Monte Carlo simulation. All stock-based compensation is included in other underwriting expenses in the Company’s consolidated statements of income and comprehensive income.</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is taxed as a property/casualty insurer for federal income tax purposes. Deferred income tax assets and liabilities are determined based on the difference between the financial statement and the tax bases of assets and liabilities, using enacted tax rates expected to be in effect during the year in which the basis differences reverse. The effect on deferred taxes of a change in tax rates is recognized in income in the period that includes the enactment date. Valuation allowances are established when necessary to reduce deferred tax assets to the amount expected to be realized.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recognizes the tax benefit of uncertain tax positions where the position is more likely than not to be sustained assuming examination by taxing authorities. Based on its evaluation for the tax years ended December 31, 2025 and 2024, the Company has concluded that there are no significant uncertain tax positions requiring recognition in its financial statements. The Company recognizes interest and penalties related to uncertain tax positions, if any, as a component of income tax expense. The Company has not been assessed interest or penalties by any major tax jurisdictions for the respective tax years ended December 31, 2025, 2024, or 2023.</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Basic earnings per share is calculated by dividing net income by the weighted-average common shares outstanding for the period. Diluted earnings per share reflects the dilution which could occur if equity-based awards are converted into common share equivalents as calculated using the treasury stock method. When inclusion of additional common share equivalents increases the earnings per share or reduces the loss per share, the effect on earnings per share is anti-dilutive, and the diluted net earnings or net loss per share is computed excluding these common share equivalents.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lineRule="auto" w:line="273" w:before="20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(“ASU 2023-09”)</w:t>
      </w:r>
      <w:r>
        <w:rPr>
          <w:rFonts w:ascii="Times New Roman" w:hAnsi="Times New Roman"/>
          <w:color w:val="000000"/>
          <w:sz w:val="20"/>
        </w:rPr>
        <w:t>. ASU 2023-09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2023-09 is effective for public business entities for fiscal years beginning after December 15, 2024. The Company adopted this guidance beginning with the Annual Report on Form 10-K for the year ending December 31, 2025, and retrospectively for the comparative periods presented. The adoption primarily impacted the Company’s income tax disclosures and did not have a material impact on the Company’s consolidated financial statements.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Income Statement Expenses</w:t>
      </w:r>
    </w:p>
    <w:p>
      <w:pPr>
        <w:pStyle w:val="TextBody"/>
        <w:bidi w:val="0"/>
        <w:spacing w:lineRule="auto" w:line="273" w:before="200" w:after="283"/>
        <w:jc w:val="left"/>
        <w:rPr>
          <w:rFonts w:ascii="Times New Roman" w:hAnsi="Times New Roman"/>
          <w:sz w:val="20"/>
        </w:rPr>
      </w:pPr>
      <w:r>
        <w:rPr>
          <w:rFonts w:ascii="Times New Roman" w:hAnsi="Times New Roman"/>
          <w:color w:val="000000"/>
          <w:sz w:val="20"/>
        </w:rPr>
        <w:t xml:space="preserve">In November 2024, the FASB issued ASU No. </w:t>
      </w:r>
      <w:r>
        <w:rPr>
          <w:rFonts w:ascii="Times New Roman" w:hAnsi="Times New Roman"/>
          <w:i/>
          <w:color w:val="000000"/>
          <w:sz w:val="20"/>
        </w:rPr>
        <w:t>2024</w:t>
      </w:r>
      <w:r>
        <w:rPr>
          <w:rFonts w:ascii="Times New Roman" w:hAnsi="Times New Roman"/>
          <w:color w:val="000000"/>
          <w:sz w:val="20"/>
        </w:rPr>
        <w:t>-</w:t>
      </w:r>
      <w:r>
        <w:rPr>
          <w:rFonts w:ascii="Times New Roman" w:hAnsi="Times New Roman"/>
          <w:i/>
          <w:color w:val="000000"/>
          <w:sz w:val="20"/>
        </w:rPr>
        <w:t>03,</w:t>
      </w:r>
      <w:r>
        <w:rPr>
          <w:rFonts w:ascii="Times New Roman" w:hAnsi="Times New Roman"/>
          <w:color w:val="000000"/>
          <w:sz w:val="20"/>
        </w:rPr>
        <w:t xml:space="preserve"> </w:t>
      </w:r>
      <w:r>
        <w:rPr>
          <w:rFonts w:ascii="Times New Roman" w:hAnsi="Times New Roman"/>
          <w:i/>
          <w:color w:val="000000"/>
          <w:sz w:val="20"/>
        </w:rPr>
        <w:t>Disaggregation of Income Statement Expenses (“ASU 2023-03”)</w:t>
      </w:r>
      <w:r>
        <w:rPr>
          <w:rFonts w:ascii="Times New Roman" w:hAnsi="Times New Roman"/>
          <w:color w:val="000000"/>
          <w:sz w:val="20"/>
        </w:rPr>
        <w:t>, which will require 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The Company is currently evaluating the impact the adoption of this standard will have on its consolidated financial statements.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Internal-Use Software</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 Internal-Use Software (Subtopic 350-40) (“ASU 2025-06”)</w:t>
      </w:r>
      <w:r>
        <w:rPr>
          <w:rFonts w:ascii="Times New Roman" w:hAnsi="Times New Roman"/>
          <w:color w:val="000000"/>
          <w:sz w:val="20"/>
        </w:rPr>
        <w:t>, which clarifies and modernizes the accounting for costs related to internal-use software by removing references to project stages and clarifying the probable-to-complete threshold for capitalization when significant development uncertainty exists. ASU 2025-06 is effective for annual reporting periods beginning after December 15, 2027, and interim periods within those annual reporting periods. Early adoption is permitted. The Company is currently evaluating the impact the adoption of this standard will have on its consolidated financial statements.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3.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available</w:t>
        <w:noBreakHyphen/>
        <w:t>for</w:t>
        <w:noBreakHyphen/>
        <w:t>sale investments are summarized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133"/>
        <w:gridCol w:w="146"/>
        <w:gridCol w:w="211"/>
        <w:gridCol w:w="931"/>
        <w:gridCol w:w="146"/>
        <w:gridCol w:w="146"/>
        <w:gridCol w:w="246"/>
        <w:gridCol w:w="790"/>
        <w:gridCol w:w="146"/>
        <w:gridCol w:w="146"/>
        <w:gridCol w:w="230"/>
        <w:gridCol w:w="806"/>
        <w:gridCol w:w="166"/>
        <w:gridCol w:w="146"/>
        <w:gridCol w:w="375"/>
        <w:gridCol w:w="616"/>
        <w:gridCol w:w="146"/>
        <w:gridCol w:w="146"/>
        <w:gridCol w:w="211"/>
        <w:gridCol w:w="931"/>
        <w:gridCol w:w="391"/>
      </w:tblGrid>
      <w:tr>
        <w:trPr/>
        <w:tc>
          <w:tcPr>
            <w:tcW w:w="3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Allowance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for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53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606,748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399"/>
        <w:gridCol w:w="146"/>
        <w:gridCol w:w="213"/>
        <w:gridCol w:w="793"/>
        <w:gridCol w:w="146"/>
        <w:gridCol w:w="146"/>
        <w:gridCol w:w="279"/>
        <w:gridCol w:w="757"/>
        <w:gridCol w:w="146"/>
        <w:gridCol w:w="146"/>
        <w:gridCol w:w="230"/>
        <w:gridCol w:w="806"/>
        <w:gridCol w:w="166"/>
        <w:gridCol w:w="146"/>
        <w:gridCol w:w="302"/>
        <w:gridCol w:w="689"/>
        <w:gridCol w:w="166"/>
        <w:gridCol w:w="146"/>
        <w:gridCol w:w="211"/>
        <w:gridCol w:w="781"/>
        <w:gridCol w:w="391"/>
      </w:tblGrid>
      <w:tr>
        <w:trPr/>
        <w:tc>
          <w:tcPr>
            <w:tcW w:w="3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Allowance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39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for Credit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3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9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269"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3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39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32,806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9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9,778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9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30,283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99"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492,395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475,491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9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394,337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939,046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Security holdings in an unrealized loss position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the Company held 391 fixed maturity securities in an unrealized loss position with a total estimated fair value of $375.4 million and total gross unrealized losses of $19.5 million. As of December 31, 2024, the Company held 595 fixed maturity securities in an unrealized loss position with a total estimated fair value of $664.0 million and total gross unrealized losses of $37.3 million.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aggregate fair value and gross unrealized losses of the Company’s investments aggregated by investment category and the length of time these individual securities have been in a continuous unrealized loss position as of December 31, 2025 and 2024, are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064"/>
        <w:gridCol w:w="146"/>
        <w:gridCol w:w="211"/>
        <w:gridCol w:w="781"/>
        <w:gridCol w:w="146"/>
        <w:gridCol w:w="146"/>
        <w:gridCol w:w="259"/>
        <w:gridCol w:w="777"/>
        <w:gridCol w:w="166"/>
        <w:gridCol w:w="146"/>
        <w:gridCol w:w="211"/>
        <w:gridCol w:w="781"/>
        <w:gridCol w:w="146"/>
        <w:gridCol w:w="146"/>
        <w:gridCol w:w="230"/>
        <w:gridCol w:w="806"/>
        <w:gridCol w:w="166"/>
        <w:gridCol w:w="146"/>
        <w:gridCol w:w="211"/>
        <w:gridCol w:w="781"/>
        <w:gridCol w:w="146"/>
        <w:gridCol w:w="146"/>
        <w:gridCol w:w="230"/>
        <w:gridCol w:w="806"/>
        <w:gridCol w:w="411"/>
      </w:tblGrid>
      <w:tr>
        <w:trPr/>
        <w:tc>
          <w:tcPr>
            <w:tcW w:w="2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584"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5,157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210,743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064"/>
        <w:gridCol w:w="146"/>
        <w:gridCol w:w="211"/>
        <w:gridCol w:w="781"/>
        <w:gridCol w:w="146"/>
        <w:gridCol w:w="146"/>
        <w:gridCol w:w="259"/>
        <w:gridCol w:w="777"/>
        <w:gridCol w:w="166"/>
        <w:gridCol w:w="146"/>
        <w:gridCol w:w="211"/>
        <w:gridCol w:w="781"/>
        <w:gridCol w:w="146"/>
        <w:gridCol w:w="146"/>
        <w:gridCol w:w="230"/>
        <w:gridCol w:w="806"/>
        <w:gridCol w:w="166"/>
        <w:gridCol w:w="146"/>
        <w:gridCol w:w="211"/>
        <w:gridCol w:w="781"/>
        <w:gridCol w:w="146"/>
        <w:gridCol w:w="146"/>
        <w:gridCol w:w="230"/>
        <w:gridCol w:w="806"/>
        <w:gridCol w:w="411"/>
      </w:tblGrid>
      <w:tr>
        <w:trPr/>
        <w:tc>
          <w:tcPr>
            <w:tcW w:w="2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584"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16,507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30,798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181,179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176,531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357,710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(18,349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663,972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reviewed the above securities at each balance sheet date to consider whether it was necessary to recognize a credit loss related to any of these securities. Based on the review, no allowance for credit losses was recorded as of December 31, 2025. An allowance for credit losses of $0.2 million was recorded pertaining to one investment security as of December 31, 2024. For the remaining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Contractual maturities of available</w:t>
      </w:r>
      <w:r>
        <w:rPr>
          <w:rFonts w:ascii="Times New Roman" w:hAnsi="Times New Roman"/>
          <w:color w:val="000000"/>
          <w:sz w:val="20"/>
        </w:rPr>
        <w:noBreakHyphen/>
      </w:r>
      <w:r>
        <w:rPr>
          <w:rFonts w:ascii="Times New Roman" w:hAnsi="Times New Roman"/>
          <w:i/>
          <w:color w:val="000000"/>
          <w:sz w:val="20"/>
        </w:rPr>
        <w:t>for</w:t>
      </w:r>
      <w:r>
        <w:rPr>
          <w:rFonts w:ascii="Times New Roman" w:hAnsi="Times New Roman"/>
          <w:color w:val="000000"/>
          <w:sz w:val="20"/>
        </w:rPr>
        <w:noBreakHyphen/>
      </w:r>
      <w:r>
        <w:rPr>
          <w:rFonts w:ascii="Times New Roman" w:hAnsi="Times New Roman"/>
          <w:i/>
          <w:color w:val="000000"/>
          <w:sz w:val="20"/>
        </w:rPr>
        <w:t>sale fixed maturity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amortized cost and fair value of fixed maturity securities at December 31, 2025, by contractual maturity, are shown below.</w:t>
      </w:r>
    </w:p>
    <w:p>
      <w:pPr>
        <w:pStyle w:val="TextBody"/>
        <w:bidi w:val="0"/>
        <w:spacing w:lineRule="auto" w:line="273"/>
        <w:jc w:val="left"/>
        <w:rPr/>
      </w:pPr>
      <w:r>
        <w:rPr/>
        <w:t> </w:t>
      </w:r>
    </w:p>
    <w:tbl>
      <w:tblPr>
        <w:tblW w:w="6064" w:type="dxa"/>
        <w:jc w:val="left"/>
        <w:tblInd w:w="0" w:type="dxa"/>
        <w:tblLayout w:type="fixed"/>
        <w:tblCellMar>
          <w:top w:w="28" w:type="dxa"/>
          <w:left w:w="28" w:type="dxa"/>
          <w:bottom w:w="28" w:type="dxa"/>
          <w:right w:w="28" w:type="dxa"/>
        </w:tblCellMar>
      </w:tblPr>
      <w:tblGrid>
        <w:gridCol w:w="3151"/>
        <w:gridCol w:w="146"/>
        <w:gridCol w:w="211"/>
        <w:gridCol w:w="931"/>
        <w:gridCol w:w="146"/>
        <w:gridCol w:w="146"/>
        <w:gridCol w:w="211"/>
        <w:gridCol w:w="93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62,232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62,241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267,553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267,430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226,631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229,466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ten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113,073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109,012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Mortgage and 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Expected maturities may differ from contractual maturities because borrowers may have the right to call or prepay obligations.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Change in unrealized gains (losses) of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presents the change in net unrealized gains or losses on fixed maturity securities:</w:t>
      </w:r>
    </w:p>
    <w:p>
      <w:pPr>
        <w:pStyle w:val="TextBody"/>
        <w:bidi w:val="0"/>
        <w:spacing w:lineRule="auto" w:line="273"/>
        <w:jc w:val="left"/>
        <w:rPr/>
      </w:pPr>
      <w:r>
        <w:rPr/>
        <w:t> </w:t>
      </w:r>
    </w:p>
    <w:tbl>
      <w:tblPr>
        <w:tblW w:w="6843" w:type="dxa"/>
        <w:jc w:val="left"/>
        <w:tblInd w:w="0" w:type="dxa"/>
        <w:tblLayout w:type="fixed"/>
        <w:tblCellMar>
          <w:top w:w="28" w:type="dxa"/>
          <w:left w:w="28" w:type="dxa"/>
          <w:bottom w:w="28" w:type="dxa"/>
          <w:right w:w="28" w:type="dxa"/>
        </w:tblCellMar>
      </w:tblPr>
      <w:tblGrid>
        <w:gridCol w:w="3286"/>
        <w:gridCol w:w="146"/>
        <w:gridCol w:w="211"/>
        <w:gridCol w:w="676"/>
        <w:gridCol w:w="146"/>
        <w:gridCol w:w="146"/>
        <w:gridCol w:w="211"/>
        <w:gridCol w:w="631"/>
        <w:gridCol w:w="166"/>
        <w:gridCol w:w="146"/>
        <w:gridCol w:w="211"/>
        <w:gridCol w:w="676"/>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0"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20"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net unrealized gains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increase (decrease)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Net investment income summary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is summarized as follows:</w:t>
      </w:r>
    </w:p>
    <w:p>
      <w:pPr>
        <w:pStyle w:val="TextBody"/>
        <w:bidi w:val="0"/>
        <w:spacing w:lineRule="auto" w:line="273"/>
        <w:jc w:val="left"/>
        <w:rPr/>
      </w:pPr>
      <w:r>
        <w:rPr/>
        <w:t> </w:t>
      </w:r>
    </w:p>
    <w:tbl>
      <w:tblPr>
        <w:tblW w:w="5638" w:type="dxa"/>
        <w:jc w:val="left"/>
        <w:tblInd w:w="0" w:type="dxa"/>
        <w:tblLayout w:type="fixed"/>
        <w:tblCellMar>
          <w:top w:w="28" w:type="dxa"/>
          <w:left w:w="28" w:type="dxa"/>
          <w:bottom w:w="28" w:type="dxa"/>
          <w:right w:w="28" w:type="dxa"/>
        </w:tblCellMar>
      </w:tblPr>
      <w:tblGrid>
        <w:gridCol w:w="1996"/>
        <w:gridCol w:w="146"/>
        <w:gridCol w:w="211"/>
        <w:gridCol w:w="676"/>
        <w:gridCol w:w="166"/>
        <w:gridCol w:w="146"/>
        <w:gridCol w:w="211"/>
        <w:gridCol w:w="676"/>
        <w:gridCol w:w="166"/>
        <w:gridCol w:w="146"/>
        <w:gridCol w:w="211"/>
        <w:gridCol w:w="676"/>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55,164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23,349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Net realized and unrealized investment gains and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presents net realized and unrealized investment gains and losses:</w:t>
      </w:r>
    </w:p>
    <w:p>
      <w:pPr>
        <w:pStyle w:val="TextBody"/>
        <w:bidi w:val="0"/>
        <w:spacing w:lineRule="auto" w:line="273"/>
        <w:jc w:val="left"/>
        <w:rPr/>
      </w:pPr>
      <w:r>
        <w:rPr/>
        <w:t> </w:t>
      </w:r>
    </w:p>
    <w:tbl>
      <w:tblPr>
        <w:tblW w:w="7753" w:type="dxa"/>
        <w:jc w:val="left"/>
        <w:tblInd w:w="0" w:type="dxa"/>
        <w:tblLayout w:type="fixed"/>
        <w:tblCellMar>
          <w:top w:w="28" w:type="dxa"/>
          <w:left w:w="28" w:type="dxa"/>
          <w:bottom w:w="28" w:type="dxa"/>
          <w:right w:w="28" w:type="dxa"/>
        </w:tblCellMar>
      </w:tblPr>
      <w:tblGrid>
        <w:gridCol w:w="4261"/>
        <w:gridCol w:w="146"/>
        <w:gridCol w:w="211"/>
        <w:gridCol w:w="676"/>
        <w:gridCol w:w="166"/>
        <w:gridCol w:w="146"/>
        <w:gridCol w:w="211"/>
        <w:gridCol w:w="631"/>
        <w:gridCol w:w="166"/>
        <w:gridCol w:w="146"/>
        <w:gridCol w:w="211"/>
        <w:gridCol w:w="571"/>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3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3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3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Realized gains: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Gains on sales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Gains on 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realized gains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Realized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on sales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on 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realized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investment gains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on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losses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on other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Realized gains and losses on disposition of investments are based on specific identification of the investments sold on the settlement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Proceeds from the sale of fixed maturity securities were $28.0 million, $6.3 million, and $10.1 million for the years ended December 31, 2025, 2024, and 2023, respectively. For the year ended December 31, 2025, proceeds from the sale of equity securities were $6.4 million. For the years ended December 31, 2024 and 2023, proceeds from the sale of equity securities were immaterial.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places securities on statutory deposit with certain state agencies to retain the right to do business in those states. These securities are included in available</w:t>
        <w:noBreakHyphen/>
        <w:t>for</w:t>
        <w:noBreakHyphen/>
        <w:t>sale investments on the consolidated balance sheets. As of December 31, 2025 and 2024, the carrying value of securities on deposit with state regulatory authorities was $13.5 million and $9.9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investments in limited partnerships, recorded in the Other investments line of the Consolidated Balance Sheets. These investments represent capital contributions to private equity funds structured as limited partnerships, which primarily hold illiquid securities. The funds have a ten-year term with no redemption rights. Capital is contributed as called by the general partners, and distributions are received as proceeds are generated from the underlying investments. These investments are measured at estimated fair value utilizing a net asset value per share (or its equivalent) as a practical expedient. As of December 31, 2025, the Company had unfunded commitments to invest an additional $124.3 million in these limited partnerships.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4. Derivative Instruments</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Beginning in July 2025, the Company began using derivatives as part of its financial risk management program to mitigate price risk on certain insurance contracts exposed to livestock commodity price fluctuations. The Company employs an economic hedging strategy that utilizes derivatives, specifically put options, within its overall risk management framework. The primary objective of holding these derivative instruments is to manage exposure to adverse livestock price movements. The notional value of derivative contracts held and the degree of hedged exposure are actively managed and vary based on volume of business placed. The Company does not use derivatives for speculative or trading purposes. All derivative positions are intended to support the overall risk management objectives of the business. The Company has not elected hedge accounting for these derivatives.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derivative instruments are recorded at fair value on the consolidated balance sheet within “Other investments,” with changes in fair value recognized in earnings in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the notional amount and fair value of the Company’s derivative assets were $16.4 million and $9.9 million, respectively. For the year ended December 31, 2025, the Company recognized $8.6 million of pre-tax net gains related to these derivatives, which were included in earnings within losses and loss adjustment expenses.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See Note 2 for additional discussion of the Company’s derivative instrument policy.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present the Company’s fair value hierarchy for financial assets and liabilities measured at fair value on a recurring basis as of December 31, 2025 and 2024:</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796"/>
        <w:gridCol w:w="146"/>
        <w:gridCol w:w="211"/>
        <w:gridCol w:w="781"/>
        <w:gridCol w:w="146"/>
        <w:gridCol w:w="146"/>
        <w:gridCol w:w="211"/>
        <w:gridCol w:w="931"/>
        <w:gridCol w:w="146"/>
        <w:gridCol w:w="146"/>
        <w:gridCol w:w="271"/>
        <w:gridCol w:w="448"/>
        <w:gridCol w:w="146"/>
        <w:gridCol w:w="146"/>
        <w:gridCol w:w="211"/>
        <w:gridCol w:w="931"/>
        <w:gridCol w:w="392"/>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1"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1,440,346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941"/>
        <w:gridCol w:w="146"/>
        <w:gridCol w:w="211"/>
        <w:gridCol w:w="781"/>
        <w:gridCol w:w="146"/>
        <w:gridCol w:w="146"/>
        <w:gridCol w:w="211"/>
        <w:gridCol w:w="781"/>
        <w:gridCol w:w="146"/>
        <w:gridCol w:w="146"/>
        <w:gridCol w:w="273"/>
        <w:gridCol w:w="451"/>
        <w:gridCol w:w="146"/>
        <w:gridCol w:w="146"/>
        <w:gridCol w:w="211"/>
        <w:gridCol w:w="931"/>
        <w:gridCol w:w="392"/>
      </w:tblGrid>
      <w:tr>
        <w:trPr/>
        <w:tc>
          <w:tcPr>
            <w:tcW w:w="4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9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6"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32,806</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9,778</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26,634</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475,491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475,491</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394,337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394,337</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40,529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40,529</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80,539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939,046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1,060,114</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carrying amounts of financial assets and liabilities reported in the accompanying consolidated balance sheet including cash and cash equivalents, restricted cash, receivables, reinsurance recoverable, and accounts payable and other accrued liabilities approximate fair value due to their short term-maturity. The carrying amount of the Company’s borrowings under the Federal Home Loan Bank (“FHLB”) line of credit approximates fair value as the Company borrows at a rate which is adjusted daily.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6. Policy Acquisition Costs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present the policy acquisition costs deferred and amortized over the terms of the policies in force:</w:t>
      </w:r>
    </w:p>
    <w:p>
      <w:pPr>
        <w:pStyle w:val="TextBody"/>
        <w:bidi w:val="0"/>
        <w:spacing w:lineRule="auto" w:line="273"/>
        <w:jc w:val="left"/>
        <w:rPr/>
      </w:pPr>
      <w:r>
        <w:rPr/>
        <w:t> </w:t>
      </w:r>
    </w:p>
    <w:tbl>
      <w:tblPr>
        <w:tblW w:w="8028" w:type="dxa"/>
        <w:jc w:val="left"/>
        <w:tblInd w:w="0" w:type="dxa"/>
        <w:tblLayout w:type="fixed"/>
        <w:tblCellMar>
          <w:top w:w="28" w:type="dxa"/>
          <w:left w:w="28" w:type="dxa"/>
          <w:bottom w:w="28" w:type="dxa"/>
          <w:right w:w="28" w:type="dxa"/>
        </w:tblCellMar>
      </w:tblPr>
      <w:tblGrid>
        <w:gridCol w:w="3691"/>
        <w:gridCol w:w="146"/>
        <w:gridCol w:w="211"/>
        <w:gridCol w:w="841"/>
        <w:gridCol w:w="166"/>
        <w:gridCol w:w="146"/>
        <w:gridCol w:w="211"/>
        <w:gridCol w:w="841"/>
        <w:gridCol w:w="166"/>
        <w:gridCol w:w="146"/>
        <w:gridCol w:w="211"/>
        <w:gridCol w:w="841"/>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Deferred Policy Acquisition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94,881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56,740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Additions to deferred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Balance acquired from 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Direct commissions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450,161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318,474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220,822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(206,830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(159,925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(123,911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Premium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net additions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260,377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174,040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110,601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net policy acquisition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(106,351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end of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60,990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Acquisition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net policy acquisition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227,540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140,149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106,351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acquisition costs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Acquisition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107,745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7. Intangible Assets and Goodwill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Intangible assets and goodwill consist of the following:</w:t>
      </w:r>
    </w:p>
    <w:p>
      <w:pPr>
        <w:pStyle w:val="TextBody"/>
        <w:bidi w:val="0"/>
        <w:spacing w:lineRule="auto" w:line="273"/>
        <w:jc w:val="left"/>
        <w:rPr/>
      </w:pPr>
      <w:r>
        <w:rPr/>
        <w:t> </w:t>
      </w:r>
    </w:p>
    <w:tbl>
      <w:tblPr>
        <w:tblW w:w="7139" w:type="dxa"/>
        <w:jc w:val="left"/>
        <w:tblInd w:w="0" w:type="dxa"/>
        <w:tblLayout w:type="fixed"/>
        <w:tblCellMar>
          <w:top w:w="28" w:type="dxa"/>
          <w:left w:w="28" w:type="dxa"/>
          <w:bottom w:w="28" w:type="dxa"/>
          <w:right w:w="28" w:type="dxa"/>
        </w:tblCellMar>
      </w:tblPr>
      <w:tblGrid>
        <w:gridCol w:w="4556"/>
        <w:gridCol w:w="146"/>
        <w:gridCol w:w="211"/>
        <w:gridCol w:w="736"/>
        <w:gridCol w:w="166"/>
        <w:gridCol w:w="146"/>
        <w:gridCol w:w="211"/>
        <w:gridCol w:w="676"/>
        <w:gridCol w:w="291"/>
      </w:tblGrid>
      <w:tr>
        <w:trPr/>
        <w:tc>
          <w:tcPr>
            <w:tcW w:w="4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Goodwill from acquisitions: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3,755</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Indefinite-lived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State insurance licenses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744</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Finite-lived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5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38,472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14,288</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Accumulated amortization on finite-lived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5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Goodwill and intangible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13,242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Goodwill of $4.9 million was recognized upon the Company’s acquisition of FIA in January 2025 and goodwill of $21.8 million was recognized upon the Company’s acquisition of AAP.</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State insurance licenses consist of licenses acquired at the inception of PSIC and in connection with the acquisition of First Indemnity of America Insurance Co. (“FIA”). Customer relationships were recognized in connection with the FIA and AAP Advanced AgProtection, LLC (“AAP”) acquisitions.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Customer relationships are amortized on a straight line over a period of 8 years. Amortization expense was $4.7 million for the year ended December 31, 2025 and $1.6 million for the year ended December 31, 2024.</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8. Capitalized Assets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Capitalized software is included as a component of prepaid expenses and other assets in the Company’s consolidated balance sheet. The balances are as follows:</w:t>
      </w:r>
    </w:p>
    <w:p>
      <w:pPr>
        <w:pStyle w:val="TextBody"/>
        <w:bidi w:val="0"/>
        <w:spacing w:lineRule="auto" w:line="273"/>
        <w:jc w:val="left"/>
        <w:rPr/>
      </w:pPr>
      <w:r>
        <w:rPr/>
        <w:t> </w:t>
      </w:r>
    </w:p>
    <w:tbl>
      <w:tblPr>
        <w:tblW w:w="5985" w:type="dxa"/>
        <w:jc w:val="left"/>
        <w:tblInd w:w="0" w:type="dxa"/>
        <w:tblLayout w:type="fixed"/>
        <w:tblCellMar>
          <w:top w:w="28" w:type="dxa"/>
          <w:left w:w="28" w:type="dxa"/>
          <w:bottom w:w="28" w:type="dxa"/>
          <w:right w:w="28" w:type="dxa"/>
        </w:tblCellMar>
      </w:tblPr>
      <w:tblGrid>
        <w:gridCol w:w="1816"/>
        <w:gridCol w:w="146"/>
        <w:gridCol w:w="211"/>
        <w:gridCol w:w="676"/>
        <w:gridCol w:w="146"/>
        <w:gridCol w:w="146"/>
        <w:gridCol w:w="276"/>
        <w:gridCol w:w="970"/>
        <w:gridCol w:w="166"/>
        <w:gridCol w:w="146"/>
        <w:gridCol w:w="260"/>
        <w:gridCol w:w="835"/>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Book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32"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(16,180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19,248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5985" w:type="dxa"/>
        <w:jc w:val="left"/>
        <w:tblInd w:w="0" w:type="dxa"/>
        <w:tblLayout w:type="fixed"/>
        <w:tblCellMar>
          <w:top w:w="28" w:type="dxa"/>
          <w:left w:w="28" w:type="dxa"/>
          <w:bottom w:w="28" w:type="dxa"/>
          <w:right w:w="28" w:type="dxa"/>
        </w:tblCellMar>
      </w:tblPr>
      <w:tblGrid>
        <w:gridCol w:w="1816"/>
        <w:gridCol w:w="146"/>
        <w:gridCol w:w="211"/>
        <w:gridCol w:w="676"/>
        <w:gridCol w:w="146"/>
        <w:gridCol w:w="146"/>
        <w:gridCol w:w="276"/>
        <w:gridCol w:w="970"/>
        <w:gridCol w:w="166"/>
        <w:gridCol w:w="146"/>
        <w:gridCol w:w="260"/>
        <w:gridCol w:w="835"/>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Book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32"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18,483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Amortization expense relating to capitalized software for the years ended December 31, 2025, 2024 and 2023 was $4.0 million, $3.4 million, and $2.8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Property and equipment consists of the following:</w:t>
      </w:r>
    </w:p>
    <w:p>
      <w:pPr>
        <w:pStyle w:val="TextBody"/>
        <w:bidi w:val="0"/>
        <w:spacing w:lineRule="auto" w:line="273"/>
        <w:jc w:val="left"/>
        <w:rPr/>
      </w:pPr>
      <w:r>
        <w:rPr/>
        <w:t> </w:t>
      </w:r>
    </w:p>
    <w:tbl>
      <w:tblPr>
        <w:tblW w:w="6195" w:type="dxa"/>
        <w:jc w:val="left"/>
        <w:tblInd w:w="0" w:type="dxa"/>
        <w:tblLayout w:type="fixed"/>
        <w:tblCellMar>
          <w:top w:w="28" w:type="dxa"/>
          <w:left w:w="28" w:type="dxa"/>
          <w:bottom w:w="28" w:type="dxa"/>
          <w:right w:w="28" w:type="dxa"/>
        </w:tblCellMar>
      </w:tblPr>
      <w:tblGrid>
        <w:gridCol w:w="2161"/>
        <w:gridCol w:w="146"/>
        <w:gridCol w:w="211"/>
        <w:gridCol w:w="571"/>
        <w:gridCol w:w="146"/>
        <w:gridCol w:w="146"/>
        <w:gridCol w:w="304"/>
        <w:gridCol w:w="912"/>
        <w:gridCol w:w="166"/>
        <w:gridCol w:w="146"/>
        <w:gridCol w:w="295"/>
        <w:gridCol w:w="800"/>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Depreciation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Book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97"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Computer hardware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Equipment and furniture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6195" w:type="dxa"/>
        <w:jc w:val="left"/>
        <w:tblInd w:w="0" w:type="dxa"/>
        <w:tblLayout w:type="fixed"/>
        <w:tblCellMar>
          <w:top w:w="28" w:type="dxa"/>
          <w:left w:w="28" w:type="dxa"/>
          <w:bottom w:w="28" w:type="dxa"/>
          <w:right w:w="28" w:type="dxa"/>
        </w:tblCellMar>
      </w:tblPr>
      <w:tblGrid>
        <w:gridCol w:w="2161"/>
        <w:gridCol w:w="146"/>
        <w:gridCol w:w="211"/>
        <w:gridCol w:w="571"/>
        <w:gridCol w:w="146"/>
        <w:gridCol w:w="146"/>
        <w:gridCol w:w="304"/>
        <w:gridCol w:w="912"/>
        <w:gridCol w:w="166"/>
        <w:gridCol w:w="146"/>
        <w:gridCol w:w="365"/>
        <w:gridCol w:w="730"/>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Depreciation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Book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97"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Computer hardware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Equipment and furniture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Depreciation expense was $0.3 million for the year ended December 31, 2025 and $0.2 million for the years ended December 31, 2024 and 2023.</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operating leases for office space used to conduct its insurance operations and administration activities. Operating lease right-of-use (“ROU”) assets are a component of prepaid expenses and other assets and operating lease liabilities are included in accounts payable and other accrued liabilities in the Company’s consolidated balance sheets.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determines whether an arrangement is a lease at its inception. Operating lease ROU assets and liabilities are recognized at the lease commencement date based on the estimated present value of lease payments over the lease term. To determine the present value of lease payments, the Company uses its incremental borrowing rate, which it calculates based on information available at the lease commencement date. For certain leases that contain options to extend, the options are included in lease liabilities only if the company is reasonably certain the option will be exercised. Variable lease costs such as parking are expensed in the period the obligation is incurred and are not included in the Company’s operating lease liability. The Company’s lease agreements do not contain any residual value guarantees.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Operating lease costs for the years ended December 31, 2025, 2024 and 2023 were $1.1 million, $0.8 million, and $0.8 million, respectively. Operating lease costs are comprised of rental expense for operating leases. Lease expense is recognized on a straight-line basis over the lease term and is included as a component of other underwriting expenses in the Company’s consolidated statements of income and comprehensive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provide supplementary information about the Company’s leases:</w:t>
      </w:r>
    </w:p>
    <w:p>
      <w:pPr>
        <w:pStyle w:val="TextBody"/>
        <w:bidi w:val="0"/>
        <w:spacing w:lineRule="auto" w:line="273"/>
        <w:jc w:val="left"/>
        <w:rPr/>
      </w:pPr>
      <w:r>
        <w:rPr/>
        <w:t> </w:t>
      </w:r>
    </w:p>
    <w:tbl>
      <w:tblPr>
        <w:tblW w:w="5618" w:type="dxa"/>
        <w:jc w:val="left"/>
        <w:tblInd w:w="0" w:type="dxa"/>
        <w:tblLayout w:type="fixed"/>
        <w:tblCellMar>
          <w:top w:w="28" w:type="dxa"/>
          <w:left w:w="28" w:type="dxa"/>
          <w:bottom w:w="28" w:type="dxa"/>
          <w:right w:w="28" w:type="dxa"/>
        </w:tblCellMar>
      </w:tblPr>
      <w:tblGrid>
        <w:gridCol w:w="3856"/>
        <w:gridCol w:w="146"/>
        <w:gridCol w:w="474"/>
        <w:gridCol w:w="95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7408" w:type="dxa"/>
        <w:jc w:val="left"/>
        <w:tblInd w:w="0" w:type="dxa"/>
        <w:tblLayout w:type="fixed"/>
        <w:tblCellMar>
          <w:top w:w="28" w:type="dxa"/>
          <w:left w:w="28" w:type="dxa"/>
          <w:bottom w:w="28" w:type="dxa"/>
          <w:right w:w="28" w:type="dxa"/>
        </w:tblCellMar>
      </w:tblPr>
      <w:tblGrid>
        <w:gridCol w:w="5521"/>
        <w:gridCol w:w="146"/>
        <w:gridCol w:w="384"/>
        <w:gridCol w:w="1041"/>
        <w:gridCol w:w="316"/>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6,879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remaining lease term on operating leases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discount rate on 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Future minimum lease payments as of December 31, 2025 are as follows:</w:t>
      </w:r>
    </w:p>
    <w:p>
      <w:pPr>
        <w:pStyle w:val="TextBody"/>
        <w:bidi w:val="0"/>
        <w:spacing w:lineRule="auto" w:line="273"/>
        <w:jc w:val="both"/>
        <w:rPr/>
      </w:pPr>
      <w:r>
        <w:rPr/>
        <w:t> </w:t>
      </w:r>
    </w:p>
    <w:tbl>
      <w:tblPr>
        <w:tblW w:w="5143" w:type="dxa"/>
        <w:jc w:val="left"/>
        <w:tblInd w:w="0" w:type="dxa"/>
        <w:tblLayout w:type="fixed"/>
        <w:tblCellMar>
          <w:top w:w="28" w:type="dxa"/>
          <w:left w:w="28" w:type="dxa"/>
          <w:bottom w:w="28" w:type="dxa"/>
          <w:right w:w="28" w:type="dxa"/>
        </w:tblCellMar>
      </w:tblPr>
      <w:tblGrid>
        <w:gridCol w:w="3181"/>
        <w:gridCol w:w="146"/>
        <w:gridCol w:w="339"/>
        <w:gridCol w:w="1086"/>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10,576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10. Reserve for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 and loss adjustment expenses reserves represent management’s best estimate of the ultimate cost of all reported and unreported losses incurred for the years ended December 31, 2025, 2024 and 2023. The Company does not discount loss and loss adjustment expense reserves. The reserves for unpaid losses and loss adjustment expenses are estimated using individual case-basis valuations and statistical analyses. Those estimates are subject to the effects of trends in loss severity and frequency.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case reserves, which are generally based on reported claims, the Company establishes reserves for incurred but not reported claims (“IBNR”). IBNR reserves are developed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 The Company uses statistical analysis to estimate the cost of losses and loss adjustment expenses related to IBNR. Those estimates are based on historical information, industry information and practices, and estimates of trends that may affect the ultimate frequency of incurred but not reported claims and changes in ultimate claims severity.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regularly reviews its reserve estimates and adjusts them as necessary as experience develops or as new information becomes known. Such adjustments are included in current operations. During the loss settlement period, if there are indications that claims frequency or severity exceeds initial expectations, the Company generally increases its reserves for losses and loss adjustment expenses. Conversely, when claims frequency and severity trends are more favorable than initially anticipated, the Company generally reduces its reserves for losses and loss adjustment expenses once it has sufficient data to confirm the validity of the favorable trends. Even after such adjustments, the ultimate liability may exceed or be less than the revised estimates. Accordingly, the ultimate settlement of losses and the related loss adjustment expenses may vary significantly from the estimate included in the Company’s consolidated financial statements.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considerable variability is inherent in such estimates, management believes the reserves for losses and loss adjustment expenses are adequate. The estimates are continually reviewed and adjusted as necessary as experience develops or new information becomes known. Any adjustments to estimates are recorded in the current period.</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provides a reconciliation of the beginning and ending reserve balances for losses and LAE on a net of reinsurance basis to the gross amounts reported in the accompanying consolidated balance sheets: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6068"/>
        <w:gridCol w:w="146"/>
        <w:gridCol w:w="211"/>
        <w:gridCol w:w="781"/>
        <w:gridCol w:w="166"/>
        <w:gridCol w:w="146"/>
        <w:gridCol w:w="211"/>
        <w:gridCol w:w="781"/>
        <w:gridCol w:w="166"/>
        <w:gridCol w:w="146"/>
        <w:gridCol w:w="211"/>
        <w:gridCol w:w="781"/>
        <w:gridCol w:w="391"/>
      </w:tblGrid>
      <w:tr>
        <w:trPr/>
        <w:tc>
          <w:tcPr>
            <w:tcW w:w="6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0"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loss adjustment expense, net of reinsurance recoverables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155,299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97,653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77,520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 Balance acquired from 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Add: Incurred losses and loss adjustment expenses, net of reinsurance, related to: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248,365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137,797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70,363</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incurred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228,594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134,759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72,592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Deduct: Loss and loss adjustment expense payments, net of reinsurance, related to: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19,631</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52,459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loss adjustment expense net of reinsurance recoverables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275,958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155,299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97,653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 Reinsurance recoverables on unpaid losses and loss adjustment expenses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348,083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244,622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loss adjustment expenses gross of reinsurance recoverables on unpaid losses and loss adjustment expenses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342,275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foregoing reconciliation shows favorable net development of $19.8 million and $3.0 million in 2025 and 2024, respectively, and unfavorable net development of $2.2 million in 2023.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During 2025 and 2024, the net favorable reserve development was primarily due to lower than anticipated severity of attritional losses in our Inland Marine and Other Property line of business. During 2023, the net unfavorable reserve development was primarily due to the effect of ceding gross favorable development under our catastrophe XOL reinsurance program and due to unfavorable development on lines of business subject to lower amounts of ceding.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compiles and aggregates its claims data by grouping the claims according to the year in which the claim occurred (“Accident Year”) when analyzing claim payment and emergence patterns and trends over time. For the purpose of defining claims frequency, the number of reported claims is by loss occurrence and includes claims that do not result in a liability or payment associated with them.</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following tables show information about the Company’s incurred and paid loss development as of December 31, 2025, net of reinsurance, as well as cumulative claim frequency, the total of IBNR liabilities included within the net incurred loss amounts and the average historical claims duration as of December 31, 2025. The loss information has been disaggregated so that losses that are expected to develop in a similar manner are grouped together. The information provided herein about incurred and paid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accident year claims development for the years ended December 31, 2025 and prior is presented as unaudited supplementary information.</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Incurred Losses and Allocated Loss Adjustment Expenses,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Property Insurance (in thousands) (1)</w:t>
      </w:r>
    </w:p>
    <w:tbl>
      <w:tblPr>
        <w:tblW w:w="12632" w:type="dxa"/>
        <w:jc w:val="left"/>
        <w:tblInd w:w="0" w:type="dxa"/>
        <w:tblLayout w:type="fixed"/>
        <w:tblCellMar>
          <w:top w:w="28" w:type="dxa"/>
          <w:left w:w="28" w:type="dxa"/>
          <w:bottom w:w="28" w:type="dxa"/>
          <w:right w:w="28" w:type="dxa"/>
        </w:tblCellMar>
      </w:tblPr>
      <w:tblGrid>
        <w:gridCol w:w="631"/>
        <w:gridCol w:w="146"/>
        <w:gridCol w:w="181"/>
        <w:gridCol w:w="436"/>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86"/>
        <w:gridCol w:w="146"/>
        <w:gridCol w:w="146"/>
        <w:gridCol w:w="192"/>
        <w:gridCol w:w="544"/>
        <w:gridCol w:w="146"/>
        <w:gridCol w:w="146"/>
        <w:gridCol w:w="208"/>
        <w:gridCol w:w="588"/>
        <w:gridCol w:w="19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8" w:type="dxa"/>
            <w:gridSpan w:val="3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Incurred</w:t>
              <w:br/>
              <w:t>but Not</w:t>
              <w:br/>
              <w:t>Reported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Cumulative</w:t>
              <w:br/>
              <w:t>Number of</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Claims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7,450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7,127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6,972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7,090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7,075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7,062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7,125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1,384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12,425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10,893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10,644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10,652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10,561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10,668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12,339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11,978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11,980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3,624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8,163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8,103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7,941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8,010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1,198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4,575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4,223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3,947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4,293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4,350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1,690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61,434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57,248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59,565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56,008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56,859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57,114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5,161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29,836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25,158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25,733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27,902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26,798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5,124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42,887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44,943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42,358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39,443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4,151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40,921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36,587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32,442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1,533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4,789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77,421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62,179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13,324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8,636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113,528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42,868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10,831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361,571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60,400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46,588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Cumulative Paid Losses and Allocated Loss Adjustment Expenses,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Property Insurance (in thousands) (1)</w:t>
      </w:r>
    </w:p>
    <w:tbl>
      <w:tblPr>
        <w:tblW w:w="10591" w:type="dxa"/>
        <w:jc w:val="left"/>
        <w:tblInd w:w="0" w:type="dxa"/>
        <w:tblLayout w:type="fixed"/>
        <w:tblCellMar>
          <w:top w:w="28" w:type="dxa"/>
          <w:left w:w="28" w:type="dxa"/>
          <w:bottom w:w="28" w:type="dxa"/>
          <w:right w:w="28" w:type="dxa"/>
        </w:tblCellMar>
      </w:tblPr>
      <w:tblGrid>
        <w:gridCol w:w="781"/>
        <w:gridCol w:w="146"/>
        <w:gridCol w:w="181"/>
        <w:gridCol w:w="436"/>
        <w:gridCol w:w="146"/>
        <w:gridCol w:w="146"/>
        <w:gridCol w:w="181"/>
        <w:gridCol w:w="436"/>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11"/>
        <w:gridCol w:w="146"/>
        <w:gridCol w:w="146"/>
        <w:gridCol w:w="181"/>
        <w:gridCol w:w="586"/>
        <w:gridCol w:w="19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3" w:type="dxa"/>
            <w:gridSpan w:val="3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6,420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6,801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7,051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7,072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7,062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7,125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5,737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9,102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10,719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10,639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10,640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10,560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10,636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12,339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11,978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11,980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4,409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7,889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7,999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7,979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3,757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4,170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4,372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31,862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49,222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55,504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55,619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56,712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57,086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11,355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22,500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24,408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26,466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26,358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12,647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30,042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35,271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35,914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14,226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26,378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28,855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32,850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45,154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58,801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282,236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Reserve for losses and loss adjustment expense, net of reinsurance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79,335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Data presented for these calendar years is required supplementary information, which is unaudited.</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Average Annual</w:t>
      </w:r>
      <w:r>
        <w:rPr>
          <w:rFonts w:ascii="Times New Roman" w:hAnsi="Times New Roman"/>
          <w:color w:val="000000"/>
          <w:sz w:val="20"/>
        </w:rPr>
        <w:t xml:space="preserve"> </w:t>
      </w:r>
      <w:r>
        <w:rPr>
          <w:rFonts w:ascii="Times New Roman" w:hAnsi="Times New Roman"/>
          <w:b/>
          <w:color w:val="000000"/>
          <w:sz w:val="20"/>
        </w:rPr>
        <w:t>Percentage Payout of Incurred Claims by Age,</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Property Insurance (unaudited)</w:t>
      </w:r>
    </w:p>
    <w:tbl>
      <w:tblPr>
        <w:tblW w:w="10205" w:type="dxa"/>
        <w:jc w:val="left"/>
        <w:tblInd w:w="0" w:type="dxa"/>
        <w:tblLayout w:type="fixed"/>
        <w:tblCellMar>
          <w:top w:w="28" w:type="dxa"/>
          <w:left w:w="28" w:type="dxa"/>
          <w:bottom w:w="28" w:type="dxa"/>
          <w:right w:w="28" w:type="dxa"/>
        </w:tblCellMar>
      </w:tblPr>
      <w:tblGrid>
        <w:gridCol w:w="971"/>
        <w:gridCol w:w="146"/>
        <w:gridCol w:w="146"/>
        <w:gridCol w:w="436"/>
        <w:gridCol w:w="211"/>
        <w:gridCol w:w="146"/>
        <w:gridCol w:w="146"/>
        <w:gridCol w:w="361"/>
        <w:gridCol w:w="211"/>
        <w:gridCol w:w="146"/>
        <w:gridCol w:w="146"/>
        <w:gridCol w:w="361"/>
        <w:gridCol w:w="211"/>
        <w:gridCol w:w="146"/>
        <w:gridCol w:w="146"/>
        <w:gridCol w:w="361"/>
        <w:gridCol w:w="211"/>
        <w:gridCol w:w="146"/>
        <w:gridCol w:w="146"/>
        <w:gridCol w:w="361"/>
        <w:gridCol w:w="211"/>
        <w:gridCol w:w="146"/>
        <w:gridCol w:w="146"/>
        <w:gridCol w:w="361"/>
        <w:gridCol w:w="211"/>
        <w:gridCol w:w="146"/>
        <w:gridCol w:w="165"/>
        <w:gridCol w:w="461"/>
        <w:gridCol w:w="235"/>
        <w:gridCol w:w="146"/>
        <w:gridCol w:w="146"/>
        <w:gridCol w:w="361"/>
        <w:gridCol w:w="211"/>
        <w:gridCol w:w="146"/>
        <w:gridCol w:w="165"/>
        <w:gridCol w:w="461"/>
        <w:gridCol w:w="235"/>
        <w:gridCol w:w="146"/>
        <w:gridCol w:w="176"/>
        <w:gridCol w:w="491"/>
        <w:gridCol w:w="284"/>
      </w:tblGrid>
      <w:tr>
        <w:trPr/>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9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7 (2)</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9 (2)</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Year 10 (2)</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Payout percentage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31.90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7.10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3.66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0.44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3.10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(6.96</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0.30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(0.46</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(0.66</w:t>
            </w:r>
          </w:p>
        </w:tc>
        <w:tc>
          <w:tcPr>
            <w:tcW w:w="2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Negative payout percentages are due to timing of reinsurance payments, allocations of reinsurance between different lines of business based on actual results, and allocation of reinsurance to different periods for reinsurance treaties in effect for multiple periods. These are primarily associated with larger recoveries from catastrophe events in earlier years of operation.</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Incurred Losses and Allocated Loss Adjustment Expenses,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Other Liability Occurrence (in thousands) (1)</w:t>
      </w:r>
    </w:p>
    <w:p>
      <w:pPr>
        <w:pStyle w:val="TextBody"/>
        <w:bidi w:val="0"/>
        <w:spacing w:lineRule="auto" w:line="273"/>
        <w:jc w:val="left"/>
        <w:rPr/>
      </w:pPr>
      <w:r>
        <w:rPr/>
        <w:t> </w:t>
      </w:r>
    </w:p>
    <w:tbl>
      <w:tblPr>
        <w:tblW w:w="7877" w:type="dxa"/>
        <w:jc w:val="left"/>
        <w:tblInd w:w="0" w:type="dxa"/>
        <w:tblLayout w:type="fixed"/>
        <w:tblCellMar>
          <w:top w:w="28" w:type="dxa"/>
          <w:left w:w="28" w:type="dxa"/>
          <w:bottom w:w="28" w:type="dxa"/>
          <w:right w:w="28" w:type="dxa"/>
        </w:tblCellMar>
      </w:tblPr>
      <w:tblGrid>
        <w:gridCol w:w="946"/>
        <w:gridCol w:w="146"/>
        <w:gridCol w:w="181"/>
        <w:gridCol w:w="436"/>
        <w:gridCol w:w="146"/>
        <w:gridCol w:w="146"/>
        <w:gridCol w:w="181"/>
        <w:gridCol w:w="436"/>
        <w:gridCol w:w="146"/>
        <w:gridCol w:w="146"/>
        <w:gridCol w:w="181"/>
        <w:gridCol w:w="436"/>
        <w:gridCol w:w="146"/>
        <w:gridCol w:w="146"/>
        <w:gridCol w:w="181"/>
        <w:gridCol w:w="511"/>
        <w:gridCol w:w="146"/>
        <w:gridCol w:w="146"/>
        <w:gridCol w:w="181"/>
        <w:gridCol w:w="586"/>
        <w:gridCol w:w="146"/>
        <w:gridCol w:w="146"/>
        <w:gridCol w:w="192"/>
        <w:gridCol w:w="544"/>
        <w:gridCol w:w="146"/>
        <w:gridCol w:w="146"/>
        <w:gridCol w:w="199"/>
        <w:gridCol w:w="597"/>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Incurred</w:t>
              <w:br/>
              <w:t>but Not</w:t>
              <w:br/>
              <w:t>Reported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Cumulative</w:t>
              <w:br/>
              <w:t>Number of</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Claims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150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1,641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7,160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8,755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9,425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8,789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1,854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5,005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8,335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10,278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2,308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147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21,811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24,428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17,521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440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62,826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57,870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108,767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80,398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Cumulative Paid Losses and Allocated Loss Adjustment Expenses,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Other Liability Occurrence (in thousands) (1)</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985"/>
        <w:gridCol w:w="146"/>
        <w:gridCol w:w="211"/>
        <w:gridCol w:w="421"/>
        <w:gridCol w:w="146"/>
        <w:gridCol w:w="146"/>
        <w:gridCol w:w="211"/>
        <w:gridCol w:w="421"/>
        <w:gridCol w:w="146"/>
        <w:gridCol w:w="146"/>
        <w:gridCol w:w="211"/>
        <w:gridCol w:w="571"/>
        <w:gridCol w:w="146"/>
        <w:gridCol w:w="146"/>
        <w:gridCol w:w="211"/>
        <w:gridCol w:w="571"/>
        <w:gridCol w:w="146"/>
        <w:gridCol w:w="146"/>
        <w:gridCol w:w="211"/>
        <w:gridCol w:w="676"/>
        <w:gridCol w:w="191"/>
      </w:tblGrid>
      <w:tr>
        <w:trPr/>
        <w:tc>
          <w:tcPr>
            <w:tcW w:w="4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5,355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5,552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9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9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loss adjustment expense, net of reinsurance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Data presented for these calendar years is required supplementary information, which is unaudited.</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Average Annual</w:t>
      </w:r>
      <w:r>
        <w:rPr>
          <w:rFonts w:ascii="Times New Roman" w:hAnsi="Times New Roman"/>
          <w:color w:val="000000"/>
          <w:sz w:val="20"/>
        </w:rPr>
        <w:t xml:space="preserve"> </w:t>
      </w:r>
      <w:r>
        <w:rPr>
          <w:rFonts w:ascii="Times New Roman" w:hAnsi="Times New Roman"/>
          <w:b/>
          <w:color w:val="000000"/>
          <w:sz w:val="20"/>
        </w:rPr>
        <w:t>Percentage Payout of Incurred Claims by Age,</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Other Liability Occurrence (unaudited)</w:t>
      </w:r>
    </w:p>
    <w:p>
      <w:pPr>
        <w:pStyle w:val="TextBody"/>
        <w:bidi w:val="0"/>
        <w:spacing w:lineRule="auto" w:line="273"/>
        <w:jc w:val="center"/>
        <w:rPr/>
      </w:pPr>
      <w:r>
        <w:rPr/>
        <w:t> </w:t>
      </w:r>
    </w:p>
    <w:tbl>
      <w:tblPr>
        <w:tblW w:w="7252" w:type="dxa"/>
        <w:jc w:val="left"/>
        <w:tblInd w:w="0" w:type="dxa"/>
        <w:tblLayout w:type="fixed"/>
        <w:tblCellMar>
          <w:top w:w="28" w:type="dxa"/>
          <w:left w:w="28" w:type="dxa"/>
          <w:bottom w:w="28" w:type="dxa"/>
          <w:right w:w="28" w:type="dxa"/>
        </w:tblCellMar>
      </w:tblPr>
      <w:tblGrid>
        <w:gridCol w:w="1621"/>
        <w:gridCol w:w="146"/>
        <w:gridCol w:w="161"/>
        <w:gridCol w:w="514"/>
        <w:gridCol w:w="271"/>
        <w:gridCol w:w="146"/>
        <w:gridCol w:w="161"/>
        <w:gridCol w:w="514"/>
        <w:gridCol w:w="271"/>
        <w:gridCol w:w="146"/>
        <w:gridCol w:w="146"/>
        <w:gridCol w:w="571"/>
        <w:gridCol w:w="271"/>
        <w:gridCol w:w="146"/>
        <w:gridCol w:w="146"/>
        <w:gridCol w:w="571"/>
        <w:gridCol w:w="271"/>
        <w:gridCol w:w="146"/>
        <w:gridCol w:w="146"/>
        <w:gridCol w:w="571"/>
        <w:gridCol w:w="31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Payout percentage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25.85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Incurred Losses and Allocated Loss Adjustment Expenses,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Other Liability Claims Made (in thousands) (1)</w:t>
      </w:r>
    </w:p>
    <w:p>
      <w:pPr>
        <w:pStyle w:val="TextBody"/>
        <w:bidi w:val="0"/>
        <w:spacing w:lineRule="auto" w:line="273"/>
        <w:jc w:val="center"/>
        <w:rPr/>
      </w:pPr>
      <w:r>
        <w:rPr/>
        <w:t> </w:t>
      </w:r>
    </w:p>
    <w:tbl>
      <w:tblPr>
        <w:tblW w:w="8606" w:type="dxa"/>
        <w:jc w:val="left"/>
        <w:tblInd w:w="0" w:type="dxa"/>
        <w:tblLayout w:type="fixed"/>
        <w:tblCellMar>
          <w:top w:w="28" w:type="dxa"/>
          <w:left w:w="28" w:type="dxa"/>
          <w:bottom w:w="28" w:type="dxa"/>
          <w:right w:w="28" w:type="dxa"/>
        </w:tblCellMar>
      </w:tblPr>
      <w:tblGrid>
        <w:gridCol w:w="946"/>
        <w:gridCol w:w="146"/>
        <w:gridCol w:w="181"/>
        <w:gridCol w:w="256"/>
        <w:gridCol w:w="146"/>
        <w:gridCol w:w="146"/>
        <w:gridCol w:w="181"/>
        <w:gridCol w:w="436"/>
        <w:gridCol w:w="146"/>
        <w:gridCol w:w="146"/>
        <w:gridCol w:w="181"/>
        <w:gridCol w:w="436"/>
        <w:gridCol w:w="146"/>
        <w:gridCol w:w="146"/>
        <w:gridCol w:w="181"/>
        <w:gridCol w:w="511"/>
        <w:gridCol w:w="146"/>
        <w:gridCol w:w="146"/>
        <w:gridCol w:w="181"/>
        <w:gridCol w:w="511"/>
        <w:gridCol w:w="146"/>
        <w:gridCol w:w="146"/>
        <w:gridCol w:w="181"/>
        <w:gridCol w:w="511"/>
        <w:gridCol w:w="146"/>
        <w:gridCol w:w="146"/>
        <w:gridCol w:w="192"/>
        <w:gridCol w:w="544"/>
        <w:gridCol w:w="146"/>
        <w:gridCol w:w="146"/>
        <w:gridCol w:w="199"/>
        <w:gridCol w:w="597"/>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gridSpan w:val="2"/>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Incurred</w:t>
              <w:br/>
              <w:t>but Not</w:t>
              <w:br/>
              <w:t>Reported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c>
          <w:tcPr>
            <w:tcW w:w="796" w:type="dxa"/>
            <w:gridSpan w:val="2"/>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Cumulative</w:t>
              <w:br/>
              <w:t>Number of</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Claims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286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2,264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3,429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3,299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2,928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1,516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8,871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8,873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7,674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6,762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1,834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430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12,580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12,110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11,511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4,166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958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18,503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21,021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8,531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1,355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29,299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17,409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1,977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72,375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34,517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Cumulative Paid Losses and Allocated Loss Adjustment Expenses,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Other Liability Claims Made (in thousands) (1)</w:t>
      </w:r>
    </w:p>
    <w:p>
      <w:pPr>
        <w:pStyle w:val="TextBody"/>
        <w:bidi w:val="0"/>
        <w:spacing w:lineRule="auto" w:line="273"/>
        <w:jc w:val="center"/>
        <w:rPr/>
      </w:pPr>
      <w:r>
        <w:rPr/>
        <w:t> </w:t>
      </w:r>
    </w:p>
    <w:tbl>
      <w:tblPr>
        <w:tblW w:w="9220" w:type="dxa"/>
        <w:jc w:val="left"/>
        <w:tblInd w:w="0" w:type="dxa"/>
        <w:tblLayout w:type="fixed"/>
        <w:tblCellMar>
          <w:top w:w="28" w:type="dxa"/>
          <w:left w:w="28" w:type="dxa"/>
          <w:bottom w:w="28" w:type="dxa"/>
          <w:right w:w="28" w:type="dxa"/>
        </w:tblCellMar>
      </w:tblPr>
      <w:tblGrid>
        <w:gridCol w:w="3916"/>
        <w:gridCol w:w="146"/>
        <w:gridCol w:w="181"/>
        <w:gridCol w:w="346"/>
        <w:gridCol w:w="146"/>
        <w:gridCol w:w="146"/>
        <w:gridCol w:w="181"/>
        <w:gridCol w:w="346"/>
        <w:gridCol w:w="146"/>
        <w:gridCol w:w="146"/>
        <w:gridCol w:w="181"/>
        <w:gridCol w:w="346"/>
        <w:gridCol w:w="146"/>
        <w:gridCol w:w="146"/>
        <w:gridCol w:w="181"/>
        <w:gridCol w:w="436"/>
        <w:gridCol w:w="146"/>
        <w:gridCol w:w="146"/>
        <w:gridCol w:w="181"/>
        <w:gridCol w:w="436"/>
        <w:gridCol w:w="146"/>
        <w:gridCol w:w="146"/>
        <w:gridCol w:w="181"/>
        <w:gridCol w:w="511"/>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4"/>
              </w:rPr>
            </w:pPr>
            <w:r>
              <w:rPr>
                <w:rFonts w:ascii="Times New Roman" w:hAnsi="Times New Roman"/>
                <w:b/>
                <w:color w:val="000000"/>
                <w:sz w:val="14"/>
              </w:rPr>
              <w:t>Accident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Prior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1,009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1,040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1,584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2,776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3,841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1,382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3,310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5,118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4,168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8,461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6,392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24,853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Reserve for losses and loss adjustment expense, net of reinsurance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4"/>
              </w:rPr>
            </w:pPr>
            <w:r>
              <w:rPr>
                <w:rFonts w:ascii="Times New Roman" w:hAnsi="Times New Roman"/>
                <w:color w:val="000000"/>
                <w:sz w:val="14"/>
              </w:rPr>
              <w:t>47,522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40" w:after="283"/>
        <w:jc w:val="left"/>
        <w:rPr>
          <w:rFonts w:ascii="Times New Roman" w:hAnsi="Times New Roman"/>
          <w:color w:val="000000"/>
          <w:sz w:val="20"/>
        </w:rPr>
      </w:pPr>
      <w:r>
        <w:rPr>
          <w:rFonts w:ascii="Times New Roman" w:hAnsi="Times New Roman"/>
          <w:color w:val="000000"/>
          <w:sz w:val="20"/>
        </w:rPr>
        <w:t>Data presented for these calendar years is required supplementary information, which is unaudited.</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Average Annual</w:t>
      </w:r>
      <w:r>
        <w:rPr>
          <w:rFonts w:ascii="Times New Roman" w:hAnsi="Times New Roman"/>
          <w:color w:val="000000"/>
          <w:sz w:val="20"/>
        </w:rPr>
        <w:t xml:space="preserve"> </w:t>
      </w:r>
      <w:r>
        <w:rPr>
          <w:rFonts w:ascii="Times New Roman" w:hAnsi="Times New Roman"/>
          <w:b/>
          <w:color w:val="000000"/>
          <w:sz w:val="20"/>
        </w:rPr>
        <w:t>Percentage Payout of Incurred Claims by Age,</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Net of Reinsurance Other Liability Claims Made (unaudited)</w:t>
      </w:r>
    </w:p>
    <w:p>
      <w:pPr>
        <w:pStyle w:val="TextBody"/>
        <w:bidi w:val="0"/>
        <w:spacing w:lineRule="auto" w:line="273"/>
        <w:jc w:val="center"/>
        <w:rPr/>
      </w:pPr>
      <w:r>
        <w:rPr/>
        <w:t> </w:t>
      </w:r>
    </w:p>
    <w:tbl>
      <w:tblPr>
        <w:tblW w:w="7294" w:type="dxa"/>
        <w:jc w:val="left"/>
        <w:tblInd w:w="0" w:type="dxa"/>
        <w:tblLayout w:type="fixed"/>
        <w:tblCellMar>
          <w:top w:w="28" w:type="dxa"/>
          <w:left w:w="28" w:type="dxa"/>
          <w:bottom w:w="28" w:type="dxa"/>
          <w:right w:w="28" w:type="dxa"/>
        </w:tblCellMar>
      </w:tblPr>
      <w:tblGrid>
        <w:gridCol w:w="1621"/>
        <w:gridCol w:w="146"/>
        <w:gridCol w:w="146"/>
        <w:gridCol w:w="571"/>
        <w:gridCol w:w="271"/>
        <w:gridCol w:w="146"/>
        <w:gridCol w:w="146"/>
        <w:gridCol w:w="571"/>
        <w:gridCol w:w="271"/>
        <w:gridCol w:w="146"/>
        <w:gridCol w:w="146"/>
        <w:gridCol w:w="571"/>
        <w:gridCol w:w="271"/>
        <w:gridCol w:w="146"/>
        <w:gridCol w:w="146"/>
        <w:gridCol w:w="571"/>
        <w:gridCol w:w="271"/>
        <w:gridCol w:w="146"/>
        <w:gridCol w:w="161"/>
        <w:gridCol w:w="514"/>
        <w:gridCol w:w="31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Payout percentage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reconciliation of the net incurred and paid claims development tables to the liability for claims and claim adjustment expenses in the consolidated balance sheets is as follows:</w:t>
      </w:r>
    </w:p>
    <w:p>
      <w:pPr>
        <w:pStyle w:val="TextBody"/>
        <w:bidi w:val="0"/>
        <w:spacing w:lineRule="auto" w:line="273"/>
        <w:jc w:val="left"/>
        <w:rPr/>
      </w:pPr>
      <w:r>
        <w:rPr/>
        <w:t> </w:t>
      </w:r>
    </w:p>
    <w:tbl>
      <w:tblPr>
        <w:tblW w:w="9078" w:type="dxa"/>
        <w:jc w:val="left"/>
        <w:tblInd w:w="0" w:type="dxa"/>
        <w:tblLayout w:type="fixed"/>
        <w:tblCellMar>
          <w:top w:w="28" w:type="dxa"/>
          <w:left w:w="28" w:type="dxa"/>
          <w:bottom w:w="28" w:type="dxa"/>
          <w:right w:w="28" w:type="dxa"/>
        </w:tblCellMar>
      </w:tblPr>
      <w:tblGrid>
        <w:gridCol w:w="7116"/>
        <w:gridCol w:w="146"/>
        <w:gridCol w:w="303"/>
        <w:gridCol w:w="1122"/>
        <w:gridCol w:w="391"/>
      </w:tblGrid>
      <w:tr>
        <w:trPr/>
        <w:tc>
          <w:tcPr>
            <w:tcW w:w="7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loss adjustment expense, net of reinsurance recoverables: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79,337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liability occurrence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90,099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liability claims made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47,522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Reinsurance - Nonproportional assumed property (1)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25,627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reserve for losses and loss adjustment expense, net of reinsurance recoverables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275,958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Reinsurance recoverable on unpaid claims: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105,303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liability occurrence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78,437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liability claims made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100,629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127,904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reinsurance recoverable on unpaid claims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412,273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reserve for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688,231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Reflects the Company’s share of Loss and Loss Adjustment Expense related to non-proportional assumed reinsurance business. This amount reflects gross and net reserves related to this treaty and the ultimate incurred amount reflects IBNR only. The Company does not have direct access to individual claim information underlying the assumed reinsurance agreements. The Company does not use claim frequency information in the determination of loss reserves or for other internal purposes. Based on these considerations, the Company does not believe providing claims frequency information is practicable as it relates to this line of business.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11. 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utilizes reinsurance in order to limit its exposure to losses and enable it to underwrite policies with sufficient limits to meet policyholder needs. The Company primarily utilizes excess of loss (XOL) and quota share reinsurance to protect against catastrophe and attritional losses. The Company also writes premiums under fronting agreements, whereby the majority of premium and risk is ceded to reinsurers and the Company receives a fronting fee.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an XOL treaty, the Company retains losses for any occurrence up to a specified amount (its “retention”) and reinsurers assume any losses above that amount. As of December 31, 2025, the Company’s catastrophe event retention is $20.0 million for earthquake events and $11.0 million for hurricane events and all other perils. Laulima maintains Hawaii hurricane reinsurance coverage through a standalone XOL treaty, which provides per-occurrence coverage up to $735.0 million with a retention of $1.5 million. Our reinsurance coverage exhausts at $3.1 billion for earthquake events and $100.0 million for continental U.S. hurricane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 quota share agreement, the Company transfers, or cedes, a portion of its premiums to reinsurers and, in return, the reinsurer must share an agreed upon portion of losses and pay a ceding commission to the Company. In a fronting agreement, the Company writes premium and then cedes the majority of the premium and risk in exchange for a fronting fee, which is the primary source of profit in the arrangement.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shows ceded written premiums under fronting and quota share arrangements by line of business for the years ended December 31, 2025, 2024, and 2023:</w:t>
      </w:r>
    </w:p>
    <w:p>
      <w:pPr>
        <w:pStyle w:val="TextBody"/>
        <w:bidi w:val="0"/>
        <w:spacing w:lineRule="auto" w:line="273"/>
        <w:jc w:val="left"/>
        <w:rPr/>
      </w:pPr>
      <w:r>
        <w:rPr/>
        <w:t> </w:t>
      </w:r>
    </w:p>
    <w:tbl>
      <w:tblPr>
        <w:tblW w:w="6748" w:type="dxa"/>
        <w:jc w:val="left"/>
        <w:tblInd w:w="0" w:type="dxa"/>
        <w:tblLayout w:type="fixed"/>
        <w:tblCellMar>
          <w:top w:w="28" w:type="dxa"/>
          <w:left w:w="28" w:type="dxa"/>
          <w:bottom w:w="28" w:type="dxa"/>
          <w:right w:w="28" w:type="dxa"/>
        </w:tblCellMar>
      </w:tblPr>
      <w:tblGrid>
        <w:gridCol w:w="2851"/>
        <w:gridCol w:w="146"/>
        <w:gridCol w:w="211"/>
        <w:gridCol w:w="781"/>
        <w:gridCol w:w="146"/>
        <w:gridCol w:w="146"/>
        <w:gridCol w:w="211"/>
        <w:gridCol w:w="781"/>
        <w:gridCol w:w="146"/>
        <w:gridCol w:w="146"/>
        <w:gridCol w:w="211"/>
        <w:gridCol w:w="78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Casualty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235,119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86,120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36,677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Fronting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203,813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312,173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339,376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176,200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109,975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12,110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Inland Marine and Other Property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145,223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103,863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108,409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654,597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526,280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recognizes ceded unearned premiums related to quota share agreements as an asset on its consolidated balance sheets. As of December 31, 2025 and 2024, ceded unearned premiums totaled $355.9 million and $276.2 million, respectively. The increase was driven primarily by premium growth in lines subject to fronting agreements or quota shares.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reinsurance purchased from traditional reinsurers, the Company utilizes collateralized protection from the insurance-linked securities market through catastrophe bonds issued via Torrey Pines Re Ltd., a Bermuda-domiciled special purpose insurer. The Company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Written premiums ceded under these catastrophe bond agreements were $64.9 million, $55.3 million and $42.7 million for the years ended December 31, 2025, 2024 and 2023,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effect of reinsurance on premiums written and earned and on losses and LAE incurred for the years ended December 31, 2025, 2024 and 2023, is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286"/>
        <w:gridCol w:w="146"/>
        <w:gridCol w:w="211"/>
        <w:gridCol w:w="991"/>
        <w:gridCol w:w="166"/>
        <w:gridCol w:w="146"/>
        <w:gridCol w:w="211"/>
        <w:gridCol w:w="931"/>
        <w:gridCol w:w="166"/>
        <w:gridCol w:w="146"/>
        <w:gridCol w:w="211"/>
        <w:gridCol w:w="931"/>
        <w:gridCol w:w="166"/>
        <w:gridCol w:w="146"/>
        <w:gridCol w:w="211"/>
        <w:gridCol w:w="931"/>
        <w:gridCol w:w="166"/>
        <w:gridCol w:w="146"/>
        <w:gridCol w:w="211"/>
        <w:gridCol w:w="931"/>
        <w:gridCol w:w="166"/>
        <w:gridCol w:w="146"/>
        <w:gridCol w:w="211"/>
        <w:gridCol w:w="841"/>
        <w:gridCol w:w="391"/>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Written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Earned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Written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Earned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Written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Earned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2"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Premiums Written and Earned: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1,792,609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1,600,618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1,403,383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1,301,901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1,083,804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959,614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Assumed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235,643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186,566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138,578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95,468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57,754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56,107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(1,064,230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(984,549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(897,111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(886,682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(669,808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2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964,022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644,850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410,027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345,913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6463" w:type="dxa"/>
        <w:jc w:val="left"/>
        <w:tblInd w:w="0" w:type="dxa"/>
        <w:tblLayout w:type="fixed"/>
        <w:tblCellMar>
          <w:top w:w="28" w:type="dxa"/>
          <w:left w:w="28" w:type="dxa"/>
          <w:bottom w:w="28" w:type="dxa"/>
          <w:right w:w="28" w:type="dxa"/>
        </w:tblCellMar>
      </w:tblPr>
      <w:tblGrid>
        <w:gridCol w:w="2206"/>
        <w:gridCol w:w="146"/>
        <w:gridCol w:w="211"/>
        <w:gridCol w:w="841"/>
        <w:gridCol w:w="166"/>
        <w:gridCol w:w="146"/>
        <w:gridCol w:w="211"/>
        <w:gridCol w:w="781"/>
        <w:gridCol w:w="166"/>
        <w:gridCol w:w="146"/>
        <w:gridCol w:w="211"/>
        <w:gridCol w:w="841"/>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LAE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20"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LAE Incurred: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381,708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140,505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522,213</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Assumed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79,025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(372,644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228,594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6418" w:type="dxa"/>
        <w:jc w:val="left"/>
        <w:tblInd w:w="0" w:type="dxa"/>
        <w:tblLayout w:type="fixed"/>
        <w:tblCellMar>
          <w:top w:w="28" w:type="dxa"/>
          <w:left w:w="28" w:type="dxa"/>
          <w:bottom w:w="28" w:type="dxa"/>
          <w:right w:w="28" w:type="dxa"/>
        </w:tblCellMar>
      </w:tblPr>
      <w:tblGrid>
        <w:gridCol w:w="2206"/>
        <w:gridCol w:w="146"/>
        <w:gridCol w:w="211"/>
        <w:gridCol w:w="841"/>
        <w:gridCol w:w="166"/>
        <w:gridCol w:w="146"/>
        <w:gridCol w:w="211"/>
        <w:gridCol w:w="736"/>
        <w:gridCol w:w="166"/>
        <w:gridCol w:w="146"/>
        <w:gridCol w:w="211"/>
        <w:gridCol w:w="841"/>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LAE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LAE Incurred: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367,276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75,301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442,577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Assumed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51,796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(359,614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134,759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6418" w:type="dxa"/>
        <w:jc w:val="left"/>
        <w:tblInd w:w="0" w:type="dxa"/>
        <w:tblLayout w:type="fixed"/>
        <w:tblCellMar>
          <w:top w:w="28" w:type="dxa"/>
          <w:left w:w="28" w:type="dxa"/>
          <w:bottom w:w="28" w:type="dxa"/>
          <w:right w:w="28" w:type="dxa"/>
        </w:tblCellMar>
      </w:tblPr>
      <w:tblGrid>
        <w:gridCol w:w="2206"/>
        <w:gridCol w:w="146"/>
        <w:gridCol w:w="211"/>
        <w:gridCol w:w="841"/>
        <w:gridCol w:w="166"/>
        <w:gridCol w:w="146"/>
        <w:gridCol w:w="211"/>
        <w:gridCol w:w="736"/>
        <w:gridCol w:w="166"/>
        <w:gridCol w:w="146"/>
        <w:gridCol w:w="211"/>
        <w:gridCol w:w="841"/>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LAE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7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LAE Incurred: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228,441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289,275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Assumed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21,588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(238,271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72,592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ceding of insurance does not legally discharge the Company from its primary liability for the full amount of the policy coverage, and therefore the Company will be required to pay the loss and bear collection risk if the reinsurer fails to meet its obligations under the reinsurance agreement. To minimize exposure to significant losses from reinsurance insolvencies, the Company evaluates the financial condition of its reinsurers and monitors concentrations of credit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reduce credit exposure to reinsurance recoverable balances, the Company obtains acceptable forms of collateral from certain reinsurers that are not authorized as reinsurers under U.S. state insurance regulations. In addition, under the terms of its reinsurance contracts, the Company may retain funds due from reinsurers as security for those recoverable balances. As of December 31, 2025 and 2024, the Company had retained $44.9 million and $27.9 million in funds from reinsurers, respectively. The Company is able to use the funds in the ordinary course of its business. The funds are held in cash and cash equivalents and investments with an offsetting liability on the accompanying consolidated balance sheets.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year ended December 31, 2025, reinsurance premiums ceded to the Company’s three largest reinsurers totaled $66.4 million, $64.9 million and $63.1 million, representing 18.6% of the total balance. For the year ended December 31, 2024, reinsurance premiums ceded to the Company’s three largest reinsurers totaled $125.9 million, $67.9 million and $61.7 million, representing 28.5% of the total balance. For the year ended December 31, 2023, reinsurance premiums ceded to the Company’s three largest reinsurers totaled $152.4 million, $65.9 million and $47.4 million, representing 36.3% of the total balance.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At December 31, 2025 reinsurance recoverable on unpaid losses by the Company’s three largest reinsurers were $96.5 million, $51.2 million and $32.8 million representing 21.9% of the total balance. At December 31, 2024 reinsurance recoverable on unpaid losses by the Company’s three largest reinsurers were $137.0 million, $26.9 million and $24.4 million representing 47.7% of the total balance. The Company seeks reinsurers that have an A.M. best rating of A− (excellent) or better or requires them to post collateral.</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12. Credit Agreements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U.S. Bank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December 2021, the Company entered into a Credit Agreement (the “Credit Agreement”) with certain lenders which provides a revolving credit facility of up to $100.0 million (the “Revolving Loan”). The maturity of the facility is December 8, 2026. The Revolving Loan may be either a SOFR rate loan or a base rate loan, at the Company’s discretion. The Revolving Loan may be prepaid in full or in part at any time with no prepayment premium and may be reduced in full or in part at any time upon prior notice. Interest on the Revolving Loan accrues on each SOFR rate loan at the applicable SOFR (as defined in the Credit Agreement) plus 1.75% and on each base rate loan at the applicable Alternate Base Rate (as defined in the Credit Agreement) plus (ii) 0.75%. In addition, the Company paid a commitment fee of $0.3 million upon closing of the Credit Agreement and must pay an unused line fee of 0.25% per annum on any unborrowed amount under the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obligations under the Credit Agreement are unsecured with a negative pledge against all assets of Palomar and its subsidiaries as described in the Credit Agreement. 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As of December 31, 2025, the Company was in compliance with all covenants.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Credit Agreement provides for events of default customary for revolving loans of this type, including but not limited to non-payment, breaches, or defaults in the performance of covenants, insolvency, bankruptcy and the occurrence of a material adverse effect on Palomar. During the existence of an event of default, all outstanding amounts of the Revolving Loan shall bear interest at a rate per annum equal to the rate otherwise applicable thereto plus 2.00%.</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and 2024, there were no outstanding borrowings under this Credit Agreement. For the years ended December 31, 2025 and 2024, the Company incurred $0.4 million and $0.3 million, respectively, of interest related to borrowings and amortization of fees associated with the Credit Agreement.</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FHLB Line of Credit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Company’s PSIC subsidiary is a member of the Federal Home Loan Bank of San Francisco (“FHLB”). Membership in the FHLB provides PSIC access to collateralized advances, which can be drawn for general corporate purposes and used to enhance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liquidity management. All borrowings are fully secured by a pledge of specific investment securities of PSIC and the borrowing capacity is currently equal to 10% of PSIC’s statutory admitted assets. All advances have a predetermined term and the interest rate varies based on the term of the advance.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and 2024, there were no borrowings outstanding through the FHLB. There was no interest expense on the FHLB Line of Credit for the year ended December 31, 2025. Interest expense on the FHLB Line of Credit was $0.8 million for the year ended December 31, 2024.</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13. 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and 2024, the Company has 5,000,000 preferred shares authorized with a par value of $0.0001 and no preferred shares issued and outstanding. As of December 31, 2025 and 2024, the Company has 500,000,000 common shares authorized and 26,520,417 and 26,529,402 common shares issued and outstanding, respectively, with a par value of $0.0001. Additional paid in capital is $523.2 million as of December 31, 2025 and $493.7 million as of December 31,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Common stock reserved for future issuance consists of the following as of December 31, 2025:</w:t>
      </w:r>
    </w:p>
    <w:p>
      <w:pPr>
        <w:pStyle w:val="TextBody"/>
        <w:bidi w:val="0"/>
        <w:spacing w:lineRule="auto" w:line="273"/>
        <w:jc w:val="left"/>
        <w:rPr/>
      </w:pPr>
      <w:r>
        <w:rPr/>
        <w:t> </w:t>
      </w:r>
    </w:p>
    <w:tbl>
      <w:tblPr>
        <w:tblW w:w="8030" w:type="dxa"/>
        <w:jc w:val="left"/>
        <w:tblInd w:w="0" w:type="dxa"/>
        <w:tblLayout w:type="fixed"/>
        <w:tblCellMar>
          <w:top w:w="28" w:type="dxa"/>
          <w:left w:w="28" w:type="dxa"/>
          <w:bottom w:w="28" w:type="dxa"/>
          <w:right w:w="28" w:type="dxa"/>
        </w:tblCellMar>
      </w:tblPr>
      <w:tblGrid>
        <w:gridCol w:w="6616"/>
        <w:gridCol w:w="146"/>
        <w:gridCol w:w="146"/>
        <w:gridCol w:w="931"/>
        <w:gridCol w:w="19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 options outstanding under 2019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499,676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stock units outstanding under 2019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296,285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Performance stock units outstanding under 2019 Equity Incentive Plan, at target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502,022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authorized for future issuance under 2019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4,211,864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authorized for future issuance under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1,581,244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7,091,091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does not maintain a treasury stock account and issues new shares to settle employee stock purchases, exercises of stock options, and vestings of other types of equity awards.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below table summarizes the Company’s stock-based compensation expense for each period presented:</w:t>
      </w:r>
    </w:p>
    <w:p>
      <w:pPr>
        <w:pStyle w:val="TextBody"/>
        <w:bidi w:val="0"/>
        <w:spacing w:lineRule="auto" w:line="273"/>
        <w:jc w:val="left"/>
        <w:rPr/>
      </w:pPr>
      <w:r>
        <w:rPr/>
        <w:t> </w:t>
      </w:r>
    </w:p>
    <w:tbl>
      <w:tblPr>
        <w:tblW w:w="6583" w:type="dxa"/>
        <w:jc w:val="left"/>
        <w:tblInd w:w="0" w:type="dxa"/>
        <w:tblLayout w:type="fixed"/>
        <w:tblCellMar>
          <w:top w:w="28" w:type="dxa"/>
          <w:left w:w="28" w:type="dxa"/>
          <w:bottom w:w="28" w:type="dxa"/>
          <w:right w:w="28" w:type="dxa"/>
        </w:tblCellMar>
      </w:tblPr>
      <w:tblGrid>
        <w:gridCol w:w="3001"/>
        <w:gridCol w:w="146"/>
        <w:gridCol w:w="211"/>
        <w:gridCol w:w="676"/>
        <w:gridCol w:w="146"/>
        <w:gridCol w:w="146"/>
        <w:gridCol w:w="211"/>
        <w:gridCol w:w="676"/>
        <w:gridCol w:w="146"/>
        <w:gridCol w:w="146"/>
        <w:gridCol w:w="211"/>
        <w:gridCol w:w="67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14,913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Stock-based compensation expense is recognized on a straight-line basis over the vesting period of awards. The Company does not apply a forfeiture rate to unvested awards and accounts for forfeitures as they occur. All stock-based compensation is included in other underwriting expenses in the Company’s consolidated statements of income and comprehensive income.</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2019 Equity Incentive Plan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 </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Recipients of stock options can purchase shares of the Company’s common stock at a price equal to the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stock option transactions for the year ended December 31, 2025:</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797"/>
        <w:gridCol w:w="146"/>
        <w:gridCol w:w="171"/>
        <w:gridCol w:w="920"/>
        <w:gridCol w:w="166"/>
        <w:gridCol w:w="146"/>
        <w:gridCol w:w="530"/>
        <w:gridCol w:w="1437"/>
        <w:gridCol w:w="146"/>
        <w:gridCol w:w="146"/>
        <w:gridCol w:w="710"/>
        <w:gridCol w:w="1760"/>
        <w:gridCol w:w="146"/>
        <w:gridCol w:w="146"/>
        <w:gridCol w:w="389"/>
        <w:gridCol w:w="1253"/>
        <w:gridCol w:w="196"/>
      </w:tblGrid>
      <w:tr>
        <w:trPr/>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9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47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Aggregate intrinsic value ($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588,385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42,273</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(88,175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7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17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7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7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 and 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51,273</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total intrinsic value of stock options exercised during the years ended December 31, 2025 and 2024 was $11.8 million and $18.7 million, respectively.</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Restricted stock units are valued on their grant date and generally vest either on the first anniversary of the grant date or over a three-year period with one third vesting on each anniversary date, subject to continued service with the Company. The fair value of RSUs is determined using the closing price of the Company's common stock on the grant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RSU transactions for the year ended December 31, 2025:</w:t>
      </w:r>
    </w:p>
    <w:p>
      <w:pPr>
        <w:pStyle w:val="TextBody"/>
        <w:bidi w:val="0"/>
        <w:spacing w:lineRule="auto" w:line="273"/>
        <w:jc w:val="left"/>
        <w:rPr/>
      </w:pPr>
      <w:r>
        <w:rPr/>
        <w:t> </w:t>
      </w:r>
    </w:p>
    <w:tbl>
      <w:tblPr>
        <w:tblW w:w="9575" w:type="dxa"/>
        <w:jc w:val="left"/>
        <w:tblInd w:w="0" w:type="dxa"/>
        <w:tblLayout w:type="fixed"/>
        <w:tblCellMar>
          <w:top w:w="28" w:type="dxa"/>
          <w:left w:w="28" w:type="dxa"/>
          <w:bottom w:w="28" w:type="dxa"/>
          <w:right w:w="28" w:type="dxa"/>
        </w:tblCellMar>
      </w:tblPr>
      <w:tblGrid>
        <w:gridCol w:w="3886"/>
        <w:gridCol w:w="146"/>
        <w:gridCol w:w="235"/>
        <w:gridCol w:w="1355"/>
        <w:gridCol w:w="166"/>
        <w:gridCol w:w="146"/>
        <w:gridCol w:w="820"/>
        <w:gridCol w:w="2630"/>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320,411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65.03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141,575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116.77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(157,431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63.93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of December 31, 2025, the Company had approximately $18.0 million of total unrecognized stock-based compensation expense related to RSUs expected to be recognized over a weighted-average period of 1.5 years.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Performance Stock Units (</w:t>
      </w:r>
      <w:r>
        <w:rPr>
          <w:rFonts w:ascii="Times New Roman" w:hAnsi="Times New Roman"/>
          <w:color w:val="000000"/>
          <w:sz w:val="20"/>
        </w:rPr>
        <w:t>“</w:t>
      </w:r>
      <w:r>
        <w:rPr>
          <w:rFonts w:ascii="Times New Roman" w:hAnsi="Times New Roman"/>
          <w:i/>
          <w:color w:val="000000"/>
          <w:sz w:val="20"/>
        </w:rPr>
        <w:t>PSUs</w:t>
      </w:r>
      <w:r>
        <w:rPr>
          <w:rFonts w:ascii="Times New Roman" w:hAnsi="Times New Roman"/>
          <w:color w:val="000000"/>
          <w:sz w:val="20"/>
        </w:rPr>
        <w:t>”</w:t>
      </w:r>
      <w:r>
        <w:rPr>
          <w:rFonts w:ascii="Times New Roman" w:hAnsi="Times New Roman"/>
          <w:i/>
          <w:color w:val="000000"/>
          <w:sz w:val="2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issues PSUs to employees with a combination of service, performance, and market conditions.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December 31, 2025, four stock price milestones have been achieved solely with respect to the PSU award granted to the Chief Executive Officer. Additionally, two stock price milestones have been achieved with respect to each of the PSU awards granted to four other executives. These PSUs have been earned, but will not vest until the fifth anniversary of the grant date, subject to continued service.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For PSU grants issued in years prior to 2023, the PSU’s performance period was the fiscal year of the grant. For PSU grants issued in 2023 and after, the PSU’s performance period is primarily a three-year period beginning with the grant date.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Effective starting with 2025 grants, PSUs issued to executives include a relative total shareholder return (“RTSR”) modifier. The RTSR modifier adjusts PSU payouts up or down based on the Company’s shareholder return relative to the S&amp;P 1500 Property &amp; Casualty Insurance Index (the “Index”) over a three-year measurement period. These PSUs were valued using a Monte Carlo simulation with key valuation inputs as follows: </w:t>
      </w:r>
    </w:p>
    <w:p>
      <w:pPr>
        <w:pStyle w:val="TextBody"/>
        <w:bidi w:val="0"/>
        <w:spacing w:lineRule="auto" w:line="273"/>
        <w:jc w:val="left"/>
        <w:rPr/>
      </w:pPr>
      <w:r>
        <w:rPr/>
        <w:t> </w:t>
      </w:r>
    </w:p>
    <w:tbl>
      <w:tblPr>
        <w:tblW w:w="4348" w:type="dxa"/>
        <w:jc w:val="left"/>
        <w:tblInd w:w="0" w:type="dxa"/>
        <w:tblLayout w:type="fixed"/>
        <w:tblCellMar>
          <w:top w:w="28" w:type="dxa"/>
          <w:left w:w="28" w:type="dxa"/>
          <w:bottom w:w="28" w:type="dxa"/>
          <w:right w:w="28" w:type="dxa"/>
        </w:tblCellMar>
      </w:tblPr>
      <w:tblGrid>
        <w:gridCol w:w="2671"/>
        <w:gridCol w:w="146"/>
        <w:gridCol w:w="289"/>
        <w:gridCol w:w="926"/>
        <w:gridCol w:w="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 Awards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Term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 years</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 (1)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Volatility (2)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fair value (3)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The risk-free interest rate was based on the zero-coupon U.S. Treasury yield curve on the valuation date, with a maturity matched to the performance period.</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Volatility is derived from historical stock prices as well as implied volatility when appropriate and available.</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weighted average of fair values used to record compensation expense as determined by the Monte Carlo simulation.</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 summarizes PSU transactions for the year ended December 31, 2025:</w:t>
      </w:r>
    </w:p>
    <w:p>
      <w:pPr>
        <w:pStyle w:val="TextBody"/>
        <w:bidi w:val="0"/>
        <w:spacing w:lineRule="auto" w:line="273"/>
        <w:jc w:val="left"/>
        <w:rPr/>
      </w:pPr>
      <w:r>
        <w:rPr/>
        <w:t> </w:t>
      </w:r>
    </w:p>
    <w:tbl>
      <w:tblPr>
        <w:tblW w:w="9575" w:type="dxa"/>
        <w:jc w:val="left"/>
        <w:tblInd w:w="0" w:type="dxa"/>
        <w:tblLayout w:type="fixed"/>
        <w:tblCellMar>
          <w:top w:w="28" w:type="dxa"/>
          <w:left w:w="28" w:type="dxa"/>
          <w:bottom w:w="28" w:type="dxa"/>
          <w:right w:w="28" w:type="dxa"/>
        </w:tblCellMar>
      </w:tblPr>
      <w:tblGrid>
        <w:gridCol w:w="3886"/>
        <w:gridCol w:w="146"/>
        <w:gridCol w:w="250"/>
        <w:gridCol w:w="1340"/>
        <w:gridCol w:w="166"/>
        <w:gridCol w:w="146"/>
        <w:gridCol w:w="930"/>
        <w:gridCol w:w="2520"/>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460,450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86,844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99.61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(41,400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34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502,022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5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PSU grants above represent the number of shares that would vest based on achievement of all stock price milestones in the executive stock grants and the 100% achievement of the predetermined company performance conditions for the other PSU grants. The actual number of PSUs which will vest is subject to adjustment based on the Company’s actual stock price performance and financial performance relative to the predetermined targets and subject to recipient service requirements. As of December 31, 2025, the Company had approximately $8.8 million of total unrecognized stock-based compensation expense related to PSUs expected to be recognized over a weighted-average period of 0.9 years.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2021 Executive Stock Grants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the year ended December 31, 2021, the Company granted 192,307 RSUs and 350,000 PSUs to various executives, including the Company’s CEO. The RSUs vest over a period of five years with one fifth vesting upon the first, second and third anniversary of the grants and the remainder vesting quarterly thereafter.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PSUs are earned based on the achievement of stock price milestones. If the Company’s stock price reaches and remains at certain milestones for 30 days, the PSUs shall become earned units and will vest upon completion of a requisite service period. The Company’s CEO must remain as an employee through December 31, 2025, or as an employee and/or director through the fifth anniversary of the grant date the PSUs to vest. Other executives must remain as employees through December 31, 2026 for the PSUs to vest. As of December 31, 2025, 143,750 PSU shares have become earned units and will vest upon completion of the requisite service period.</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2019 Employee Stock Purchase Plan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12,426 and 17,100 shares pursuant to the ESPP during the years ended December 31, 2025 and 2024, respectively.</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Share repurchases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July 2025, the Company’s Board of Directors approved the adoption of a share repurchase plan authorizing the repurchase of up to $150 million of outstanding shares of common stock through the period ending on July 31, 2027.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repurchased 308,417 shares for $37.3 million at an average price of $120.85 per share under this program during the year ended December 31, 2025. Approximately $112.7 million remains available for future repurchases under this program. The Company accounts for share repurchases by charging the excess of repurchase price over the common stock’s par value entirely to retained earnings. All repurchases shares are retired and beocme authorized but unissued shares.</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14. Accumulated Other Comprehensive Income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accumulated other comprehensive income (loss) (“AOCI”) are as follows:</w:t>
      </w:r>
    </w:p>
    <w:p>
      <w:pPr>
        <w:pStyle w:val="TextBody"/>
        <w:bidi w:val="0"/>
        <w:spacing w:lineRule="auto" w:line="273"/>
        <w:jc w:val="left"/>
        <w:rPr/>
      </w:pPr>
      <w:r>
        <w:rPr/>
        <w:t> </w:t>
      </w:r>
    </w:p>
    <w:tbl>
      <w:tblPr>
        <w:tblW w:w="9678" w:type="dxa"/>
        <w:jc w:val="left"/>
        <w:tblInd w:w="0" w:type="dxa"/>
        <w:tblLayout w:type="fixed"/>
        <w:tblCellMar>
          <w:top w:w="28" w:type="dxa"/>
          <w:left w:w="28" w:type="dxa"/>
          <w:bottom w:w="28" w:type="dxa"/>
          <w:right w:w="28" w:type="dxa"/>
        </w:tblCellMar>
      </w:tblPr>
      <w:tblGrid>
        <w:gridCol w:w="5756"/>
        <w:gridCol w:w="146"/>
        <w:gridCol w:w="211"/>
        <w:gridCol w:w="736"/>
        <w:gridCol w:w="166"/>
        <w:gridCol w:w="146"/>
        <w:gridCol w:w="211"/>
        <w:gridCol w:w="736"/>
        <w:gridCol w:w="166"/>
        <w:gridCol w:w="146"/>
        <w:gridCol w:w="211"/>
        <w:gridCol w:w="736"/>
        <w:gridCol w:w="311"/>
      </w:tblGrid>
      <w:tr>
        <w:trPr/>
        <w:tc>
          <w:tcPr>
            <w:tcW w:w="5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7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(26,845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(36,515</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before reclassification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15,913</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Federal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before reclassification,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12,571</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Federal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Amounts reclassified from AOCI,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(23,991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15. Underwriting Information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a single reportable segment and offers specialty insurance products. Gross written premiums (“GWP”) by product are presented below:</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516"/>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571,373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522,864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436,897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38.3</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Casualty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542,949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235,592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90,388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Inland Marine and Other Property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446,184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334,079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250,022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247,547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116,239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Fronting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Gross written premiums by state are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516"/>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626,399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668,635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600,791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160,639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124,416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95,517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Florida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96,764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67,008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Hawaii</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92,585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72,558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Washington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57,900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49,494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68,119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54,406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Colorado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819,768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Gross written premiums by insurance subsidiary are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516"/>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87"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995,901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823,263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653,809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57.3</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PESIC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936,971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661,404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487,749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42.7</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57,295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FIA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distributes a significant portion of its products through select program administrators. Each of the products managed by the program administrators operates as a separate program that is governed by an independent, separately negotiated agreement with unique terms and conditions, including geographic scope, key men provisions, economics and exclusivity. These programs also feature separate managerial oversight and leadership, policy administration systems and retail agents originating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year ended December 31, 2025, our largest program administrator distributed $411.0 million or 20.3% of our gross written premiums and our second largest program administrator distributed $237.3 million or 11.7% of our gross written premiums. There were no other program administrators which distributed greater than 10% of our gross written premiums for the year ended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year ended December 31, 2024, our largest program administrator distributed $403.4 million or 26.2% of our gross written premiums. There were no other program administrators which distributed greater than 10% of our gross written premiums for the year ended December 31,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year ended December 31, 2023, our largest program administrator distributed $394.1 million or 34.5% of our gross written premiums and our second largest program administrator distributed $152.4 million, or 13.3% of our gross written premiums. There were no other program administrators which distributed greater than 10% of our gross written premiums for the year ended December 31, 2023.</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16. Retirement and Post-Employment Retirement Plans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employees meeting certain eligibility requirements, the Company provides a defined contribution retirement plan under IRC Section 401(k). Under a safe-harbor plan, the Company contributes 3.5% of each participant’s gross wages regardless of the employee’s contribution. For the years ended December 31, 2025, 2024 and 2023 the Company’s contributions to the plan were $2.3 million, $1.3 million and $0.9 million, respectively.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17. 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components of the Company’s income tax expense (benefit) are as follows:</w:t>
      </w:r>
    </w:p>
    <w:p>
      <w:pPr>
        <w:pStyle w:val="TextBody"/>
        <w:bidi w:val="0"/>
        <w:spacing w:lineRule="auto" w:line="273"/>
        <w:jc w:val="left"/>
        <w:rPr/>
      </w:pPr>
      <w:r>
        <w:rPr/>
        <w:t> </w:t>
      </w:r>
    </w:p>
    <w:tbl>
      <w:tblPr>
        <w:tblW w:w="5328" w:type="dxa"/>
        <w:jc w:val="left"/>
        <w:tblInd w:w="0" w:type="dxa"/>
        <w:tblLayout w:type="fixed"/>
        <w:tblCellMar>
          <w:top w:w="28" w:type="dxa"/>
          <w:left w:w="28" w:type="dxa"/>
          <w:bottom w:w="28" w:type="dxa"/>
          <w:right w:w="28" w:type="dxa"/>
        </w:tblCellMar>
      </w:tblPr>
      <w:tblGrid>
        <w:gridCol w:w="1726"/>
        <w:gridCol w:w="146"/>
        <w:gridCol w:w="211"/>
        <w:gridCol w:w="676"/>
        <w:gridCol w:w="146"/>
        <w:gridCol w:w="146"/>
        <w:gridCol w:w="211"/>
        <w:gridCol w:w="676"/>
        <w:gridCol w:w="146"/>
        <w:gridCol w:w="146"/>
        <w:gridCol w:w="211"/>
        <w:gridCol w:w="676"/>
        <w:gridCol w:w="21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53,318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31,006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26,756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54,278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31,560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27,267</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of December 31, 2025 and 2024, significant components of the Company’s deferred tax assets and liabilities were as follows:</w:t>
      </w:r>
    </w:p>
    <w:p>
      <w:pPr>
        <w:pStyle w:val="TextBody"/>
        <w:bidi w:val="0"/>
        <w:spacing w:lineRule="auto" w:line="273"/>
        <w:jc w:val="left"/>
        <w:rPr/>
      </w:pPr>
      <w:r>
        <w:rPr/>
        <w:t> </w:t>
      </w:r>
    </w:p>
    <w:tbl>
      <w:tblPr>
        <w:tblW w:w="6759" w:type="dxa"/>
        <w:jc w:val="left"/>
        <w:tblInd w:w="0" w:type="dxa"/>
        <w:tblLayout w:type="fixed"/>
        <w:tblCellMar>
          <w:top w:w="28" w:type="dxa"/>
          <w:left w:w="28" w:type="dxa"/>
          <w:bottom w:w="28" w:type="dxa"/>
          <w:right w:w="28" w:type="dxa"/>
        </w:tblCellMar>
      </w:tblPr>
      <w:tblGrid>
        <w:gridCol w:w="4096"/>
        <w:gridCol w:w="146"/>
        <w:gridCol w:w="211"/>
        <w:gridCol w:w="736"/>
        <w:gridCol w:w="166"/>
        <w:gridCol w:w="146"/>
        <w:gridCol w:w="211"/>
        <w:gridCol w:w="736"/>
        <w:gridCol w:w="3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Losses and LAE reserve discount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State tax net operating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3,372</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Deferred Intercompany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605</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19,550</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Capitalized organizational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Unrealized losses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5,134</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2,533</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1,631</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36,890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Deferred acquisition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(19,929</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(1,118</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State deferred tax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(1,216</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(1,604</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(36,455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(24,704</w:t>
            </w:r>
          </w:p>
        </w:tc>
        <w:tc>
          <w:tcPr>
            <w:tcW w:w="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deferred tax asset before valuation allowance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12,186</w:t>
            </w:r>
          </w:p>
        </w:tc>
        <w:tc>
          <w:tcPr>
            <w:tcW w:w="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8,814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The above valuation allowance relates to state net operating losses (“NOL”) carryforwards. The change in the valuation allowance impacting the effective tax rate was approximately $0.1 million, or 0.04%. Due to the limited carryforward period these do not meet the “more likely than not” criteria and it is necessary to maintain a valuation allowance on these items. The amount of the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deferred tax asset considered realizable, however, could be adjusted if estimates of future taxable income during the carryforward period change or if objective negative evidence in the form of cumulative losses is no longer present.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there are no federal net operating loss or tax credit carryforwards for tax purposes. The Company has $3.3 million of state NOLs (tax-effected, net of federal benefit) set to expire beginning in 2025 over various periods. There are $1.1 million of tax capital loss carryforwards which will begin to expire in 2029.</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is a reconciliation of the statutory federal income tax rate to the Company’s effective tax rate for the tax years ended December 31, 2025, 2024 and 2023:</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006"/>
        <w:gridCol w:w="146"/>
        <w:gridCol w:w="211"/>
        <w:gridCol w:w="676"/>
        <w:gridCol w:w="166"/>
        <w:gridCol w:w="146"/>
        <w:gridCol w:w="146"/>
        <w:gridCol w:w="571"/>
        <w:gridCol w:w="289"/>
        <w:gridCol w:w="146"/>
        <w:gridCol w:w="211"/>
        <w:gridCol w:w="676"/>
        <w:gridCol w:w="166"/>
        <w:gridCol w:w="146"/>
        <w:gridCol w:w="146"/>
        <w:gridCol w:w="571"/>
        <w:gridCol w:w="289"/>
        <w:gridCol w:w="146"/>
        <w:gridCol w:w="211"/>
        <w:gridCol w:w="676"/>
        <w:gridCol w:w="166"/>
        <w:gridCol w:w="146"/>
        <w:gridCol w:w="146"/>
        <w:gridCol w:w="571"/>
        <w:gridCol w:w="435"/>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8"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8"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 computed at federal tax rate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53,212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21.00</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31,750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21.00</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21.00</w:t>
            </w:r>
          </w:p>
        </w:tc>
        <w:tc>
          <w:tcPr>
            <w:tcW w:w="4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State and local income tax, net of federal (national) income tax effect (1) (2)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0.41</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0.32</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0.69</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0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0.22</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0.28</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Dividend received deduction and tax</w:t>
              <w:noBreakHyphen/>
              <w:t>exempt interest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(0.06</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(0.09</w:t>
            </w:r>
          </w:p>
        </w:tc>
        <w:tc>
          <w:tcPr>
            <w:tcW w:w="43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Meals &amp; entertainment, penalties &amp; parking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0.18</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0.19</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0.25</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0.45</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0.50</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0.26</w:t>
            </w:r>
          </w:p>
        </w:tc>
        <w:tc>
          <w:tcPr>
            <w:tcW w:w="4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56,320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22.22</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33,623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22.23</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24,441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w:t>
            </w:r>
          </w:p>
        </w:tc>
        <w:tc>
          <w:tcPr>
            <w:tcW w:w="4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rPr/>
      </w:pPr>
      <w:r>
        <w:rP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State taxes in California, Oregon, and Illinois made up the majority (greater than 50%) of the tax effect in this category.</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Certain prior year amounts have been reclassified to conform to the current year presentation. Such reclassifications had no impact on net income.</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of December 31, 2025, the amount of income taxes paid is as follows:</w:t>
      </w:r>
    </w:p>
    <w:p>
      <w:pPr>
        <w:pStyle w:val="TextBody"/>
        <w:bidi w:val="0"/>
        <w:spacing w:lineRule="auto" w:line="273"/>
        <w:jc w:val="left"/>
        <w:rPr/>
      </w:pPr>
      <w:r>
        <w:rPr/>
        <w:t> </w:t>
      </w:r>
    </w:p>
    <w:tbl>
      <w:tblPr>
        <w:tblW w:w="4549"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Income taxes paid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57,961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37,810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income taxes paid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38,454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year ended December 31, 2025, 2024, and 2023, the difference relates primarily to Section 162(m) limitations on executive compensation deductions, the permanent component of employee stock option exercises, state taxes, and valuation allowance set against state attributes.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and 2024, the Company had no uncertain tax positions that required either recognition or disclosure in the consolidated financial statements. This is not expected to change significantly during the next twelve months. The Company classifies interest and penalties, if any, related to the liability for unrecognized tax benefits as a component of the provision for income taxes. The Company’s federal income tax returns for 2019 and 2021 through 2024 and its state income tax returns for 2021 through 2024 remain subject to examination by the tax authorities. The 2025 income tax return is expected to be filed in 2026 and is subject to examination when filed.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Pillar Two/GloBE rules, certain countries have agreed to enact a jurisdictional-level minimum tax system with a minimum effective tax rate (ETR) of 15%. The Bermuda Corporate Income Tax Act of 2023 also established a 15% income tax regime. Companies with annual revenue above 750 million Euros will be within the scope of Pillar Two and the Bermuda CIT. As of December 31, 2025, Palomar is not within this revenue threshold and hence not an in-scope entity. Subsequent financial years will be assessed for these rules.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into law. The OBBBA extends or makes permanent various tax provisions that were originally enacted in the 2017 Tax Cuts and Jobs Act and were set to expire at the end of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2025. While the enactment of OBBBA did not materially impact the Company's overall income tax expense, the provision for internally developed software expenses lowered the Company's federal income tax by $2.5 million for the year ended December 31, 2025.</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18. Earnings Per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sets out earnings per share of common stock:</w:t>
      </w:r>
    </w:p>
    <w:p>
      <w:pPr>
        <w:pStyle w:val="TextBody"/>
        <w:bidi w:val="0"/>
        <w:spacing w:lineRule="auto" w:line="273"/>
        <w:jc w:val="left"/>
        <w:rPr/>
      </w:pPr>
      <w:r>
        <w:rPr/>
        <w:t> </w:t>
      </w:r>
    </w:p>
    <w:tbl>
      <w:tblPr>
        <w:tblW w:w="8623" w:type="dxa"/>
        <w:jc w:val="left"/>
        <w:tblInd w:w="0" w:type="dxa"/>
        <w:tblLayout w:type="fixed"/>
        <w:tblCellMar>
          <w:top w:w="28" w:type="dxa"/>
          <w:left w:w="28" w:type="dxa"/>
          <w:bottom w:w="28" w:type="dxa"/>
          <w:right w:w="28" w:type="dxa"/>
        </w:tblCellMar>
      </w:tblPr>
      <w:tblGrid>
        <w:gridCol w:w="3961"/>
        <w:gridCol w:w="146"/>
        <w:gridCol w:w="211"/>
        <w:gridCol w:w="1036"/>
        <w:gridCol w:w="146"/>
        <w:gridCol w:w="146"/>
        <w:gridCol w:w="211"/>
        <w:gridCol w:w="1036"/>
        <w:gridCol w:w="146"/>
        <w:gridCol w:w="146"/>
        <w:gridCol w:w="211"/>
        <w:gridCol w:w="103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25"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25"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197,070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79,201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26,639,733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25,520,343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24,822,004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Common Share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845,517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703,499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505,087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27,485,250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26,223,842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25,327,091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Common share equivalents relate primarily to outstanding stock options, RSUs and PSUs under the 2019 Plan and unpurchased shares under the 2019 ESPP and are calculated using the treasury stock method.</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19. Statutory financial information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(“SAP”)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investments in fixed income securities are carried at fair value under GAAP whereas such securities are carried at amortized cost under SAP, and (d) the criteria for recognizing net DTAs and the methodologies used to determine such amounts are different under SAP and GAAP.</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Combined statutory net income and statutory capital surplus for the U.S. insurance subsidiaries, PSIC, PESIC, FIA, and Laulima as of December 31, 2025, 2024 and 2023 and for the years then ended are summarized as follows:</w:t>
      </w:r>
    </w:p>
    <w:p>
      <w:pPr>
        <w:pStyle w:val="TextBody"/>
        <w:bidi w:val="0"/>
        <w:spacing w:lineRule="auto" w:line="273"/>
        <w:jc w:val="left"/>
        <w:rPr/>
      </w:pPr>
      <w:r>
        <w:rPr/>
        <w:t> </w:t>
      </w:r>
    </w:p>
    <w:tbl>
      <w:tblPr>
        <w:tblW w:w="6756" w:type="dxa"/>
        <w:jc w:val="left"/>
        <w:tblInd w:w="0" w:type="dxa"/>
        <w:tblLayout w:type="fixed"/>
        <w:tblCellMar>
          <w:top w:w="28" w:type="dxa"/>
          <w:left w:w="28" w:type="dxa"/>
          <w:bottom w:w="28" w:type="dxa"/>
          <w:right w:w="28" w:type="dxa"/>
        </w:tblCellMar>
      </w:tblPr>
      <w:tblGrid>
        <w:gridCol w:w="2656"/>
        <w:gridCol w:w="146"/>
        <w:gridCol w:w="290"/>
        <w:gridCol w:w="1075"/>
        <w:gridCol w:w="146"/>
        <w:gridCol w:w="146"/>
        <w:gridCol w:w="211"/>
        <w:gridCol w:w="676"/>
        <w:gridCol w:w="166"/>
        <w:gridCol w:w="146"/>
        <w:gridCol w:w="211"/>
        <w:gridCol w:w="676"/>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PSIC &amp; PESIC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Laulima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Statutory net income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43"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179,240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2,833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102,510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Statutory capital and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530,337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18,036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25,593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451,719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18,136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439,264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14,711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Risk-Based Capital (“RBC”) requirements promulgated by the NAIC require property/casualty insurers to maintain minimum capitalization levels determined based on formulas incorporating various business risks of the insurance subsidiaries. As of December 31, 2025 and 2024, the company’s capital and surplus exceeds its authorized control level.</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Bermuda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Under the Bermuda Insurance Act, 1978 and related regulations, PSRE is required to maintain certain solvency and liquidity levels. The minimum statutory solvency margin required was approximately $1.2 million at December 31, 2025 and 2024. Actual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statutory capital and surplus at December 31, 2025 and 2024 was $17.8 million and $17.0 million, respectively. PSRE had statutory net income of $0.4 million, $0.4 million and $0.3 million for 2025, 2024 and 2023,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PSRE had stockholders’ equity of $18.1 million and $16.9 million on a GAAP basis at December 31, 2025 and 2024, respectively. The principal difference between statutory capital and surplus and stockholders’ equity presented in accordance with GAAP is related to the valuation of investments. No dividends were paid in 2025 and 2024.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PSRE maintains a Class 3A license and thus must maintain a minimum liquidity ratio in which the value of its relevant assets is not less than 75.0% of the amount of its relevant liabilities for general business. Relevant assets include cash and cash equivalents, fixed maturity securities, accrued interest income, premiums receivable, losses recoverable from reinsurers, and funds withheld. The relevant liabilities include total general business insurance reserves and total other liabilities, less sundry liabilities. As of December 31, 2025 and 2024, the Company met the minimum liquidity ratio requirement.</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20. Dividend Restrictions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U.S. insurance company subsidiaries, PSIC, PESIC, and FIA are restricted by the statutes as to the amount of dividends that they may pay without prior approval by state insurance commissioners.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$176.0 million in 2026 without approval by the California and Oregon Insurance Commissioners. During October 2025, PSIC elected to pay a dividend of $99.0 million to its parent company.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$7.4 million in 2026 without approval of the Arizona Insurance Commissioner.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is subject to New Jersey law, such that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$1.8 million in 2026, conditional upon the Commissioner’s approval.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the above limitations, any dividend or distribution declared is also subject to state regulatory approval prior to payment. In the future, state insurance regulatory authorities may adopt statutory provisions and dividend limitations more restrictive than those currently in effect.</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Bermuda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or if there are reasonable grounds for believing there has been such a breach. Pursuant to Bermuda regulations, the maximum amount of dividends and return of capital available to be paid by a reinsurer is determined pursuant to a formula. Under this formula, the maximum amount of dividends and return of capital available to the Company from PSRE during 2025 is calculated to be approximately $4.5 million. However, this dividend amount is subject to annual enhanced solvency requirement calculations.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21. Commitments and Contingencies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Litigation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is subject to legal proceedings arising from the normal conduct of its business. In the opinion of management, any ultimate liability that may arise from these proceedings will not have a material effect on the Company’s financial position.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Letters of Credit and Trusts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the Company has one irrevocable standby letter of credit for the benefit of ceding insurance companies to secure the unearned premium assumed by PSIC. The bank letters of credit amount to a total of $4.1 million and may renew if the Company continues to assume premium from these insurance companies. The letter of credit is collateralized by the Company’s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December 31, 2025, the Company has a letter of credit for the benefit of the State of California to secured unearned premium and loss reserves incurred in the worker’s compensation program. The letter of credit amounts to $142.3 million and are collateralized by the Company’s available-for-sale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the Company has established seven Regulation 114 Trust accounts for the benefit of ceding insurance companies to secure the unearned premium assumed by PSIC. As of December 31, 2025 the trust had a market value of $22.6 million.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22. Variable Interest Entities (“VIEs”)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Laulima Insurance Exchange, a Hawaii domiciled reciprocal exchange (“Laulima”) is a consolidated VIE. Laulima was formed in 2023 as an insurance carrier organized as an unincorporated association.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Company’s PUEO entity manages the business operations of Laulima and receives a management fee for the services provided to Laulima. Upon formation of Laulima, PSIC provided capital of $15.0 million in the form of a contribution to the surplus note issued by Laulima, which remains outstanding as of December 31, 2025. The Company holds an interest in the form of this surplus note which is included in other liabilities on the Statement of Assets and Liabilities of Laulima. In addition, the Company provides quota share reinsurance on the property business of Laulima. The Company has determined that it has the ability to direct the activities that most significantly impact the economic performance of Laulima and, as it has provided capital to Laulima, would absorb any expected losses which could be significant to Laulima. As such, the Company is deemed the primary beneficiary and consolidates the results of Laulima.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does not own the equity of Laulima, which is owned by the policyholders. In the event of dissolution, policyholders would share any residual unassigned surplus but are not subject to assessment for any deficit in unassigned surplus of Laulima. The assets of Laulima can be used only to settle the obligations of Laulima and general creditors have no recourse to the Company.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results of operations of Laulima are included in the Company’s consolidated statement of income and comprehensive income and Laulima generated $2.2 million of net income in 2025 and $0.1 million of net loss in 2024. As of December 31, 2025, Laulima’s assets totaled $74.1 million, primarily comprised of $19.2 million of cash and investments and $16.9 million of prepaid reinsurance premiums and are included in the Company’s consolidated balance sheets. For the same year, Laulima’s liabilities totaled $65.8 million and primarily include $38.2 million of unearned premiums and $15.0 million of surplus notes. As of December 31, 2024, Laulima’s assets totaled $51.0 million, primarily comprised of $18.5 million of cash and investments, and $30.5 million of prepaid reinsurance premiums and are included in the Company’s consolidated balance sheets. For the same year, Laulima’s liabilities totaled $48.9 million and primarily include $15.0 million of surplus notes. The surplus notes are payable to PSIC and eliminate in consolidation for all years presented.</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23. Business Acquisitions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January 1, 2025, the Company acquired 100% of the outstanding voting stock of FIA for a purchase price of $29.5 million in cash. The acquisition was completed to expand the Company’s surety product offerings and support strategic growth initiatives. In connection with the acquisition, the Company recognized the acquired assets and assumed liabilities of FIA at their estimated fair values as of the acquisition date. The Company recorded the related purchase accounting adjustments as of January 1, 2025. These adjustments primarily result from purchase accounting fair value measurements.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On April 1, 2025, the Company acquired substantially all of the assets and assumed certain liabilities of Advanced AgProtection, LLC (“AAP”) for a purchase price of $32.5 million in cash. The acquisition was completed to support the Company’s strategic entry into the crop insurance business through AAP’s established infrastructure. In connection with the acquisition, the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Company recognized the acquired assets and assumed liabilities of AAP at their estimated fair values as of the acquisition date. The Company recorded the related purchase accounting adjustments as of April 1, 2025. These adjustments primarily result from purchase accounting fair value measurements.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FIA and AAP acquisitions were accounted for as business combinations in accordance with Accounting Standards Codification (“ASC”) 805, Business Combinations. As neither acquisition met the significance thresholds under Rule 3-05 of Regulation S-X, separate financial statements of the acquired entities are not required to be filed. Additional purchase accounting disclosures have been omitted due to the immateriality of these acquisitions individually and in the aggregate in relation to the Company's Consolidated Financial Condition and Results of Operations.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24. Subsequent Events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January 27, 2026, the Company entered into a credit agreement providing for unsecured credit facilities totaling $450 million, comprised of a $150 million revolving credit facility and a $300 million term loan, each maturing on January 27, 2031. Borrowings bear interest at Term SOFR or an alternate base rate plus an applicable margin based on the Company’s Debt to Capital Ratio. The term loan amortizes quarterly beginning June 30, 2026. Proceeds may be used for general corporate purposes, permitted acquisitions and refinancing of existing indebtedness.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Gray Surety Acquisition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January 31, 2026, the Company acquired 100% of the issued and outstanding equity interests of The Gray Casualty &amp; Surety Company (“Gray Surety”) pursuant to an equity purchase agreement for an aggregate purchase price of approximately $311 million. The acquisition was funded with proceeds from a term loan entered into in January 2026 and cash on hand. The acquisition was completed to further expand the Company’s surety platform as part of its ongoing strategy to strengthen and diversify its specialty insurance portfolio. Subsequent to the acquisition, the Company renamed Gray Surety to Palomar Casualty &amp; Surety Company (“PCSC”) and will refer to it as such in the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acquisition will be accounted for as a business combination in accordance with Accounting Standards Codification (“ASC”) 805, Business Combinations, in the period of acquisition. Given the proximity of closing to the issuance of the financial statements, the Company has not completed the initial accounting and will provide additional disclosures required by ASC 805, including those related to the allocation of the purchase price, in future filings as such information becomes available.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evaluated subsequent events from the balance sheet date through the date the financial statements were issued and has determined that there are no other events requiring disclosure.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Schedule II</w:t>
      </w:r>
    </w:p>
    <w:p>
      <w:pPr>
        <w:pStyle w:val="TextBody"/>
        <w:bidi w:val="0"/>
        <w:spacing w:lineRule="auto" w:line="273" w:before="200" w:after="283"/>
        <w:jc w:val="center"/>
        <w:rPr>
          <w:rFonts w:ascii="Times New Roman" w:hAnsi="Times New Roman"/>
          <w:sz w:val="20"/>
        </w:rPr>
      </w:pPr>
      <w:bookmarkStart w:id="25" w:name="condensed_financial_information"/>
      <w:bookmarkEnd w:id="25"/>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Balance Sheets (Parent Company)</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shares and par value data)</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6746"/>
        <w:gridCol w:w="146"/>
        <w:gridCol w:w="248"/>
        <w:gridCol w:w="1095"/>
        <w:gridCol w:w="166"/>
        <w:gridCol w:w="146"/>
        <w:gridCol w:w="264"/>
        <w:gridCol w:w="980"/>
        <w:gridCol w:w="414"/>
      </w:tblGrid>
      <w:tr>
        <w:trPr/>
        <w:tc>
          <w:tcPr>
            <w:tcW w:w="6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Fixed maturity securities available for sale, at fair value (amortized cost: $160,793 in 2025, $153,425 in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159,707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147,467</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 at fair value: (cost: $3,725 in 2025, $1,725 in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2,182</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165,122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151,926</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1,797</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1,547</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Receivables from subsidiaries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84,561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78,961</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Note receivable from 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Investment in subsidiaries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753,448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580,535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829,766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12,396</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Payables to subsidiaries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88,340</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79,444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100,736</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5,000,000 shares authorized as of December 31, 2025 and December 31, 2024, 0 shares issued and outstanding as of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26,520,417 and 26,529,402 shares issued and outstanding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Additional paid</w:t>
              <w:noBreakHyphen/>
              <w:t>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523,168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493,656</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(26,845</w:t>
            </w:r>
          </w:p>
        </w:tc>
        <w:tc>
          <w:tcPr>
            <w:tcW w:w="4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262,216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729,030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1,022,110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829,766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Schedule II</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Statements of Income (Parent Company)</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left"/>
        <w:rPr/>
      </w:pPr>
      <w:r>
        <w:rPr/>
        <w:t> </w:t>
      </w:r>
    </w:p>
    <w:tbl>
      <w:tblPr>
        <w:tblW w:w="10143" w:type="dxa"/>
        <w:jc w:val="left"/>
        <w:tblInd w:w="0" w:type="dxa"/>
        <w:tblLayout w:type="fixed"/>
        <w:tblCellMar>
          <w:top w:w="28" w:type="dxa"/>
          <w:left w:w="28" w:type="dxa"/>
          <w:bottom w:w="28" w:type="dxa"/>
          <w:right w:w="28" w:type="dxa"/>
        </w:tblCellMar>
      </w:tblPr>
      <w:tblGrid>
        <w:gridCol w:w="5986"/>
        <w:gridCol w:w="146"/>
        <w:gridCol w:w="211"/>
        <w:gridCol w:w="781"/>
        <w:gridCol w:w="166"/>
        <w:gridCol w:w="146"/>
        <w:gridCol w:w="211"/>
        <w:gridCol w:w="781"/>
        <w:gridCol w:w="166"/>
        <w:gridCol w:w="146"/>
        <w:gridCol w:w="211"/>
        <w:gridCol w:w="781"/>
        <w:gridCol w:w="41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(45,681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(43,351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(37,857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before equity in net income of subsidiaries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(29,904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in net income of subsidiaries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79,201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losses on securities available for sale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in other comprehensive income (loss) of subsidiaries, net of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91,725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Schedule II</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Statements of Cash Flows (Parent Company)</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5668"/>
        <w:gridCol w:w="146"/>
        <w:gridCol w:w="211"/>
        <w:gridCol w:w="841"/>
        <w:gridCol w:w="166"/>
        <w:gridCol w:w="146"/>
        <w:gridCol w:w="211"/>
        <w:gridCol w:w="841"/>
        <w:gridCol w:w="166"/>
        <w:gridCol w:w="146"/>
        <w:gridCol w:w="211"/>
        <w:gridCol w:w="841"/>
        <w:gridCol w:w="611"/>
      </w:tblGrid>
      <w:tr>
        <w:trPr/>
        <w:tc>
          <w:tcPr>
            <w:tcW w:w="5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197,070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79,201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in undistributed earnings of subsidiaries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(237,686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(150,725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(109,105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10,426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 on 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2,787</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Dividend received from 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38,415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21,484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(114,611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maturities of 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to subsidiaries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(109,150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received from subsidiaries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109,489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(101,607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stock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115,724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common stock issued via equity incentive plans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2,038</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(467</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Supplementary cash flow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federal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57,961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20,640</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state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3,682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right"/>
        <w:rPr>
          <w:rFonts w:ascii="Times New Roman" w:hAnsi="Times New Roman"/>
          <w:b/>
          <w:color w:val="000000"/>
          <w:sz w:val="20"/>
        </w:rPr>
      </w:pPr>
      <w:r>
        <w:rPr>
          <w:rFonts w:ascii="Times New Roman" w:hAnsi="Times New Roman"/>
          <w:b/>
          <w:color w:val="000000"/>
          <w:sz w:val="20"/>
        </w:rPr>
        <w:t>Schedule II</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1.Accounting Policies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Palomar Holdings, Inc. (“the Company”), is an insurance holding company that domesticated in Delaware in March 2019. Prior to domestication in Delaware, the Company was known as GC Palomar Holdings (“GCPH”), which was a Cayman Islands incorporated insurance holding company formed on October 4, 2013 when GC Palomar Investor LP (“GCPI”) acquired control of GCPH.</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Estimates and Assumptions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right"/>
        <w:rPr>
          <w:rFonts w:ascii="Times New Roman" w:hAnsi="Times New Roman"/>
          <w:sz w:val="20"/>
        </w:rPr>
      </w:pPr>
      <w:r>
        <w:rPr>
          <w:rFonts w:ascii="Times New Roman" w:hAnsi="Times New Roman"/>
          <w:b/>
          <w:color w:val="000000"/>
          <w:sz w:val="20"/>
        </w:rPr>
        <w:t>Schedule</w:t>
      </w:r>
      <w:r>
        <w:rPr>
          <w:rFonts w:ascii="Times New Roman" w:hAnsi="Times New Roman"/>
          <w:color w:val="000000"/>
          <w:sz w:val="20"/>
        </w:rPr>
        <w:t xml:space="preserve"> </w:t>
      </w:r>
      <w:r>
        <w:rPr>
          <w:rFonts w:ascii="Times New Roman" w:hAnsi="Times New Roman"/>
          <w:b/>
          <w:color w:val="000000"/>
          <w:sz w:val="20"/>
        </w:rPr>
        <w:t>V</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jc w:val="center"/>
        <w:rPr>
          <w:rFonts w:ascii="Times New Roman" w:hAnsi="Times New Roman"/>
          <w:b/>
          <w:color w:val="000000"/>
          <w:sz w:val="20"/>
        </w:rPr>
      </w:pPr>
      <w:bookmarkStart w:id="26" w:name="valuation_and_qualifying_accounts"/>
      <w:bookmarkEnd w:id="26"/>
      <w:r>
        <w:rPr>
          <w:rFonts w:ascii="Times New Roman" w:hAnsi="Times New Roman"/>
          <w:b/>
          <w:color w:val="000000"/>
          <w:sz w:val="20"/>
        </w:rPr>
        <w:t>Valuation and Qualifying Accounts</w:t>
      </w:r>
    </w:p>
    <w:p>
      <w:pPr>
        <w:pStyle w:val="TextBody"/>
        <w:bidi w:val="0"/>
        <w:spacing w:lineRule="auto" w:line="273"/>
        <w:jc w:val="left"/>
        <w:rPr/>
      </w:pPr>
      <w:r>
        <w:rPr/>
        <w:t> </w:t>
      </w:r>
    </w:p>
    <w:tbl>
      <w:tblPr>
        <w:tblW w:w="9075" w:type="dxa"/>
        <w:jc w:val="left"/>
        <w:tblInd w:w="0" w:type="dxa"/>
        <w:tblLayout w:type="fixed"/>
        <w:tblCellMar>
          <w:top w:w="28" w:type="dxa"/>
          <w:left w:w="28" w:type="dxa"/>
          <w:bottom w:w="28" w:type="dxa"/>
          <w:right w:w="28" w:type="dxa"/>
        </w:tblCellMar>
      </w:tblPr>
      <w:tblGrid>
        <w:gridCol w:w="3766"/>
        <w:gridCol w:w="146"/>
        <w:gridCol w:w="270"/>
        <w:gridCol w:w="735"/>
        <w:gridCol w:w="146"/>
        <w:gridCol w:w="146"/>
        <w:gridCol w:w="283"/>
        <w:gridCol w:w="767"/>
        <w:gridCol w:w="146"/>
        <w:gridCol w:w="146"/>
        <w:gridCol w:w="279"/>
        <w:gridCol w:w="757"/>
        <w:gridCol w:w="146"/>
        <w:gridCol w:w="146"/>
        <w:gridCol w:w="270"/>
        <w:gridCol w:w="735"/>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Deductions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Balance at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Balance at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Beginning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Charged to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Written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End of</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Off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Valuation Allowance for premium receivable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3,486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Valuation Allowance for premium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bookmarkStart w:id="27" w:name="item_9_changes_in_and_disagreements"/>
      <w:bookmarkEnd w:id="27"/>
      <w:r>
        <w:rPr>
          <w:rFonts w:ascii="Times New Roman" w:hAnsi="Times New Roman"/>
          <w:b/>
          <w:color w:val="000000"/>
          <w:sz w:val="20"/>
        </w:rPr>
        <w:t>Item 9. Changes in and Disagreements with Accountants on Accounting and Financial Disclosure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200" w:after="283"/>
        <w:jc w:val="left"/>
        <w:rPr>
          <w:rFonts w:ascii="Times New Roman" w:hAnsi="Times New Roman"/>
          <w:b/>
          <w:color w:val="000000"/>
          <w:sz w:val="20"/>
        </w:rPr>
      </w:pPr>
      <w:bookmarkStart w:id="28" w:name="item_9a_controls_and_procedures"/>
      <w:bookmarkEnd w:id="28"/>
      <w:r>
        <w:rPr>
          <w:rFonts w:ascii="Times New Roman" w:hAnsi="Times New Roman"/>
          <w:b/>
          <w:color w:val="000000"/>
          <w:sz w:val="20"/>
        </w:rPr>
        <w:t>Item 9A. Controls and Procedures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2025,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Management</w:t>
      </w:r>
      <w:r>
        <w:rPr>
          <w:rFonts w:ascii="Times New Roman" w:hAnsi="Times New Roman"/>
          <w:color w:val="000000"/>
          <w:sz w:val="20"/>
        </w:rPr>
        <w:t>’</w:t>
      </w:r>
      <w:r>
        <w:rPr>
          <w:rFonts w:ascii="Times New Roman" w:hAnsi="Times New Roman"/>
          <w:b/>
          <w:i/>
          <w:color w:val="000000"/>
          <w:sz w:val="20"/>
        </w:rPr>
        <w:t>s Report on Internal Control over Financial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(ii)</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Management assessed the effectiveness of our internal control over financial reporting as of December 31, 2025. In making this assessment, management used the framework in Internal Control-Integrated Framework (2013) issued by the Committee of Sponsoring Organizations of the Treadway Commission.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our board of directors.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January 1, 2025 and April 1, 2025, the Company completed the acquisitions of FIA and substantially all of the assets of AAP, respectively. In connection with the AAP acquisition, the Company formed PCIS to hold the acquired operations. Management is in the process of evaluating the existing controls and procedures of FIA and PCIS and integrating them into the Company’s internal control over financial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accordance with SEC guidance permitting a company to exclude an acquired business from management’s assessment of internal control over financial reporting in the year of acquisition, management excluded FIA and PCIS from its assessment of the effectiveness of internal control over financial reporting as of December 31, 2025. FIA and PCIS represented approximately 5% of total assets, 3% of net assets, 3% of total revenues and 1% of net income included in the consolidated financial statements as of and for the year ended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that assessment under the framework in Internal Control-Integrated Framework (2013), management concluded that the company’s internal control over financial reporting was effective as of December 31, 2025. Pursuant to Section 404(c) of the Sarbanes-Oxley Act, our independent registered public accounting firm has issued an attestation report on the effectiveness of our internal control over financial reporting for the year ended December 31, 2025, which is included above.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quarter ended December 31, 2025 that have materially affected, or are reasonably likely to materially affect, our internal control over financial reporting.</w:t>
      </w:r>
    </w:p>
    <w:p>
      <w:pPr>
        <w:pStyle w:val="TextBody"/>
        <w:bidi w:val="0"/>
        <w:spacing w:lineRule="auto" w:line="273" w:before="200" w:after="283"/>
        <w:jc w:val="left"/>
        <w:rPr>
          <w:rFonts w:ascii="Times New Roman" w:hAnsi="Times New Roman"/>
          <w:b/>
          <w:color w:val="000000"/>
          <w:sz w:val="20"/>
        </w:rPr>
      </w:pPr>
      <w:bookmarkStart w:id="29" w:name="item_9b_other_information"/>
      <w:bookmarkEnd w:id="29"/>
      <w:r>
        <w:rPr>
          <w:rFonts w:ascii="Times New Roman" w:hAnsi="Times New Roman"/>
          <w:b/>
          <w:color w:val="000000"/>
          <w:sz w:val="20"/>
        </w:rPr>
        <w:t>Item 9B. Other Information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Rule 10b5-1 Plans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December 3, 2025, Mac Armstrong, the Company’s Chairman and Chief Executive Officer, entered a trading plan intended to satisfy the affirmative defense conditions of Rule 10b5-1c under the Exchange Act, providing for the sale of up to 42,000 shares of the Company’s common stock. Pursuant to this plan, Mr. Armstrong may sell shares beginning March 23, 2026 and ending February 28, 2027.</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December 15, 2025, Angela Grant, the Company’s Chief Legal Officer, entered a trading plan intended to satisfy the affirmative defense conditions of Rule 10b5-1c under the Exchange Act, providing for the exercise and sale of up to 1,254 shares of Company stock options. Pursuant to this plan, Ms. Grant may sell shares beginning March 16, 2026 and ending August 31, 2026.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December 15, 2025 Chris Uchida, the Company’s Chief Financial Officer, entered a trading plan intended to satisfy the affirmative defense conditions of Rule 10b5-1c under the Exchange Act, providing for the exercise and sale of up to 3,150 shares of Company stock options and the sale of up to 5,671 shares of the Company’s common stock. Pursuant to this plan, Mr. Uchida may sell shares beginning April 15, 2026 and ending September 30, 2026.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December 15, 2025, Jon Christianson, the Company’s President, entered a trading plan intended to satisfy the affirmative defense conditions of Rule 10b5-1c under the Exchange Act, providing for the exercise and sale of up to 18,000 shares of Company stock options. Pursuant to this plan, Mr. Christianson may sell shares beginning March 16, 2026 and ending August 31, 2026.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None of our other directors or officers (as defined in Rule 16a-1(f) of the Securities Exchange Act of 1934) adopted, terminated or modified a Rule 10b5-1 trading arrangement or non-Rule 10b5-1 trading arrangement (as such terms are defined in Item 408 of Regulation S-K) during the quarter ended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were no “non-Rule 10b5-1 trading arrangements” (as defined in Item 408 of Regulation S-K of the Exchange Act) adopted, modified or terminated during the fiscal year ended December 31, 2025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pStyle w:val="TextBody"/>
        <w:bidi w:val="0"/>
        <w:spacing w:lineRule="auto" w:line="273" w:before="200" w:after="283"/>
        <w:jc w:val="left"/>
        <w:rPr>
          <w:rFonts w:ascii="Times New Roman" w:hAnsi="Times New Roman"/>
          <w:sz w:val="20"/>
        </w:rPr>
      </w:pPr>
      <w:bookmarkStart w:id="30" w:name="item_9c_disclosure_regarding_foreign"/>
      <w:bookmarkEnd w:id="30"/>
      <w:r>
        <w:rPr>
          <w:rFonts w:ascii="Times New Roman" w:hAnsi="Times New Roman"/>
          <w:b/>
          <w:color w:val="000000"/>
          <w:sz w:val="20"/>
        </w:rPr>
        <w:t>Item 9C. Disclosure Regarding Foreign</w:t>
      </w:r>
      <w:r>
        <w:rPr>
          <w:rFonts w:ascii="Times New Roman" w:hAnsi="Times New Roman"/>
          <w:color w:val="000000"/>
          <w:sz w:val="20"/>
        </w:rPr>
        <w:t xml:space="preserve"> </w:t>
      </w:r>
      <w:r>
        <w:rPr>
          <w:rFonts w:ascii="Times New Roman" w:hAnsi="Times New Roman"/>
          <w:b/>
          <w:color w:val="000000"/>
          <w:sz w:val="20"/>
        </w:rPr>
        <w:t>Jurisdictions that Prevent Inspections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31" w:name="part_iii"/>
      <w:bookmarkEnd w:id="31"/>
      <w:r>
        <w:rPr>
          <w:rFonts w:ascii="Times New Roman" w:hAnsi="Times New Roman"/>
          <w:b/>
          <w:color w:val="000000"/>
          <w:sz w:val="20"/>
        </w:rPr>
        <w:t>PART III</w:t>
      </w:r>
    </w:p>
    <w:p>
      <w:pPr>
        <w:pStyle w:val="TextBody"/>
        <w:bidi w:val="0"/>
        <w:spacing w:lineRule="auto" w:line="273" w:before="200" w:after="283"/>
        <w:jc w:val="left"/>
        <w:rPr>
          <w:rFonts w:ascii="Times New Roman" w:hAnsi="Times New Roman"/>
          <w:sz w:val="20"/>
        </w:rPr>
      </w:pPr>
      <w:bookmarkStart w:id="32" w:name="item_10_directors_executive_officers"/>
      <w:bookmarkEnd w:id="32"/>
      <w:r>
        <w:rPr>
          <w:rFonts w:ascii="Times New Roman" w:hAnsi="Times New Roman"/>
          <w:b/>
          <w:color w:val="000000"/>
          <w:sz w:val="20"/>
        </w:rPr>
        <w:t>Item 10. Directors, Executive</w:t>
      </w:r>
      <w:r>
        <w:rPr>
          <w:rFonts w:ascii="Times New Roman" w:hAnsi="Times New Roman"/>
          <w:color w:val="000000"/>
          <w:sz w:val="20"/>
        </w:rPr>
        <w:t xml:space="preserve"> </w:t>
      </w:r>
      <w:r>
        <w:rPr>
          <w:rFonts w:ascii="Times New Roman" w:hAnsi="Times New Roman"/>
          <w:b/>
          <w:color w:val="000000"/>
          <w:sz w:val="20"/>
        </w:rPr>
        <w:t>Officers and Corporate Governance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pStyle w:val="TextBody"/>
        <w:bidi w:val="0"/>
        <w:spacing w:lineRule="auto" w:line="273" w:before="200" w:after="283"/>
        <w:jc w:val="left"/>
        <w:rPr>
          <w:rFonts w:ascii="Times New Roman" w:hAnsi="Times New Roman"/>
          <w:b/>
          <w:color w:val="000000"/>
          <w:sz w:val="20"/>
        </w:rPr>
      </w:pPr>
      <w:bookmarkStart w:id="33" w:name="item_11_executive_compensation"/>
      <w:bookmarkEnd w:id="33"/>
      <w:r>
        <w:rPr>
          <w:rFonts w:ascii="Times New Roman" w:hAnsi="Times New Roman"/>
          <w:b/>
          <w:color w:val="000000"/>
          <w:sz w:val="20"/>
        </w:rPr>
        <w:t>Item 11. Executive Compensation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pStyle w:val="TextBody"/>
        <w:bidi w:val="0"/>
        <w:spacing w:lineRule="auto" w:line="273" w:before="200" w:after="283"/>
        <w:jc w:val="left"/>
        <w:rPr>
          <w:rFonts w:ascii="Times New Roman" w:hAnsi="Times New Roman"/>
          <w:b/>
          <w:color w:val="000000"/>
          <w:sz w:val="20"/>
        </w:rPr>
      </w:pPr>
      <w:bookmarkStart w:id="34" w:name="item_12_security_ownership_of_certain"/>
      <w:bookmarkEnd w:id="34"/>
      <w:r>
        <w:rPr>
          <w:rFonts w:ascii="Times New Roman" w:hAnsi="Times New Roman"/>
          <w:b/>
          <w:color w:val="000000"/>
          <w:sz w:val="20"/>
        </w:rPr>
        <w:t>Item 12. Security Ownership of Certain Beneficial Owners and Management and Related Stockholder Matters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pStyle w:val="TextBody"/>
        <w:bidi w:val="0"/>
        <w:spacing w:lineRule="auto" w:line="273" w:before="200" w:after="283"/>
        <w:jc w:val="left"/>
        <w:rPr>
          <w:rFonts w:ascii="Times New Roman" w:hAnsi="Times New Roman"/>
          <w:b/>
          <w:color w:val="000000"/>
          <w:sz w:val="20"/>
        </w:rPr>
      </w:pPr>
      <w:bookmarkStart w:id="35" w:name="item_13_certain_relationships"/>
      <w:bookmarkEnd w:id="35"/>
      <w:r>
        <w:rPr>
          <w:rFonts w:ascii="Times New Roman" w:hAnsi="Times New Roman"/>
          <w:b/>
          <w:color w:val="000000"/>
          <w:sz w:val="20"/>
        </w:rPr>
        <w:t>Item 13. Certain Relationships and Related Transaction and Director Independence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pStyle w:val="TextBody"/>
        <w:bidi w:val="0"/>
        <w:spacing w:lineRule="auto" w:line="273" w:before="200" w:after="283"/>
        <w:jc w:val="left"/>
        <w:rPr>
          <w:rFonts w:ascii="Times New Roman" w:hAnsi="Times New Roman"/>
          <w:b/>
          <w:color w:val="000000"/>
          <w:sz w:val="20"/>
        </w:rPr>
      </w:pPr>
      <w:bookmarkStart w:id="36" w:name="item_14_principal_accounting_fees"/>
      <w:bookmarkEnd w:id="36"/>
      <w:r>
        <w:rPr>
          <w:rFonts w:ascii="Times New Roman" w:hAnsi="Times New Roman"/>
          <w:b/>
          <w:color w:val="000000"/>
          <w:sz w:val="20"/>
        </w:rPr>
        <w:t>Item 14. Principal Accounting Fees and Services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37" w:name="part_iv"/>
      <w:bookmarkEnd w:id="37"/>
      <w:r>
        <w:rPr>
          <w:rFonts w:ascii="Times New Roman" w:hAnsi="Times New Roman"/>
          <w:b/>
          <w:color w:val="000000"/>
          <w:sz w:val="20"/>
        </w:rPr>
        <w:t>PART IV</w:t>
      </w:r>
    </w:p>
    <w:p>
      <w:pPr>
        <w:pStyle w:val="TextBody"/>
        <w:bidi w:val="0"/>
        <w:spacing w:lineRule="auto" w:line="273" w:before="200" w:after="283"/>
        <w:jc w:val="left"/>
        <w:rPr>
          <w:rFonts w:ascii="Times New Roman" w:hAnsi="Times New Roman"/>
          <w:b/>
          <w:color w:val="000000"/>
          <w:sz w:val="20"/>
        </w:rPr>
      </w:pPr>
      <w:bookmarkStart w:id="38" w:name="item_15_exhibits_and_financial_statement"/>
      <w:bookmarkEnd w:id="38"/>
      <w:r>
        <w:rPr>
          <w:rFonts w:ascii="Times New Roman" w:hAnsi="Times New Roman"/>
          <w:b/>
          <w:color w:val="000000"/>
          <w:sz w:val="20"/>
        </w:rPr>
        <w:t>Item 15. Exhibits and Financial Statement Schedules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 xml:space="preserve">(a) (1) and (2) Financial Statements and Financial Statement Schedules- </w:t>
      </w:r>
      <w:r>
        <w:rPr>
          <w:rFonts w:ascii="Times New Roman" w:hAnsi="Times New Roman"/>
          <w:color w:val="000000"/>
          <w:sz w:val="20"/>
        </w:rPr>
        <w:t>All financial statement schedules are filed as part of this report under Item 8- Financial Statements.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(3) Exhibits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6">
              <w:r>
                <w:rPr>
                  <w:rStyle w:val="InternetLink"/>
                  <w:rFonts w:ascii="Times New Roman" w:hAnsi="Times New Roman"/>
                  <w:color w:val="0000FF"/>
                  <w:sz w:val="20"/>
                  <w:u w:val="single"/>
                </w:rPr>
                <w:t>Equity Purchase Agreement, dated October 27, 2025, by and among Palomar Insurance Holdings, Inc., The Gray Casualty &amp; Surety Company (the “Target”) and BCP Surety Group Sole Member, LLC. (incorporated by reference to Exhibit 2.1 to the Company’s Current Report on Form 8-K filed on October 30, 2025).</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7">
              <w:r>
                <w:rPr>
                  <w:rStyle w:val="InternetLink"/>
                  <w:rFonts w:ascii="Times New Roman" w:hAnsi="Times New Roman"/>
                  <w:color w:val="0000FF"/>
                  <w:sz w:val="20"/>
                  <w:u w:val="single"/>
                </w:rPr>
                <w:t>Certificate of Amendment to Certificate of Incorporation of the Registrant (incorporated by reference to Exhibit 3.1 to the Company’s Current Report on Form 8-K filed with the Commission on May 27, 2022).</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8">
              <w:r>
                <w:rPr>
                  <w:rStyle w:val="InternetLink"/>
                  <w:rFonts w:ascii="Times New Roman" w:hAnsi="Times New Roman"/>
                  <w:color w:val="0000FF"/>
                  <w:sz w:val="20"/>
                  <w:u w:val="single"/>
                </w:rPr>
                <w:t>Amended and Restated Bylaws of the Registrant (incorporated by reference to Exhibit 3.2 to the Company’s Current Report on Form 8-K filed with the Commission on May 27, 2022).</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9">
              <w:r>
                <w:rPr>
                  <w:rStyle w:val="InternetLink"/>
                  <w:rFonts w:ascii="Times New Roman" w:hAnsi="Times New Roman"/>
                  <w:color w:val="0000FF"/>
                  <w:sz w:val="20"/>
                  <w:u w:val="single"/>
                </w:rPr>
                <w:t>Form of Common Stock Certificate (incorporated by reference to Exhibit 4.1 to the Company’s Amendment No. 2 to Registration Statement on Form S-1, filed with the SEC on April 8, 2019).</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0">
              <w:r>
                <w:rPr>
                  <w:rStyle w:val="InternetLink"/>
                  <w:rFonts w:ascii="Times New Roman" w:hAnsi="Times New Roman"/>
                  <w:color w:val="0000FF"/>
                  <w:sz w:val="20"/>
                  <w:u w:val="single"/>
                </w:rPr>
                <w:t>Description of the Registrant’s Securities (incorporated by reference to Exhibit 4.2 to the Company’s 2020 Annual Report on Form 10-K, filed with the SEC on March 9, 2021).</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1">
              <w:r>
                <w:rPr>
                  <w:rStyle w:val="InternetLink"/>
                  <w:rFonts w:ascii="Times New Roman" w:hAnsi="Times New Roman"/>
                  <w:color w:val="0000FF"/>
                  <w:sz w:val="20"/>
                  <w:u w:val="single"/>
                </w:rPr>
                <w:t>2019 Equity Incentive Plan (incorporated by reference to Exhibit 10.1 to the Company’s Registration Statement on Form S-1, filed with the SEC on March 15, 2019).</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2">
              <w:r>
                <w:rPr>
                  <w:rStyle w:val="InternetLink"/>
                  <w:rFonts w:ascii="Times New Roman" w:hAnsi="Times New Roman"/>
                  <w:color w:val="0000FF"/>
                  <w:sz w:val="20"/>
                  <w:u w:val="single"/>
                </w:rPr>
                <w:t>2019 Employee Stock Purchase Plan (incorporated by reference to Exhibit 10.2 to the Company’s Registration Statement on Form S-1, filed with the SEC on March 15, 2019).</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3">
              <w:r>
                <w:rPr>
                  <w:rStyle w:val="InternetLink"/>
                  <w:rFonts w:ascii="Times New Roman" w:hAnsi="Times New Roman"/>
                  <w:color w:val="0000FF"/>
                  <w:sz w:val="20"/>
                  <w:u w:val="single"/>
                </w:rPr>
                <w:t>Executive Employment Agreement, dated January 1, 2025, by and between the Company and Mac Armstrong (incorporated by reference to Exhibit 10.1 to the Company’s Current Report on Form 8-K, filed with the SEC on December 30, 2024).</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4">
              <w:r>
                <w:rPr>
                  <w:rStyle w:val="InternetLink"/>
                  <w:rFonts w:ascii="Times New Roman" w:hAnsi="Times New Roman"/>
                  <w:color w:val="0000FF"/>
                  <w:sz w:val="20"/>
                  <w:u w:val="single"/>
                </w:rPr>
                <w:t>Form of Executive Employment Agreement (Named Executive Officers) (incorporated by reference to Exhibit 10.1 to the Company’s Quarterly Report on Form 10-Q filed with the SEC on August 5, 2025).</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5">
              <w:r>
                <w:rPr>
                  <w:rStyle w:val="InternetLink"/>
                  <w:rFonts w:ascii="Times New Roman" w:hAnsi="Times New Roman"/>
                  <w:color w:val="0000FF"/>
                  <w:sz w:val="20"/>
                  <w:u w:val="single"/>
                </w:rPr>
                <w:t>Form of Indemnification Agreement (incorporated by reference to Exhibit 10.6 to the Company’s Registration Statement on Form S-1, filed with the SEC on March 15, 2019).</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6">
              <w:r>
                <w:rPr>
                  <w:rStyle w:val="InternetLink"/>
                  <w:rFonts w:ascii="Times New Roman" w:hAnsi="Times New Roman"/>
                  <w:color w:val="0000FF"/>
                  <w:sz w:val="20"/>
                  <w:u w:val="single"/>
                </w:rPr>
                <w:t>Program Administrator Agreement, dated as of February 19, 2014 (as amended by that certain First Amendment to Program Administrator Agreement, dated as of July 14, 2014, that certain Second Amendment to Program Administrator Agreement, dated as of March 21, 2016, that certain Third Amendment to Program Administrator Agreement, dated as of May 29, 2018 and that certain Second Amendment to Schedule H of the Program Administrator Agreement, dated as of August 29, 2018), by and between Palomar Specialty Insurance Company and Arrowhead General Insurance Agency, Inc. (incorporated by reference to Exhibit 10.7 to the Company’s Amendment No. 2 to Registration Statement on Form S-1, filed with the SEC on April 8, 2019).</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7">
              <w:r>
                <w:rPr>
                  <w:rStyle w:val="InternetLink"/>
                  <w:rFonts w:ascii="Times New Roman" w:hAnsi="Times New Roman"/>
                  <w:color w:val="0000FF"/>
                  <w:sz w:val="20"/>
                  <w:u w:val="single"/>
                </w:rPr>
                <w:t>Credit Agreement (Revolver), dated December 8, 2021, by and between the Registrant, the lenders listed therein and U.S. Bank National Association (incorporated by reference to Exhibit 10.1 to the Company’s Current Report on Form 8-K, filed with the SEC on December 9, 2021).</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8">
              <w:r>
                <w:rPr>
                  <w:rStyle w:val="InternetLink"/>
                  <w:rFonts w:ascii="Times New Roman" w:hAnsi="Times New Roman"/>
                  <w:color w:val="0000FF"/>
                  <w:sz w:val="20"/>
                  <w:u w:val="single"/>
                </w:rPr>
                <w:t>Guaranty, dated December 8, 2021, made in favor of U.S. Bank National Association by Registrant, Palomar Specialty Insurance Company, Palomar Excess and Surplus Insurance Company and Palomar Insurance Agency, Inc. (incorporated by reference to Exhibit 10.2 to the Company’s Current Report on Form 8-K, filed with the SEC on December 9, 2021).</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19">
              <w:r>
                <w:rPr>
                  <w:rStyle w:val="InternetLink"/>
                  <w:rFonts w:ascii="Times New Roman" w:hAnsi="Times New Roman"/>
                  <w:color w:val="0000FF"/>
                  <w:sz w:val="20"/>
                  <w:u w:val="single"/>
                </w:rPr>
                <w:t>Form of Non-Executive Restricted Stock Units Agreement, dated January 29, 2025 (incorporated by reference to Exhibit 10.2 to the Company’s Quarterly Report on Form 10-Q, filed with the SEC on May 6, 2025).</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20">
              <w:r>
                <w:rPr>
                  <w:rStyle w:val="InternetLink"/>
                  <w:rFonts w:ascii="Times New Roman" w:hAnsi="Times New Roman"/>
                  <w:color w:val="0000FF"/>
                  <w:sz w:val="20"/>
                  <w:u w:val="single"/>
                </w:rPr>
                <w:t>Form of Executive Restricted Stock Units Agreement, dated January 29, 2025 (incorporated by reference to Exhibit 10.4 to the Company’s Quarterly Report on Form 10-Q, filed with the SEC on May 6, 2025).</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21">
              <w:r>
                <w:rPr>
                  <w:rStyle w:val="InternetLink"/>
                  <w:rFonts w:ascii="Times New Roman" w:hAnsi="Times New Roman"/>
                  <w:color w:val="0000FF"/>
                  <w:sz w:val="20"/>
                  <w:u w:val="single"/>
                </w:rPr>
                <w:t>Form of Non-Executive Performance Stock Units Agreement, dated January 29, 2025 (incorporated by reference to Exhibit 10.6 to the Company’s Quarterly Report on Form 10-Q, filed with the SEC on May 6, 2025).</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22">
              <w:r>
                <w:rPr>
                  <w:rStyle w:val="InternetLink"/>
                  <w:rFonts w:ascii="Times New Roman" w:hAnsi="Times New Roman"/>
                  <w:color w:val="0000FF"/>
                  <w:sz w:val="20"/>
                  <w:u w:val="single"/>
                </w:rPr>
                <w:t>Form of Executive Performance Stock Units Agreement, dated January 29, 2025 (incorporated by reference to Exhibit 10.8 to the Company’s Quarterly Report on Form 10-Q, filed with the SEC on May 6, 2025).</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23">
              <w:r>
                <w:rPr>
                  <w:rStyle w:val="InternetLink"/>
                  <w:rFonts w:ascii="Times New Roman" w:hAnsi="Times New Roman"/>
                  <w:color w:val="0000FF"/>
                  <w:sz w:val="20"/>
                  <w:u w:val="single"/>
                </w:rPr>
                <w:t>Equity Award Retirement Policy (incorporated by reference to Exhibit 10.1 to the Company’s Quarterly Report on Form 10-Q, filed with the SEC on November 7, 2025).</w:t>
              </w:r>
            </w:hyperlink>
          </w:p>
        </w:tc>
      </w:tr>
      <w:tr>
        <w:trPr/>
        <w:tc>
          <w:tcPr>
            <w:tcW w:w="8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lineRule="auto" w:line="252" w:before="0" w:after="283"/>
              <w:jc w:val="left"/>
              <w:rPr/>
            </w:pPr>
            <w:hyperlink r:id="rId24">
              <w:r>
                <w:rPr>
                  <w:rStyle w:val="InternetLink"/>
                  <w:rFonts w:ascii="Times New Roman" w:hAnsi="Times New Roman"/>
                  <w:color w:val="0000FF"/>
                  <w:sz w:val="20"/>
                  <w:u w:val="single"/>
                </w:rPr>
                <w:t>Insider Trading Policy</w:t>
              </w:r>
            </w:hyperlink>
          </w:p>
        </w:tc>
      </w:tr>
    </w:tbl>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680"/>
        <w:gridCol w:w="146"/>
        <w:gridCol w:w="9379"/>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21_1.htm">
              <w:r>
                <w:rPr>
                  <w:rStyle w:val="InternetLink"/>
                  <w:rFonts w:ascii="Times New Roman" w:hAnsi="Times New Roman"/>
                  <w:color w:val="0000FF"/>
                  <w:sz w:val="20"/>
                  <w:u w:val="single"/>
                </w:rPr>
                <w:t>List of subsidiaries of the Company.</w:t>
              </w:r>
            </w:hyperlink>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23_1.htm">
              <w:r>
                <w:rPr>
                  <w:rStyle w:val="InternetLink"/>
                  <w:rFonts w:ascii="Times New Roman" w:hAnsi="Times New Roman"/>
                  <w:color w:val="0000FF"/>
                  <w:sz w:val="20"/>
                  <w:u w:val="single"/>
                </w:rPr>
                <w:t>Consent of Ernst &amp; Young LLP, Independent Registered Public Accounting Firm.</w:t>
              </w:r>
            </w:hyperlink>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pPr>
            <w:hyperlink w:anchor="plmr-ex32_1.htm">
              <w:r>
                <w:rPr>
                  <w:rStyle w:val="InternetLink"/>
                  <w:rFonts w:ascii="Times New Roman" w:hAnsi="Times New Roman"/>
                  <w:color w:val="0000FF"/>
                  <w:sz w:val="20"/>
                  <w:u w:val="single"/>
                </w:rPr>
                <w:t>Certifications pursuant to 18 U.S.C. Section 1350, as adopted pursuant to Section 906 of the Sarbanes-Oxley Act of 2002.</w:t>
              </w:r>
            </w:hyperlink>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pPr>
            <w:hyperlink r:id="rId25">
              <w:r>
                <w:rPr>
                  <w:rStyle w:val="InternetLink"/>
                  <w:rFonts w:ascii="Times New Roman" w:hAnsi="Times New Roman"/>
                  <w:color w:val="0000FF"/>
                  <w:sz w:val="20"/>
                  <w:u w:val="single"/>
                </w:rPr>
                <w:t>Policy for Recovery of Erroneously Awarded Incentive Compensation (incorporated by reference to Exhibit 97 to the Company’s 2023 Annual Report on Form 10-K, filed with the SEC on February 23, 2024).</w:t>
              </w:r>
            </w:hyperlink>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Date File (embedded within the Inline XBRL document and contained in Exhibit 101)</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Portions of this exhibit have been redacted in compliance with Regulation S-K Item 601(b)(10).</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lineRule="auto" w:line="273" w:before="200" w:after="283"/>
        <w:jc w:val="left"/>
        <w:rPr>
          <w:rFonts w:ascii="Times New Roman" w:hAnsi="Times New Roman"/>
          <w:b/>
          <w:color w:val="000000"/>
          <w:sz w:val="20"/>
        </w:rPr>
      </w:pPr>
      <w:bookmarkStart w:id="39" w:name="item_16_form_10_k_summary"/>
      <w:bookmarkEnd w:id="39"/>
      <w:r>
        <w:rPr>
          <w:rFonts w:ascii="Times New Roman" w:hAnsi="Times New Roman"/>
          <w:b/>
          <w:color w:val="000000"/>
          <w:sz w:val="20"/>
        </w:rPr>
        <w:t>Item 16. Form 10-K Summary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 on February 24, 2026.</w:t>
      </w:r>
    </w:p>
    <w:p>
      <w:pPr>
        <w:pStyle w:val="TextBody"/>
        <w:bidi w:val="0"/>
        <w:spacing w:lineRule="auto" w:line="273"/>
        <w:jc w:val="left"/>
        <w:rPr/>
      </w:pPr>
      <w:r>
        <w:rPr/>
        <w:t> </w:t>
      </w:r>
    </w:p>
    <w:tbl>
      <w:tblPr>
        <w:tblW w:w="3853" w:type="dxa"/>
        <w:jc w:val="left"/>
        <w:tblInd w:w="0" w:type="dxa"/>
        <w:tblLayout w:type="fixed"/>
        <w:tblCellMar>
          <w:top w:w="28" w:type="dxa"/>
          <w:left w:w="28" w:type="dxa"/>
          <w:bottom w:w="28" w:type="dxa"/>
          <w:right w:w="28" w:type="dxa"/>
        </w:tblCellMar>
      </w:tblPr>
      <w:tblGrid>
        <w:gridCol w:w="161"/>
        <w:gridCol w:w="406"/>
        <w:gridCol w:w="3286"/>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Palomar Holdings, Inc.</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28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Mac Armstrong</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sz w:val="20"/>
              </w:rPr>
            </w:pPr>
            <w:r>
              <w:rPr>
                <w:rFonts w:ascii="Times New Roman" w:hAnsi="Times New Roman"/>
                <w:color w:val="000000"/>
                <w:sz w:val="20"/>
              </w:rPr>
              <w:t>Mac Armstrong</w:t>
              <w:br/>
            </w:r>
            <w:r>
              <w:rPr>
                <w:rFonts w:ascii="Times New Roman" w:hAnsi="Times New Roman"/>
                <w:i/>
                <w:color w:val="000000"/>
                <w:sz w:val="20"/>
              </w:rPr>
              <w:t>Chairman and Chief Executive Officer</w:t>
            </w:r>
          </w:p>
          <w:p>
            <w:pPr>
              <w:pStyle w:val="TableContents"/>
              <w:bidi w:val="0"/>
              <w:spacing w:lineRule="auto" w:line="252"/>
              <w:jc w:val="center"/>
              <w:rPr/>
            </w:pPr>
            <w:r>
              <w:rPr/>
              <w:t> </w:t>
            </w:r>
          </w:p>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POWER OF ATTORNEY</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u w:val="single"/>
        </w:rPr>
      </w:pPr>
      <w:r>
        <w:rPr>
          <w:rFonts w:ascii="Times New Roman" w:hAnsi="Times New Roman"/>
          <w:b/>
          <w:color w:val="000000"/>
          <w:sz w:val="20"/>
          <w:u w:val="single"/>
        </w:rPr>
        <w:t>POWER OF ATTORNEY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Mac Armstrong and T. Christopher Uchida, jointly and severally, his attorneys-in-fact,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056"/>
        <w:gridCol w:w="326"/>
        <w:gridCol w:w="6114"/>
        <w:gridCol w:w="146"/>
        <w:gridCol w:w="1563"/>
      </w:tblGrid>
      <w:tr>
        <w:trPr/>
        <w:tc>
          <w:tcPr>
            <w:tcW w:w="20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Signature</w:t>
            </w:r>
          </w:p>
        </w:tc>
        <w:tc>
          <w:tcPr>
            <w:tcW w:w="32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6114"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563"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Mac Armstrong</w:t>
            </w:r>
          </w:p>
        </w:tc>
        <w:tc>
          <w:tcPr>
            <w:tcW w:w="32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of the Board and Chief Executive Officer (Principal Executive Officer)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Mac Armstrong</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T. Christopher Uchida</w:t>
            </w:r>
          </w:p>
        </w:tc>
        <w:tc>
          <w:tcPr>
            <w:tcW w:w="326" w:type="dxa"/>
            <w:tcBorders>
              <w:bottom w:val="single" w:sz="6" w:space="0" w:color="000000"/>
            </w:tcBorders>
            <w:tcMar>
              <w:top w:w="0" w:type="dxa"/>
              <w:left w:w="0" w:type="dxa"/>
              <w:right w:w="0" w:type="dxa"/>
            </w:tcMar>
            <w:vAlign w:val="center"/>
          </w:tcPr>
          <w:p>
            <w:pPr>
              <w:pStyle w:val="TableContents"/>
              <w:bidi w:val="0"/>
              <w:spacing w:lineRule="auto" w:line="252" w:before="0" w:after="283"/>
              <w:ind w:left="0" w:right="0" w:firstLine="180"/>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ind w:left="0" w:right="0" w:firstLine="180"/>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 Christopher Uchida</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Daryl Bradley</w:t>
            </w:r>
          </w:p>
        </w:tc>
        <w:tc>
          <w:tcPr>
            <w:tcW w:w="326" w:type="dxa"/>
            <w:tcBorders>
              <w:bottom w:val="single" w:sz="6" w:space="0" w:color="000000"/>
            </w:tcBorders>
            <w:tcMar>
              <w:top w:w="0" w:type="dxa"/>
              <w:left w:w="0" w:type="dxa"/>
              <w:right w:w="0" w:type="dxa"/>
            </w:tcMar>
            <w:vAlign w:val="center"/>
          </w:tcPr>
          <w:p>
            <w:pPr>
              <w:pStyle w:val="TableContents"/>
              <w:bidi w:val="0"/>
              <w:spacing w:lineRule="auto" w:line="252" w:before="0" w:after="283"/>
              <w:ind w:left="0" w:right="0" w:firstLine="180"/>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ind w:left="0" w:right="0" w:firstLine="18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Daryl Bradley</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Thomas Bradley</w:t>
            </w:r>
          </w:p>
        </w:tc>
        <w:tc>
          <w:tcPr>
            <w:tcW w:w="32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Thomas Bradley</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Catriona M. Fallon</w:t>
            </w:r>
          </w:p>
        </w:tc>
        <w:tc>
          <w:tcPr>
            <w:tcW w:w="326" w:type="dxa"/>
            <w:tcBorders>
              <w:bottom w:val="single" w:sz="6" w:space="0" w:color="000000"/>
            </w:tcBorders>
            <w:tcMar>
              <w:top w:w="0" w:type="dxa"/>
              <w:left w:w="0" w:type="dxa"/>
              <w:right w:w="0" w:type="dxa"/>
            </w:tcMar>
            <w:vAlign w:val="center"/>
          </w:tcPr>
          <w:p>
            <w:pPr>
              <w:pStyle w:val="TableContents"/>
              <w:bidi w:val="0"/>
              <w:spacing w:lineRule="auto" w:line="252" w:before="0" w:after="283"/>
              <w:ind w:left="0" w:right="0" w:firstLine="180"/>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ind w:left="0" w:right="0" w:firstLine="18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Catriona M. Fallon</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Daina Middleton</w:t>
            </w:r>
          </w:p>
        </w:tc>
        <w:tc>
          <w:tcPr>
            <w:tcW w:w="326" w:type="dxa"/>
            <w:tcBorders>
              <w:bottom w:val="single" w:sz="6" w:space="0" w:color="000000"/>
            </w:tcBorders>
            <w:tcMar>
              <w:top w:w="0" w:type="dxa"/>
              <w:left w:w="0" w:type="dxa"/>
              <w:right w:w="0" w:type="dxa"/>
            </w:tcMar>
            <w:vAlign w:val="center"/>
          </w:tcPr>
          <w:p>
            <w:pPr>
              <w:pStyle w:val="TableContents"/>
              <w:bidi w:val="0"/>
              <w:spacing w:lineRule="auto" w:line="252" w:before="0" w:after="283"/>
              <w:ind w:left="0" w:right="0" w:firstLine="180"/>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ind w:left="0" w:right="0" w:firstLine="18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Daina Middleton</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Martha Notaras</w:t>
            </w:r>
          </w:p>
        </w:tc>
        <w:tc>
          <w:tcPr>
            <w:tcW w:w="326" w:type="dxa"/>
            <w:tcBorders>
              <w:bottom w:val="single" w:sz="4" w:space="0" w:color="000000"/>
            </w:tcBorders>
            <w:tcMar>
              <w:top w:w="0" w:type="dxa"/>
              <w:left w:w="0" w:type="dxa"/>
              <w:right w:w="0" w:type="dxa"/>
            </w:tcMar>
            <w:vAlign w:val="center"/>
          </w:tcPr>
          <w:p>
            <w:pPr>
              <w:pStyle w:val="TableContents"/>
              <w:bidi w:val="0"/>
              <w:spacing w:lineRule="auto" w:line="252" w:before="0" w:after="283"/>
              <w:ind w:left="0" w:right="0" w:firstLine="180"/>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ind w:left="0" w:right="0" w:firstLine="18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Martha Notaras</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Richard H. Taketa</w:t>
            </w:r>
          </w:p>
        </w:tc>
        <w:tc>
          <w:tcPr>
            <w:tcW w:w="326" w:type="dxa"/>
            <w:tcBorders>
              <w:bottom w:val="single" w:sz="4" w:space="0" w:color="000000"/>
            </w:tcBorders>
            <w:tcMar>
              <w:top w:w="0" w:type="dxa"/>
              <w:left w:w="0" w:type="dxa"/>
              <w:right w:w="0" w:type="dxa"/>
            </w:tcMar>
            <w:vAlign w:val="center"/>
          </w:tcPr>
          <w:p>
            <w:pPr>
              <w:pStyle w:val="TableContents"/>
              <w:bidi w:val="0"/>
              <w:spacing w:lineRule="auto" w:line="252" w:before="0" w:after="283"/>
              <w:ind w:left="0" w:right="0" w:firstLine="180"/>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ind w:left="0" w:right="0" w:firstLine="180"/>
              <w:jc w:val="left"/>
              <w:rPr>
                <w:rFonts w:ascii="Times New Roman" w:hAnsi="Times New Roman"/>
                <w:color w:val="000000"/>
                <w:sz w:val="20"/>
              </w:rPr>
            </w:pPr>
            <w:r>
              <w:rPr>
                <w:rFonts w:ascii="Times New Roman" w:hAnsi="Times New Roman"/>
                <w:color w:val="000000"/>
                <w:sz w:val="20"/>
              </w:rPr>
              <w:t>Lead Independent Director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February 24, 2026</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Richard H. Taketa</w:t>
            </w:r>
          </w:p>
        </w:tc>
        <w:tc>
          <w:tcPr>
            <w:tcW w:w="3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4"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4"/>
        </w:rPr>
      </w:pPr>
      <w:bookmarkStart w:id="40" w:name="plmr-ex21_1.htm"/>
      <w:bookmarkStart w:id="41" w:name="ksplmrex21_1"/>
      <w:bookmarkEnd w:id="40"/>
      <w:bookmarkEnd w:id="41"/>
      <w:r>
        <w:rPr>
          <w:rFonts w:ascii="Times New Roman" w:hAnsi="Times New Roman"/>
          <w:b/>
          <w:color w:val="000000"/>
          <w:sz w:val="24"/>
        </w:rPr>
        <w:t>Exhibit 21.1</w:t>
      </w:r>
      <w:r>
        <w:br w:type="page"/>
      </w:r>
    </w:p>
    <w:p>
      <w:pPr>
        <w:pStyle w:val="TextBody"/>
        <w:bidi w:val="0"/>
        <w:spacing w:lineRule="auto" w:line="273"/>
        <w:jc w:val="left"/>
        <w:rPr/>
      </w:pPr>
      <w:r>
        <w:rPr/>
        <w:t> </w:t>
      </w:r>
    </w:p>
    <w:p>
      <w:pPr>
        <w:pStyle w:val="TextBody"/>
        <w:bidi w:val="0"/>
        <w:spacing w:lineRule="auto" w:line="273"/>
        <w:jc w:val="left"/>
        <w:rPr/>
      </w:pPr>
      <w:r>
        <w:rPr/>
        <w:t> </w:t>
      </w:r>
    </w:p>
    <w:tbl>
      <w:tblPr>
        <w:tblW w:w="8237" w:type="dxa"/>
        <w:jc w:val="left"/>
        <w:tblInd w:w="0" w:type="dxa"/>
        <w:tblLayout w:type="fixed"/>
        <w:tblCellMar>
          <w:top w:w="28" w:type="dxa"/>
          <w:left w:w="28" w:type="dxa"/>
          <w:bottom w:w="28" w:type="dxa"/>
          <w:right w:w="28" w:type="dxa"/>
        </w:tblCellMar>
      </w:tblPr>
      <w:tblGrid>
        <w:gridCol w:w="5611"/>
        <w:gridCol w:w="2626"/>
      </w:tblGrid>
      <w:tr>
        <w:trPr/>
        <w:tc>
          <w:tcPr>
            <w:tcW w:w="561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Legal Name</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Jurisdiction of Incorporation</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Insurance Holdings, Inc.</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Delaware</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Specialty Insurance Company</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Oregon</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Excess and Surplus Insurance Company</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Arizona</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Specialty Reinsurance Company Bermuda, Ltd.</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Bermuda</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Insurance Agency DBA Palomar General Insurance Agency</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California</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Underwriters Exchange Organization, Inc.</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Delaware</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Palomar Crop Insurance Services, Inc.</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Delaware</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61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First Indemnity of America Insurance Company</w:t>
            </w:r>
          </w:p>
        </w:tc>
        <w:tc>
          <w:tcPr>
            <w:tcW w:w="26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New Jersey</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42" w:name="plmr-ex23_1.htm"/>
      <w:bookmarkStart w:id="43" w:name="ksplmrex23_1"/>
      <w:bookmarkEnd w:id="42"/>
      <w:bookmarkEnd w:id="43"/>
      <w:r>
        <w:rPr>
          <w:rFonts w:ascii="Times New Roman" w:hAnsi="Times New Roman"/>
          <w:b/>
          <w:color w:val="000000"/>
          <w:sz w:val="20"/>
        </w:rPr>
        <w:br/>
        <w:t>Exhibit 23.1</w:t>
      </w:r>
      <w:r>
        <w:br w:type="page"/>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on Form S-3 (Nos. 333-239385 and 333-281377) of Palomar Holdings, Inc. and Subsidiaries, and Registration Statements on Form S-8 (Nos. 333-230908, 333-236957, 333-255860, 333-263002, 333-270155, 333-277331 and 333-285215) pertaining to the 2019 Equity Incentive Plan and 2019 Employee Stock Purchase Plan of Palomar Holdings, Inc. and Subsidiaries of our reports dated February 24, 2026, with respect to the consolidated financial statements of Palomar Holdings, Inc. and Subsidiaries and the effectiveness of internal control over financial reporting of Palomar Holdings, Inc. and Subsidiaries included in this Annual Report (Form 10-K) of Palomar Holdings, Inc. and Subsidiaries for the year ended December 31, 2025.</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San Francisco, California</w:t>
        <w:br/>
        <w:t>February 24, 2026</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44" w:name="plmr-ex31_1.htm"/>
      <w:bookmarkStart w:id="45" w:name="ksplmrex31_1"/>
      <w:bookmarkEnd w:id="44"/>
      <w:bookmarkEnd w:id="45"/>
      <w:r>
        <w:rPr>
          <w:rFonts w:ascii="Times New Roman" w:hAnsi="Times New Roman"/>
          <w:b/>
          <w:color w:val="000000"/>
          <w:sz w:val="20"/>
        </w:rPr>
        <w:t>Exhibit 31.1</w:t>
      </w:r>
      <w:r>
        <w:br w:type="page"/>
      </w:r>
    </w:p>
    <w:p>
      <w:pPr>
        <w:pStyle w:val="TextBody"/>
        <w:bidi w:val="0"/>
        <w:spacing w:lineRule="auto" w:line="273" w:before="200" w:after="283"/>
        <w:jc w:val="center"/>
        <w:rPr>
          <w:rFonts w:ascii="Times New Roman" w:hAnsi="Times New Roman"/>
          <w:b/>
          <w:smallCaps/>
          <w:color w:val="000000"/>
          <w:sz w:val="20"/>
        </w:rPr>
      </w:pPr>
      <w:r>
        <w:rPr>
          <w:rFonts w:ascii="Times New Roman" w:hAnsi="Times New Roman"/>
          <w:b/>
          <w:smallCaps/>
          <w:color w:val="000000"/>
          <w:sz w:val="20"/>
        </w:rPr>
        <w:t>Certification of Principal Executive Officer</w:t>
      </w:r>
    </w:p>
    <w:p>
      <w:pPr>
        <w:pStyle w:val="TextBody"/>
        <w:bidi w:val="0"/>
        <w:spacing w:lineRule="auto" w:line="273"/>
        <w:jc w:val="center"/>
        <w:rPr>
          <w:rFonts w:ascii="Times New Roman" w:hAnsi="Times New Roman"/>
          <w:b/>
          <w:smallCaps/>
          <w:color w:val="000000"/>
          <w:sz w:val="20"/>
        </w:rPr>
      </w:pPr>
      <w:r>
        <w:rPr>
          <w:rFonts w:ascii="Times New Roman" w:hAnsi="Times New Roman"/>
          <w:b/>
          <w:smallCaps/>
          <w:color w:val="000000"/>
          <w:sz w:val="20"/>
        </w:rPr>
        <w:t>Pursuant to Section 302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Mac Armstrong, certify that: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have reviewed this Annual Report on Form 10-K of Palomar Holdings, Inc.;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6538" w:type="dxa"/>
        <w:jc w:val="left"/>
        <w:tblInd w:w="0" w:type="dxa"/>
        <w:tblLayout w:type="fixed"/>
        <w:tblCellMar>
          <w:top w:w="28" w:type="dxa"/>
          <w:left w:w="28" w:type="dxa"/>
          <w:bottom w:w="28" w:type="dxa"/>
          <w:right w:w="28" w:type="dxa"/>
        </w:tblCellMar>
      </w:tblPr>
      <w:tblGrid>
        <w:gridCol w:w="2086"/>
        <w:gridCol w:w="146"/>
        <w:gridCol w:w="430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Mac Armstrong</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 Armstrong</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46" w:name="plmr-ex31_2.htm"/>
      <w:bookmarkStart w:id="47" w:name="ksplmrex31_2"/>
      <w:bookmarkEnd w:id="46"/>
      <w:bookmarkEnd w:id="47"/>
      <w:r>
        <w:rPr>
          <w:rFonts w:ascii="Times New Roman" w:hAnsi="Times New Roman"/>
          <w:b/>
          <w:color w:val="000000"/>
          <w:sz w:val="20"/>
        </w:rPr>
        <w:t>Exhibit 31.2</w:t>
      </w:r>
      <w:r>
        <w:br w:type="page"/>
      </w:r>
    </w:p>
    <w:p>
      <w:pPr>
        <w:pStyle w:val="TextBody"/>
        <w:bidi w:val="0"/>
        <w:spacing w:lineRule="auto" w:line="273" w:before="200" w:after="283"/>
        <w:jc w:val="center"/>
        <w:rPr>
          <w:rFonts w:ascii="Times New Roman" w:hAnsi="Times New Roman"/>
          <w:b/>
          <w:smallCaps/>
          <w:color w:val="000000"/>
          <w:sz w:val="20"/>
        </w:rPr>
      </w:pPr>
      <w:r>
        <w:rPr>
          <w:rFonts w:ascii="Times New Roman" w:hAnsi="Times New Roman"/>
          <w:b/>
          <w:smallCaps/>
          <w:color w:val="000000"/>
          <w:sz w:val="20"/>
        </w:rPr>
        <w:t>Certification of Principal Financial Officer</w:t>
      </w:r>
    </w:p>
    <w:p>
      <w:pPr>
        <w:pStyle w:val="TextBody"/>
        <w:bidi w:val="0"/>
        <w:spacing w:lineRule="auto" w:line="273"/>
        <w:jc w:val="center"/>
        <w:rPr>
          <w:rFonts w:ascii="Times New Roman" w:hAnsi="Times New Roman"/>
          <w:b/>
          <w:smallCaps/>
          <w:color w:val="000000"/>
          <w:sz w:val="20"/>
        </w:rPr>
      </w:pPr>
      <w:r>
        <w:rPr>
          <w:rFonts w:ascii="Times New Roman" w:hAnsi="Times New Roman"/>
          <w:b/>
          <w:smallCaps/>
          <w:color w:val="000000"/>
          <w:sz w:val="20"/>
        </w:rPr>
        <w:t>Pursuant to Section 302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T. Christopher Uchida, certify that: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have reviewed this Annual Report on Form 10-K of Palomar Holdings, Inc.;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4423" w:type="dxa"/>
        <w:jc w:val="left"/>
        <w:tblInd w:w="0" w:type="dxa"/>
        <w:tblLayout w:type="fixed"/>
        <w:tblCellMar>
          <w:top w:w="28" w:type="dxa"/>
          <w:left w:w="28" w:type="dxa"/>
          <w:bottom w:w="28" w:type="dxa"/>
          <w:right w:w="28" w:type="dxa"/>
        </w:tblCellMar>
      </w:tblPr>
      <w:tblGrid>
        <w:gridCol w:w="2086"/>
        <w:gridCol w:w="146"/>
        <w:gridCol w:w="2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 Christopher Uchida</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48" w:name="plmr-ex32_1.htm"/>
      <w:bookmarkStart w:id="49" w:name="ksplmrex32_1"/>
      <w:bookmarkEnd w:id="48"/>
      <w:bookmarkEnd w:id="49"/>
      <w:r>
        <w:rPr>
          <w:rFonts w:ascii="Times New Roman" w:hAnsi="Times New Roman"/>
          <w:b/>
          <w:color w:val="000000"/>
          <w:sz w:val="20"/>
        </w:rPr>
        <w:t>EXHIBIT 32.1</w:t>
      </w:r>
      <w:r>
        <w:br w:type="page"/>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connection with the Annual Report on Form 10-K of Palomar Holdings, Inc. (the “Company”) for the fiscal year ended December 31, 2025,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as applicable, of the Securities Exchange Act of 1934, as amended;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lineRule="auto" w:line="273"/>
        <w:jc w:val="left"/>
        <w:rPr/>
      </w:pPr>
      <w:r>
        <w:rPr/>
        <w:t> </w:t>
      </w:r>
    </w:p>
    <w:tbl>
      <w:tblPr>
        <w:tblW w:w="7023" w:type="dxa"/>
        <w:jc w:val="left"/>
        <w:tblInd w:w="0" w:type="dxa"/>
        <w:tblLayout w:type="fixed"/>
        <w:tblCellMar>
          <w:top w:w="28" w:type="dxa"/>
          <w:left w:w="28" w:type="dxa"/>
          <w:bottom w:w="28" w:type="dxa"/>
          <w:right w:w="28" w:type="dxa"/>
        </w:tblCellMar>
      </w:tblPr>
      <w:tblGrid>
        <w:gridCol w:w="2086"/>
        <w:gridCol w:w="631"/>
        <w:gridCol w:w="4306"/>
      </w:tblGrid>
      <w:tr>
        <w:trPr/>
        <w:tc>
          <w:tcPr>
            <w:tcW w:w="20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lineRule="auto" w:line="252" w:before="200" w:after="283"/>
              <w:jc w:val="left"/>
              <w:rPr>
                <w:rFonts w:ascii="Times New Roman" w:hAnsi="Times New Roman"/>
                <w:color w:val="000000"/>
                <w:sz w:val="20"/>
              </w:rPr>
            </w:pPr>
            <w:r>
              <w:rPr>
                <w:rFonts w:ascii="Times New Roman" w:hAnsi="Times New Roman"/>
                <w:color w:val="000000"/>
                <w:sz w:val="20"/>
              </w:rPr>
              <w:t>Date: February 24, 2026</w:t>
            </w:r>
          </w:p>
        </w:tc>
        <w:tc>
          <w:tcPr>
            <w:tcW w:w="631" w:type="dxa"/>
            <w:tcBorders/>
            <w:tcMar>
              <w:top w:w="0" w:type="dxa"/>
              <w:left w:w="0" w:type="dxa"/>
              <w:bottom w:w="0" w:type="dxa"/>
              <w:right w:w="0" w:type="dxa"/>
            </w:tcMar>
            <w:vAlign w:val="center"/>
          </w:tcPr>
          <w:p>
            <w:pPr>
              <w:pStyle w:val="TableContents"/>
              <w:bidi w:val="0"/>
              <w:spacing w:lineRule="auto" w:line="252" w:before="200" w:after="283"/>
              <w:jc w:val="left"/>
              <w:rPr>
                <w:rFonts w:ascii="Times New Roman" w:hAnsi="Times New Roman"/>
                <w:color w:val="000000"/>
                <w:sz w:val="20"/>
              </w:rPr>
            </w:pPr>
            <w:r>
              <w:rPr>
                <w:rFonts w:ascii="Times New Roman" w:hAnsi="Times New Roman"/>
                <w:color w:val="000000"/>
                <w:sz w:val="20"/>
              </w:rPr>
              <w:t>By:</w:t>
            </w:r>
          </w:p>
        </w:tc>
        <w:tc>
          <w:tcPr>
            <w:tcW w:w="4306" w:type="dxa"/>
            <w:tcBorders/>
            <w:tcMar>
              <w:top w:w="0" w:type="dxa"/>
              <w:left w:w="0" w:type="dxa"/>
              <w:bottom w:w="0" w:type="dxa"/>
              <w:right w:w="0" w:type="dxa"/>
            </w:tcMar>
            <w:vAlign w:val="center"/>
          </w:tcPr>
          <w:p>
            <w:pPr>
              <w:pStyle w:val="TableContents"/>
              <w:pBdr>
                <w:bottom w:val="single" w:sz="6" w:space="1" w:color="000000"/>
              </w:pBdr>
              <w:bidi w:val="0"/>
              <w:spacing w:lineRule="auto" w:line="252" w:before="200" w:after="283"/>
              <w:jc w:val="left"/>
              <w:rPr>
                <w:rFonts w:ascii="Times New Roman" w:hAnsi="Times New Roman"/>
                <w:color w:val="000000"/>
                <w:sz w:val="20"/>
              </w:rPr>
            </w:pPr>
            <w:r>
              <w:rPr>
                <w:rFonts w:ascii="Times New Roman" w:hAnsi="Times New Roman"/>
                <w:color w:val="000000"/>
                <w:sz w:val="20"/>
              </w:rPr>
              <w:t>/s/ Mac Armstrong</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 Armstrong</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February 24, 2026</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tcMar>
              <w:top w:w="0" w:type="dxa"/>
              <w:left w:w="0" w:type="dxa"/>
              <w:bottom w:w="0" w:type="dxa"/>
              <w:right w:w="0" w:type="dxa"/>
            </w:tcMar>
            <w:vAlign w:val="center"/>
          </w:tcPr>
          <w:p>
            <w:pPr>
              <w:pStyle w:val="TableContents"/>
              <w:pBdr>
                <w:bottom w:val="single" w:sz="6" w:space="1" w:color="000000"/>
              </w:pBdr>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 Christopher Uchida</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319"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hyperlink" Target="https://www.sec.gov/Archives/edgar/data/1761312/000119312525258571/plmr-ex2_1.htm" TargetMode="External"/><Relationship Id="rId7" Type="http://schemas.openxmlformats.org/officeDocument/2006/relationships/hyperlink" Target="https://www.sec.gov/Archives/edgar/data/1761312/000155837022009480/plmr-20220527xex3d1.htm" TargetMode="External"/><Relationship Id="rId8" Type="http://schemas.openxmlformats.org/officeDocument/2006/relationships/hyperlink" Target="https://www.sec.gov/Archives/edgar/data/1761312/000155837022009480/plmr-20220527xex3d2.htm" TargetMode="External"/><Relationship Id="rId9" Type="http://schemas.openxmlformats.org/officeDocument/2006/relationships/hyperlink" Target="https://www.sec.gov/Archives/edgar/data/1761312/000104746919002037/a2238352zex-4_1.htm" TargetMode="External"/><Relationship Id="rId10" Type="http://schemas.openxmlformats.org/officeDocument/2006/relationships/hyperlink" Target="https://www.sec.gov/Archives/edgar/data/1761312/000155837021002643/plmr-20201231ex42aca0f84.htm" TargetMode="External"/><Relationship Id="rId11" Type="http://schemas.openxmlformats.org/officeDocument/2006/relationships/hyperlink" Target="https://www.sec.gov/Archives/edgar/data/1761312/000104746919001326/a2238083zex-10_1.htm" TargetMode="External"/><Relationship Id="rId12" Type="http://schemas.openxmlformats.org/officeDocument/2006/relationships/hyperlink" Target="https://www.sec.gov/Archives/edgar/data/1761312/000104746919001326/a2238083zex-10_2.htm" TargetMode="External"/><Relationship Id="rId13" Type="http://schemas.openxmlformats.org/officeDocument/2006/relationships/hyperlink" Target="https://www.sec.gov/Archives/edgar/data/1761312/000143774924038523/ex_760504.htm" TargetMode="External"/><Relationship Id="rId14" Type="http://schemas.openxmlformats.org/officeDocument/2006/relationships/hyperlink" Target="https://www.sec.gov/Archives/edgar/data/1761312/000095017025103234/plmr-ex10_1.htm" TargetMode="External"/><Relationship Id="rId15" Type="http://schemas.openxmlformats.org/officeDocument/2006/relationships/hyperlink" Target="https://www.sec.gov/Archives/edgar/data/1761312/000104746919001326/a2238083zex-10_6.htm" TargetMode="External"/><Relationship Id="rId16" Type="http://schemas.openxmlformats.org/officeDocument/2006/relationships/hyperlink" Target="https://www.sec.gov/Archives/edgar/data/1761312/000104746919002037/a2238352zex-10_7.htm" TargetMode="External"/><Relationship Id="rId17" Type="http://schemas.openxmlformats.org/officeDocument/2006/relationships/hyperlink" Target="https://www.sec.gov/Archives/edgar/data/1761312/000155837021016646/plmr-20211208xex10d1.htm" TargetMode="External"/><Relationship Id="rId18" Type="http://schemas.openxmlformats.org/officeDocument/2006/relationships/hyperlink" Target="https://www.sec.gov/Archives/edgar/data/1761312/000155837021016646/plmr-20211208xex10d2.htm" TargetMode="External"/><Relationship Id="rId19" Type="http://schemas.openxmlformats.org/officeDocument/2006/relationships/hyperlink" Target="https://www.sec.gov/Archives/edgar/data/1761312/000143774925014835/ex_810056.htm" TargetMode="External"/><Relationship Id="rId20" Type="http://schemas.openxmlformats.org/officeDocument/2006/relationships/hyperlink" Target="https://www.sec.gov/Archives/edgar/data/1761312/000143774925014835/ex_810903.htm" TargetMode="External"/><Relationship Id="rId21" Type="http://schemas.openxmlformats.org/officeDocument/2006/relationships/hyperlink" Target="https://www.sec.gov/Archives/edgar/data/1761312/000143774925014835/ex_810905.htm" TargetMode="External"/><Relationship Id="rId22" Type="http://schemas.openxmlformats.org/officeDocument/2006/relationships/hyperlink" Target="https://www.sec.gov/Archives/edgar/data/1761312/000143774925014835/ex_810908.htm" TargetMode="External"/><Relationship Id="rId23" Type="http://schemas.openxmlformats.org/officeDocument/2006/relationships/hyperlink" Target="https://www.sec.gov/Archives/edgar/data/1761312/000119312525272277/plmr-ex10_1.htm" TargetMode="External"/><Relationship Id="rId24" Type="http://schemas.openxmlformats.org/officeDocument/2006/relationships/hyperlink" Target="https://www.sec.gov/Archives/edgar/data/1761312/000143774925005069/ex_780539.htm" TargetMode="External"/><Relationship Id="rId25" Type="http://schemas.openxmlformats.org/officeDocument/2006/relationships/hyperlink" Target="https://www.sec.gov/Archives/edgar/data/1761312/000143774924005385/ex_629074.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70462</Words>
  <Characters>392821</Characters>
  <CharactersWithSpaces>466699</CharactersWithSpaces>
  <Paragraphs>17597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