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lmr20240331_10q.htm"/>
      <w:bookmarkStart w:id="1" w:name="ksplmr20240331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(Mark One)</w:t>
      </w:r>
    </w:p>
    <w:tbl>
      <w:tblPr>
        <w:tblW w:w="9640" w:type="dxa"/>
        <w:jc w:val="left"/>
        <w:tblInd w:w="0" w:type="dxa"/>
        <w:tblLayout w:type="fixed"/>
        <w:tblCellMar>
          <w:top w:w="0" w:type="dxa"/>
          <w:left w:w="0" w:type="dxa"/>
          <w:bottom w:w="0" w:type="dxa"/>
          <w:right w:w="0" w:type="dxa"/>
        </w:tblCellMar>
      </w:tblPr>
      <w:tblGrid>
        <w:gridCol w:w="60"/>
        <w:gridCol w:w="290"/>
        <w:gridCol w:w="929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pPr>
            <w:r>
              <w:rPr/>
              <w:t xml:space="preserve">☒ </w:t>
            </w:r>
          </w:p>
        </w:tc>
        <w:tc>
          <w:tcPr>
            <w:tcW w:w="929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900" w:right="0" w:hanging="0"/>
        <w:jc w:val="left"/>
        <w:rPr>
          <w:rFonts w:ascii="Times New Roman" w:hAnsi="Times New Roman"/>
          <w:caps w:val="false"/>
          <w:smallCaps w:val="false"/>
          <w:sz w:val="18"/>
        </w:rPr>
      </w:pPr>
      <w:r>
        <w:rPr>
          <w:rFonts w:ascii="Times New Roman" w:hAnsi="Times New Roman"/>
          <w:caps w:val="false"/>
          <w:smallCaps w:val="false"/>
          <w:sz w:val="18"/>
        </w:rPr>
        <w:t>For the quarterly period ended March 31, 2024</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or</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290"/>
        <w:gridCol w:w="929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both"/>
              <w:rPr/>
            </w:pPr>
            <w:r>
              <w:rPr/>
              <w:t xml:space="preserve">☐ </w:t>
            </w:r>
          </w:p>
        </w:tc>
        <w:tc>
          <w:tcPr>
            <w:tcW w:w="9290"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900" w:right="0" w:hanging="0"/>
        <w:jc w:val="left"/>
        <w:rPr>
          <w:rFonts w:ascii="Times New Roman" w:hAnsi="Times New Roman"/>
          <w:caps w:val="false"/>
          <w:smallCaps w:val="false"/>
          <w:sz w:val="18"/>
        </w:rPr>
      </w:pPr>
      <w:r>
        <w:rPr>
          <w:rFonts w:ascii="Times New Roman" w:hAnsi="Times New Roman"/>
          <w:caps w:val="false"/>
          <w:smallCaps w:val="false"/>
          <w:sz w:val="18"/>
        </w:rPr>
        <w:t>For the transition period from ___________ to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Commission File Number: 001-38873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Palomar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28" w:type="dxa"/>
          <w:right w:w="0" w:type="dxa"/>
        </w:tblCellMar>
      </w:tblPr>
      <w:tblGrid>
        <w:gridCol w:w="2825"/>
        <w:gridCol w:w="60"/>
        <w:gridCol w:w="2585"/>
      </w:tblGrid>
      <w:tr>
        <w:trPr/>
        <w:tc>
          <w:tcPr>
            <w:tcW w:w="28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60" w:type="dxa"/>
            <w:tcBorders/>
            <w:tcMar>
              <w:bottom w:w="0" w:type="dxa"/>
            </w:tcMar>
            <w:vAlign w:val="center"/>
          </w:tcPr>
          <w:p>
            <w:pPr>
              <w:pStyle w:val="TableContents"/>
              <w:bidi w:val="0"/>
              <w:spacing w:before="0" w:after="283"/>
              <w:jc w:val="left"/>
              <w:rPr/>
            </w:pPr>
            <w:r>
              <w:rPr/>
              <w:t> </w:t>
            </w:r>
          </w:p>
        </w:tc>
        <w:tc>
          <w:tcPr>
            <w:tcW w:w="25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83-3972551</w:t>
            </w:r>
          </w:p>
        </w:tc>
      </w:tr>
      <w:tr>
        <w:trPr/>
        <w:tc>
          <w:tcPr>
            <w:tcW w:w="282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(State or other jurisdiction of</w:t>
            </w:r>
          </w:p>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(I.R.S. Employer Identification No.)</w:t>
            </w:r>
          </w:p>
        </w:tc>
      </w:tr>
      <w:tr>
        <w:trPr/>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283"/>
              <w:jc w:val="left"/>
              <w:rPr/>
            </w:pPr>
            <w:r>
              <w:rPr/>
              <w:t> </w:t>
            </w:r>
          </w:p>
        </w:tc>
      </w:tr>
      <w:tr>
        <w:trPr/>
        <w:tc>
          <w:tcPr>
            <w:tcW w:w="28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7979 Ivanhoe Avenue, Suite 500</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La Jolla, California</w:t>
            </w:r>
          </w:p>
        </w:tc>
        <w:tc>
          <w:tcPr>
            <w:tcW w:w="60" w:type="dxa"/>
            <w:tcBorders/>
            <w:tcMar>
              <w:bottom w:w="0" w:type="dxa"/>
            </w:tcMar>
            <w:vAlign w:val="center"/>
          </w:tcPr>
          <w:p>
            <w:pPr>
              <w:pStyle w:val="TableContents"/>
              <w:bidi w:val="0"/>
              <w:spacing w:before="0" w:after="283"/>
              <w:jc w:val="left"/>
              <w:rPr/>
            </w:pPr>
            <w:r>
              <w:rPr/>
              <w:t> </w:t>
            </w:r>
          </w:p>
        </w:tc>
        <w:tc>
          <w:tcPr>
            <w:tcW w:w="25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92037</w:t>
            </w:r>
          </w:p>
        </w:tc>
      </w:tr>
      <w:tr>
        <w:trPr/>
        <w:tc>
          <w:tcPr>
            <w:tcW w:w="282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(619) 567-5290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93" w:type="dxa"/>
        <w:jc w:val="left"/>
        <w:tblInd w:w="-7" w:type="dxa"/>
        <w:tblLayout w:type="fixed"/>
        <w:tblCellMar>
          <w:top w:w="28" w:type="dxa"/>
          <w:left w:w="28" w:type="dxa"/>
          <w:bottom w:w="28" w:type="dxa"/>
          <w:right w:w="28" w:type="dxa"/>
        </w:tblCellMar>
      </w:tblPr>
      <w:tblGrid>
        <w:gridCol w:w="3256"/>
        <w:gridCol w:w="1426"/>
        <w:gridCol w:w="3211"/>
      </w:tblGrid>
      <w:tr>
        <w:trPr/>
        <w:tc>
          <w:tcPr>
            <w:tcW w:w="325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Title of each class</w:t>
            </w:r>
          </w:p>
        </w:tc>
        <w:tc>
          <w:tcPr>
            <w:tcW w:w="142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Trading Symbol(s)</w:t>
            </w:r>
          </w:p>
        </w:tc>
        <w:tc>
          <w:tcPr>
            <w:tcW w:w="321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Name of each exchange on which registered</w:t>
            </w:r>
          </w:p>
        </w:tc>
      </w:tr>
      <w:tr>
        <w:trPr/>
        <w:tc>
          <w:tcPr>
            <w:tcW w:w="325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par value $0.0001 per share</w:t>
            </w:r>
          </w:p>
        </w:tc>
        <w:tc>
          <w:tcPr>
            <w:tcW w:w="142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PLMR</w:t>
            </w:r>
          </w:p>
        </w:tc>
        <w:tc>
          <w:tcPr>
            <w:tcW w:w="321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225"/>
        <w:gridCol w:w="2165"/>
      </w:tblGrid>
      <w:tr>
        <w:trPr/>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Large accelerated filer ☒</w:t>
            </w:r>
          </w:p>
        </w:tc>
        <w:tc>
          <w:tcPr>
            <w:tcW w:w="2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Accelerated filer ☐</w:t>
            </w:r>
          </w:p>
        </w:tc>
      </w:tr>
      <w:tr>
        <w:trPr/>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Non-accelerated filer ☐  </w:t>
            </w:r>
          </w:p>
        </w:tc>
        <w:tc>
          <w:tcPr>
            <w:tcW w:w="2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Smaller reporting company ☐</w:t>
            </w:r>
          </w:p>
        </w:tc>
      </w:tr>
      <w:tr>
        <w:trPr/>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Emerging growth company ☐ </w:t>
            </w:r>
          </w:p>
        </w:tc>
        <w:tc>
          <w:tcPr>
            <w:tcW w:w="21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18"/>
        </w:rPr>
      </w:pPr>
      <w:r>
        <w:rPr>
          <w:rFonts w:ascii="Times New Roman" w:hAnsi="Times New Roman"/>
          <w:caps w:val="false"/>
          <w:smallCaps w:val="false"/>
          <w:sz w:val="18"/>
        </w:rPr>
        <w:t>Number of shares of the registrant’s common shares outstanding at April 30, 2024: 24,923,286</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025"/>
        <w:gridCol w:w="455"/>
      </w:tblGrid>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left"/>
              <w:rPr/>
            </w:pPr>
            <w:r>
              <w:rPr/>
              <w:t> </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9750" w:type="dxa"/>
            <w:gridSpan w:val="2"/>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caps w:val="false"/>
                  <w:smallCaps w:val="false"/>
                  <w:sz w:val="20"/>
                </w:rPr>
                <w:t>PART</w:t>
              </w:r>
            </w:hyperlink>
            <w:hyperlink w:anchor="parti">
              <w:r>
                <w:rPr>
                  <w:rStyle w:val="InternetLink"/>
                  <w:rFonts w:ascii="Times New Roman;Times;serif" w:hAnsi="Times New Roman;Times;serif"/>
                  <w:caps w:val="false"/>
                  <w:smallCaps w:val="false"/>
                  <w:sz w:val="20"/>
                </w:rPr>
                <w:t> </w:t>
              </w:r>
            </w:hyperlink>
            <w:hyperlink w:anchor="parti">
              <w:r>
                <w:rPr>
                  <w:rStyle w:val="InternetLink"/>
                  <w:rFonts w:ascii="Times New Roman;Times;serif" w:hAnsi="Times New Roman;Times;serif"/>
                  <w:b/>
                  <w:caps w:val="false"/>
                  <w:smallCaps w:val="false"/>
                  <w:sz w:val="20"/>
                </w:rPr>
                <w:t>I. FINANCIAL INFORMATION</w:t>
              </w:r>
            </w:hyperlink>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9025"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Financial Statements</w:t>
              </w:r>
            </w:hyperlink>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rPr>
                <w:t>Condensed Consolidated Balance Sheets at March 31, 2024 (Unaudited) and December 31, 2023</w:t>
              </w:r>
            </w:hyperlink>
          </w:p>
        </w:tc>
        <w:tc>
          <w:tcPr>
            <w:tcW w:w="455"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3</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caps w:val="false"/>
                  <w:smallCaps w:val="false"/>
                  <w:sz w:val="20"/>
                </w:rPr>
                <w:t>Condensed Consolidated Statements of Income and Comprehensive Income (Loss) (Unaudited) for the Three Months Ended March 31, 2024 and 2023</w:t>
              </w:r>
            </w:hyperlink>
          </w:p>
        </w:tc>
        <w:tc>
          <w:tcPr>
            <w:tcW w:w="455"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4</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she">
              <w:r>
                <w:rPr>
                  <w:rStyle w:val="InternetLink"/>
                  <w:rFonts w:ascii="Times New Roman;Times;serif" w:hAnsi="Times New Roman;Times;serif"/>
                  <w:caps w:val="false"/>
                  <w:smallCaps w:val="false"/>
                  <w:sz w:val="20"/>
                </w:rPr>
                <w:t>Condensed Consolidated Statements of Changes in Stockholders’ Equity (Unaudited) for the Three Months Ended March 31, 2024 and 2023</w:t>
              </w:r>
            </w:hyperlink>
          </w:p>
        </w:tc>
        <w:tc>
          <w:tcPr>
            <w:tcW w:w="455" w:type="dxa"/>
            <w:tcBorders/>
            <w:vAlign w:val="center"/>
          </w:tcPr>
          <w:p>
            <w:pPr>
              <w:pStyle w:val="TableContents"/>
              <w:bidi w:val="0"/>
              <w:spacing w:before="0" w:after="0"/>
              <w:ind w:left="0" w:right="0" w:hanging="0"/>
              <w:jc w:val="right"/>
              <w:rPr/>
            </w:pPr>
            <w:hyperlink w:anchor="she">
              <w:r>
                <w:rPr>
                  <w:rStyle w:val="InternetLink"/>
                  <w:rFonts w:ascii="Times New Roman;Times;serif" w:hAnsi="Times New Roman;Times;serif"/>
                  <w:caps w:val="false"/>
                  <w:smallCaps w:val="false"/>
                  <w:sz w:val="20"/>
                </w:rPr>
                <w:t>5</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caps w:val="false"/>
                  <w:smallCaps w:val="false"/>
                  <w:sz w:val="20"/>
                </w:rPr>
                <w:t>Condensed Consolidated Statements of Cash Flows (Unaudited) for the Three Months Ended March 31, 2024 and 2023</w:t>
              </w:r>
            </w:hyperlink>
          </w:p>
        </w:tc>
        <w:tc>
          <w:tcPr>
            <w:tcW w:w="455" w:type="dxa"/>
            <w:tcBorders/>
            <w:vAlign w:val="center"/>
          </w:tcPr>
          <w:p>
            <w:pPr>
              <w:pStyle w:val="TableContents"/>
              <w:bidi w:val="0"/>
              <w:spacing w:before="0" w:after="0"/>
              <w:ind w:left="0" w:right="0" w:hanging="0"/>
              <w:jc w:val="right"/>
              <w:rPr/>
            </w:pPr>
            <w:hyperlink w:anchor="cfs">
              <w:r>
                <w:rPr>
                  <w:rStyle w:val="InternetLink"/>
                  <w:rFonts w:ascii="Times New Roman;Times;serif" w:hAnsi="Times New Roman;Times;serif"/>
                  <w:caps w:val="false"/>
                  <w:smallCaps w:val="false"/>
                  <w:sz w:val="20"/>
                </w:rPr>
                <w:t>6</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rPr>
                <w:t>Notes to Condensed Consolidated Financial Statements (Unaudited)</w:t>
              </w:r>
            </w:hyperlink>
          </w:p>
        </w:tc>
        <w:tc>
          <w:tcPr>
            <w:tcW w:w="455"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7</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9025"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455"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20</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9025" w:type="dxa"/>
            <w:tcBorders/>
            <w:vAlign w:val="center"/>
          </w:tcPr>
          <w:p>
            <w:pPr>
              <w:pStyle w:val="TableContents"/>
              <w:bidi w:val="0"/>
              <w:spacing w:before="0" w:after="0"/>
              <w:ind w:left="0" w:right="0" w:hanging="0"/>
              <w:jc w:val="left"/>
              <w:rPr/>
            </w:pPr>
            <w:hyperlink w:anchor="qqdmr">
              <w:r>
                <w:rPr>
                  <w:rStyle w:val="InternetLink"/>
                  <w:rFonts w:ascii="Times New Roman;Times;serif" w:hAnsi="Times New Roman;Times;serif"/>
                  <w:caps w:val="false"/>
                  <w:smallCaps w:val="false"/>
                  <w:sz w:val="20"/>
                </w:rPr>
                <w:t>Quantitative and Qualitative Disclosures About Market Risk</w:t>
              </w:r>
            </w:hyperlink>
          </w:p>
        </w:tc>
        <w:tc>
          <w:tcPr>
            <w:tcW w:w="455" w:type="dxa"/>
            <w:tcBorders/>
            <w:vAlign w:val="center"/>
          </w:tcPr>
          <w:p>
            <w:pPr>
              <w:pStyle w:val="TableContents"/>
              <w:bidi w:val="0"/>
              <w:spacing w:before="0" w:after="0"/>
              <w:ind w:left="0" w:right="0" w:hanging="0"/>
              <w:jc w:val="right"/>
              <w:rPr/>
            </w:pPr>
            <w:hyperlink w:anchor="qqdmr">
              <w:r>
                <w:rPr>
                  <w:rStyle w:val="InternetLink"/>
                  <w:rFonts w:ascii="Times New Roman;Times;serif" w:hAnsi="Times New Roman;Times;serif"/>
                  <w:caps w:val="false"/>
                  <w:smallCaps w:val="false"/>
                  <w:sz w:val="20"/>
                </w:rPr>
                <w:t>40</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9025" w:type="dxa"/>
            <w:tcBorders/>
            <w:vAlign w:val="center"/>
          </w:tcPr>
          <w:p>
            <w:pPr>
              <w:pStyle w:val="TableContents"/>
              <w:bidi w:val="0"/>
              <w:spacing w:before="0" w:after="0"/>
              <w:ind w:left="0" w:right="0" w:hanging="0"/>
              <w:jc w:val="left"/>
              <w:rPr/>
            </w:pPr>
            <w:hyperlink w:anchor="cps">
              <w:r>
                <w:rPr>
                  <w:rStyle w:val="InternetLink"/>
                  <w:rFonts w:ascii="Times New Roman;Times;serif" w:hAnsi="Times New Roman;Times;serif"/>
                  <w:caps w:val="false"/>
                  <w:smallCaps w:val="false"/>
                  <w:sz w:val="20"/>
                </w:rPr>
                <w:t>Controls and Procedures</w:t>
              </w:r>
            </w:hyperlink>
          </w:p>
        </w:tc>
        <w:tc>
          <w:tcPr>
            <w:tcW w:w="455" w:type="dxa"/>
            <w:tcBorders/>
            <w:vAlign w:val="center"/>
          </w:tcPr>
          <w:p>
            <w:pPr>
              <w:pStyle w:val="TableContents"/>
              <w:bidi w:val="0"/>
              <w:spacing w:before="0" w:after="0"/>
              <w:ind w:left="0" w:right="0" w:hanging="0"/>
              <w:jc w:val="right"/>
              <w:rPr/>
            </w:pPr>
            <w:hyperlink w:anchor="cps">
              <w:r>
                <w:rPr>
                  <w:rStyle w:val="InternetLink"/>
                  <w:rFonts w:ascii="Times New Roman;Times;serif" w:hAnsi="Times New Roman;Times;serif"/>
                  <w:caps w:val="false"/>
                  <w:smallCaps w:val="false"/>
                  <w:sz w:val="20"/>
                </w:rPr>
                <w:t>41</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9750"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caps w:val="false"/>
                  <w:smallCaps w:val="false"/>
                  <w:sz w:val="20"/>
                </w:rPr>
                <w:t>PART</w:t>
              </w:r>
            </w:hyperlink>
            <w:hyperlink w:anchor="partii">
              <w:r>
                <w:rPr>
                  <w:rStyle w:val="InternetLink"/>
                  <w:rFonts w:ascii="Times New Roman;Times;serif" w:hAnsi="Times New Roman;Times;serif"/>
                  <w:caps w:val="false"/>
                  <w:smallCaps w:val="false"/>
                  <w:sz w:val="20"/>
                </w:rPr>
                <w:t> </w:t>
              </w:r>
            </w:hyperlink>
            <w:hyperlink w:anchor="partii">
              <w:r>
                <w:rPr>
                  <w:rStyle w:val="InternetLink"/>
                  <w:rFonts w:ascii="Times New Roman;Times;serif" w:hAnsi="Times New Roman;Times;serif"/>
                  <w:b/>
                  <w:caps w:val="false"/>
                  <w:smallCaps w:val="false"/>
                  <w:sz w:val="20"/>
                </w:rPr>
                <w:t>II. OTHER INFORMATION</w:t>
              </w:r>
            </w:hyperlink>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9025"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caps w:val="false"/>
                  <w:smallCaps w:val="false"/>
                  <w:sz w:val="20"/>
                </w:rPr>
                <w:t>Legal Proceedings</w:t>
              </w:r>
            </w:hyperlink>
          </w:p>
        </w:tc>
        <w:tc>
          <w:tcPr>
            <w:tcW w:w="455"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caps w:val="false"/>
                  <w:smallCaps w:val="false"/>
                  <w:sz w:val="20"/>
                </w:rPr>
                <w:t>42</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9025"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caps w:val="false"/>
                  <w:smallCaps w:val="false"/>
                  <w:sz w:val="20"/>
                </w:rPr>
                <w:t>Risk Factors</w:t>
              </w:r>
            </w:hyperlink>
          </w:p>
        </w:tc>
        <w:tc>
          <w:tcPr>
            <w:tcW w:w="45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caps w:val="false"/>
                  <w:smallCaps w:val="false"/>
                  <w:sz w:val="20"/>
                </w:rPr>
                <w:t>42</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9025" w:type="dxa"/>
            <w:tcBorders/>
            <w:vAlign w:val="center"/>
          </w:tcPr>
          <w:p>
            <w:pPr>
              <w:pStyle w:val="TableContents"/>
              <w:bidi w:val="0"/>
              <w:spacing w:before="0" w:after="0"/>
              <w:ind w:left="0" w:right="0" w:hanging="0"/>
              <w:jc w:val="left"/>
              <w:rPr/>
            </w:pPr>
            <w:hyperlink w:anchor="uses">
              <w:r>
                <w:rPr>
                  <w:rStyle w:val="InternetLink"/>
                  <w:rFonts w:ascii="Times New Roman;Times;serif" w:hAnsi="Times New Roman;Times;serif"/>
                  <w:caps w:val="false"/>
                  <w:smallCaps w:val="false"/>
                  <w:sz w:val="20"/>
                </w:rPr>
                <w:t>Unregistered Sales of Equity Securities and Use of Proceeds</w:t>
              </w:r>
            </w:hyperlink>
          </w:p>
        </w:tc>
        <w:tc>
          <w:tcPr>
            <w:tcW w:w="455" w:type="dxa"/>
            <w:tcBorders/>
            <w:vAlign w:val="center"/>
          </w:tcPr>
          <w:p>
            <w:pPr>
              <w:pStyle w:val="TableContents"/>
              <w:bidi w:val="0"/>
              <w:spacing w:before="0" w:after="0"/>
              <w:ind w:left="0" w:right="0" w:hanging="0"/>
              <w:jc w:val="right"/>
              <w:rPr/>
            </w:pPr>
            <w:hyperlink w:anchor="uses">
              <w:r>
                <w:rPr>
                  <w:rStyle w:val="InternetLink"/>
                  <w:rFonts w:ascii="Times New Roman;Times;serif" w:hAnsi="Times New Roman;Times;serif"/>
                  <w:caps w:val="false"/>
                  <w:smallCaps w:val="false"/>
                  <w:sz w:val="20"/>
                </w:rPr>
                <w:t>65</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9025" w:type="dxa"/>
            <w:tcBorders/>
            <w:vAlign w:val="center"/>
          </w:tcPr>
          <w:p>
            <w:pPr>
              <w:pStyle w:val="TableContents"/>
              <w:bidi w:val="0"/>
              <w:spacing w:before="0" w:after="0"/>
              <w:ind w:left="0" w:right="0" w:hanging="0"/>
              <w:jc w:val="left"/>
              <w:rPr/>
            </w:pPr>
            <w:hyperlink w:anchor="duss">
              <w:r>
                <w:rPr>
                  <w:rStyle w:val="InternetLink"/>
                  <w:rFonts w:ascii="Times New Roman;Times;serif" w:hAnsi="Times New Roman;Times;serif"/>
                  <w:caps w:val="false"/>
                  <w:smallCaps w:val="false"/>
                  <w:sz w:val="20"/>
                </w:rPr>
                <w:t>Defaults Upon Senior Securities</w:t>
              </w:r>
            </w:hyperlink>
          </w:p>
        </w:tc>
        <w:tc>
          <w:tcPr>
            <w:tcW w:w="455" w:type="dxa"/>
            <w:tcBorders/>
            <w:vAlign w:val="center"/>
          </w:tcPr>
          <w:p>
            <w:pPr>
              <w:pStyle w:val="TableContents"/>
              <w:bidi w:val="0"/>
              <w:spacing w:before="0" w:after="0"/>
              <w:ind w:left="0" w:right="0" w:hanging="0"/>
              <w:jc w:val="right"/>
              <w:rPr/>
            </w:pPr>
            <w:hyperlink w:anchor="duss">
              <w:r>
                <w:rPr>
                  <w:rStyle w:val="InternetLink"/>
                  <w:rFonts w:ascii="Times New Roman;Times;serif" w:hAnsi="Times New Roman;Times;serif"/>
                  <w:caps w:val="false"/>
                  <w:smallCaps w:val="false"/>
                  <w:sz w:val="20"/>
                </w:rPr>
                <w:t>65</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9025" w:type="dxa"/>
            <w:tcBorders/>
            <w:vAlign w:val="center"/>
          </w:tcPr>
          <w:p>
            <w:pPr>
              <w:pStyle w:val="TableContents"/>
              <w:bidi w:val="0"/>
              <w:spacing w:before="0" w:after="0"/>
              <w:ind w:left="0" w:right="0" w:hanging="0"/>
              <w:jc w:val="left"/>
              <w:rPr/>
            </w:pPr>
            <w:hyperlink w:anchor="msd">
              <w:r>
                <w:rPr>
                  <w:rStyle w:val="InternetLink"/>
                  <w:rFonts w:ascii="Times New Roman;Times;serif" w:hAnsi="Times New Roman;Times;serif"/>
                  <w:caps w:val="false"/>
                  <w:smallCaps w:val="false"/>
                  <w:sz w:val="20"/>
                </w:rPr>
                <w:t>Mine Safety Disclosures</w:t>
              </w:r>
            </w:hyperlink>
          </w:p>
        </w:tc>
        <w:tc>
          <w:tcPr>
            <w:tcW w:w="455" w:type="dxa"/>
            <w:tcBorders/>
            <w:vAlign w:val="center"/>
          </w:tcPr>
          <w:p>
            <w:pPr>
              <w:pStyle w:val="TableContents"/>
              <w:bidi w:val="0"/>
              <w:spacing w:before="0" w:after="0"/>
              <w:ind w:left="0" w:right="0" w:hanging="0"/>
              <w:jc w:val="right"/>
              <w:rPr/>
            </w:pPr>
            <w:hyperlink w:anchor="msd">
              <w:r>
                <w:rPr>
                  <w:rStyle w:val="InternetLink"/>
                  <w:rFonts w:ascii="Times New Roman;Times;serif" w:hAnsi="Times New Roman;Times;serif"/>
                  <w:caps w:val="false"/>
                  <w:smallCaps w:val="false"/>
                  <w:sz w:val="20"/>
                </w:rPr>
                <w:t>65</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9025" w:type="dxa"/>
            <w:tcBorders/>
            <w:vAlign w:val="center"/>
          </w:tcPr>
          <w:p>
            <w:pPr>
              <w:pStyle w:val="TableContents"/>
              <w:bidi w:val="0"/>
              <w:spacing w:before="0" w:after="0"/>
              <w:ind w:left="0" w:right="0" w:hanging="0"/>
              <w:jc w:val="left"/>
              <w:rPr/>
            </w:pPr>
            <w:hyperlink w:anchor="oi">
              <w:r>
                <w:rPr>
                  <w:rStyle w:val="InternetLink"/>
                  <w:rFonts w:ascii="Times New Roman;Times;serif" w:hAnsi="Times New Roman;Times;serif"/>
                  <w:caps w:val="false"/>
                  <w:smallCaps w:val="false"/>
                  <w:sz w:val="20"/>
                </w:rPr>
                <w:t>Other Information</w:t>
              </w:r>
            </w:hyperlink>
          </w:p>
        </w:tc>
        <w:tc>
          <w:tcPr>
            <w:tcW w:w="455" w:type="dxa"/>
            <w:tcBorders/>
            <w:vAlign w:val="center"/>
          </w:tcPr>
          <w:p>
            <w:pPr>
              <w:pStyle w:val="TableContents"/>
              <w:bidi w:val="0"/>
              <w:spacing w:before="0" w:after="0"/>
              <w:ind w:left="0" w:right="0" w:hanging="0"/>
              <w:jc w:val="right"/>
              <w:rPr/>
            </w:pPr>
            <w:hyperlink w:anchor="oi">
              <w:r>
                <w:rPr>
                  <w:rStyle w:val="InternetLink"/>
                  <w:rFonts w:ascii="Times New Roman;Times;serif" w:hAnsi="Times New Roman;Times;serif"/>
                  <w:caps w:val="false"/>
                  <w:smallCaps w:val="false"/>
                  <w:sz w:val="20"/>
                </w:rPr>
                <w:t>65</w:t>
              </w:r>
            </w:hyperlink>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9025" w:type="dxa"/>
            <w:tcBorders/>
            <w:vAlign w:val="center"/>
          </w:tcPr>
          <w:p>
            <w:pPr>
              <w:pStyle w:val="TableContents"/>
              <w:bidi w:val="0"/>
              <w:spacing w:before="0" w:after="0"/>
              <w:ind w:left="0" w:right="0" w:hanging="0"/>
              <w:jc w:val="left"/>
              <w:rPr/>
            </w:pPr>
            <w:hyperlink w:anchor="exs">
              <w:r>
                <w:rPr>
                  <w:rStyle w:val="InternetLink"/>
                  <w:rFonts w:ascii="Times New Roman;Times;serif" w:hAnsi="Times New Roman;Times;serif"/>
                  <w:caps w:val="false"/>
                  <w:smallCaps w:val="false"/>
                  <w:sz w:val="20"/>
                </w:rPr>
                <w:t>Exhibits</w:t>
              </w:r>
            </w:hyperlink>
          </w:p>
        </w:tc>
        <w:tc>
          <w:tcPr>
            <w:tcW w:w="455" w:type="dxa"/>
            <w:tcBorders/>
            <w:vAlign w:val="center"/>
          </w:tcPr>
          <w:p>
            <w:pPr>
              <w:pStyle w:val="TableContents"/>
              <w:bidi w:val="0"/>
              <w:spacing w:before="0" w:after="0"/>
              <w:ind w:left="0" w:right="0" w:hanging="0"/>
              <w:jc w:val="right"/>
              <w:rPr/>
            </w:pPr>
            <w:hyperlink w:anchor="exs">
              <w:r>
                <w:rPr>
                  <w:rStyle w:val="InternetLink"/>
                  <w:rFonts w:ascii="Times New Roman;Times;serif" w:hAnsi="Times New Roman;Times;serif"/>
                  <w:caps w:val="false"/>
                  <w:smallCaps w:val="false"/>
                  <w:sz w:val="20"/>
                </w:rPr>
                <w:t>66</w:t>
              </w:r>
            </w:hyperlink>
          </w:p>
        </w:tc>
      </w:tr>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rPr>
                <w:t>Signatures</w:t>
              </w:r>
            </w:hyperlink>
          </w:p>
        </w:tc>
        <w:tc>
          <w:tcPr>
            <w:tcW w:w="455"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67</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par value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1"/>
        <w:gridCol w:w="60"/>
        <w:gridCol w:w="127"/>
        <w:gridCol w:w="861"/>
        <w:gridCol w:w="80"/>
        <w:gridCol w:w="60"/>
        <w:gridCol w:w="135"/>
        <w:gridCol w:w="918"/>
        <w:gridCol w:w="83"/>
      </w:tblGrid>
      <w:tr>
        <w:trPr/>
        <w:tc>
          <w:tcPr>
            <w:tcW w:w="78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8"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Fixed maturity securities available for sale, at fair value (amortized cost: $697,505 in 2024; $675,130 in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Equity securities, at fair value (cost: $32,785 in 2024; $43,003 in 2023)</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43,160</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8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Equity method investment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2,617</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Other investments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CCEEFF" w:val="clear"/>
            <w:vAlign w:val="center"/>
          </w:tcPr>
          <w:p>
            <w:pPr>
              <w:pStyle w:val="TableContents"/>
              <w:bidi w:val="0"/>
              <w:spacing w:before="0" w:after="283"/>
              <w:jc w:val="left"/>
              <w:rPr/>
            </w:pPr>
            <w:r>
              <w:rPr/>
              <w:t> </w:t>
            </w:r>
          </w:p>
        </w:tc>
        <w:tc>
          <w:tcPr>
            <w:tcW w:w="127"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61"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704,631</w:t>
            </w:r>
          </w:p>
        </w:tc>
        <w:tc>
          <w:tcPr>
            <w:tcW w:w="8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918"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689,576</w:t>
            </w:r>
          </w:p>
        </w:tc>
        <w:tc>
          <w:tcPr>
            <w:tcW w:w="83"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51,546</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Accrued investment income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5,282</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Premiums receivable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261,972</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Deferred policy acquisition costs, net of ceding commissions and fronting fees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60,990</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Reinsurance recoverable on 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32,172</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Reinsurance recoverable on 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244,622</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Ceded unearned premiums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265,808</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72,941</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Deferred tax assets,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10,119</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Goodwill and intangible assets, net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12,315</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1,884,684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1,708,022</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 and other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42,376</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Reserve for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342,275</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Unearned premiums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597,103</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Ceded premium payable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181,742</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Funds held under reinsurance treaty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13,419</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7,255</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Borrowings from credit agreements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52,600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1,383,026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1,236,770</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$0.0001 par value, 5,000,000 shares authorized, 0 shares issued and outstanding as of March 31, 2024 and December 31, 2023</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24,921,060 and 24,772,987 shares issued and outstanding as of March 31,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3" w:type="dxa"/>
            <w:tcBorders/>
            <w:shd w:fill="CCEEFF" w:val="cle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350,597</w:t>
            </w:r>
          </w:p>
        </w:tc>
        <w:tc>
          <w:tcPr>
            <w:tcW w:w="83" w:type="dxa"/>
            <w:tcBorders/>
            <w:shd w:fill="FFFFFF" w:val="cle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(23,991</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144,643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501,658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471,252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1,884,684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1,708,022</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4" w:name="income"/>
      <w:bookmarkEnd w:id="4"/>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Income and Comprehensive Income (Loss)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per share data)</w:t>
      </w:r>
    </w:p>
    <w:p>
      <w:pPr>
        <w:pStyle w:val="TextBody"/>
        <w:bidi w:val="0"/>
        <w:spacing w:before="0" w:after="0"/>
        <w:ind w:left="0" w:right="0" w:hanging="0"/>
        <w:jc w:val="left"/>
        <w:rPr>
          <w:caps w:val="false"/>
          <w:smallCaps w:val="false"/>
        </w:rPr>
      </w:pPr>
      <w:r>
        <w:rPr>
          <w:caps w:val="false"/>
          <w:smallCaps w:val="false"/>
        </w:rPr>
        <w:t> </w:t>
      </w:r>
    </w:p>
    <w:tbl>
      <w:tblPr>
        <w:tblW w:w="7850" w:type="dxa"/>
        <w:jc w:val="left"/>
        <w:tblInd w:w="0" w:type="dxa"/>
        <w:tblLayout w:type="fixed"/>
        <w:tblCellMar>
          <w:top w:w="0" w:type="dxa"/>
          <w:left w:w="0" w:type="dxa"/>
          <w:bottom w:w="0" w:type="dxa"/>
          <w:right w:w="0" w:type="dxa"/>
        </w:tblCellMar>
      </w:tblPr>
      <w:tblGrid>
        <w:gridCol w:w="5420"/>
        <w:gridCol w:w="60"/>
        <w:gridCol w:w="125"/>
        <w:gridCol w:w="950"/>
        <w:gridCol w:w="80"/>
        <w:gridCol w:w="60"/>
        <w:gridCol w:w="125"/>
        <w:gridCol w:w="950"/>
        <w:gridCol w:w="80"/>
      </w:tblGrid>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250,112</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Ceded written premiums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(228,171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(170,344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written premiums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79,768</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unearned premiums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earned premiums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83,241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5,120</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and unrealized gains on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and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89,202</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and loss adjustment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20,652</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expenses, net of ceding commissions and fronting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25,679</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underwriting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19,222</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66,573</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22,629</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(losses) gains on securities available for sale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23,868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 Data: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0.68</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24,862,367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24,969,703</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25,468,564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25,442,902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5" w:name="she"/>
      <w:bookmarkEnd w:id="5"/>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4"/>
        <w:gridCol w:w="60"/>
        <w:gridCol w:w="61"/>
        <w:gridCol w:w="979"/>
        <w:gridCol w:w="80"/>
        <w:gridCol w:w="60"/>
        <w:gridCol w:w="250"/>
        <w:gridCol w:w="520"/>
        <w:gridCol w:w="60"/>
        <w:gridCol w:w="60"/>
        <w:gridCol w:w="140"/>
        <w:gridCol w:w="780"/>
        <w:gridCol w:w="60"/>
        <w:gridCol w:w="60"/>
        <w:gridCol w:w="207"/>
        <w:gridCol w:w="1088"/>
        <w:gridCol w:w="80"/>
        <w:gridCol w:w="60"/>
        <w:gridCol w:w="125"/>
        <w:gridCol w:w="695"/>
        <w:gridCol w:w="80"/>
        <w:gridCol w:w="60"/>
        <w:gridCol w:w="172"/>
        <w:gridCol w:w="963"/>
        <w:gridCol w:w="81"/>
      </w:tblGrid>
      <w:tr>
        <w:trPr/>
        <w:tc>
          <w:tcPr>
            <w:tcW w:w="3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25,027,467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333,558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87,708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384,754</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5,474</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3,450</w:t>
            </w:r>
          </w:p>
        </w:tc>
        <w:tc>
          <w:tcPr>
            <w:tcW w:w="81" w:type="dxa"/>
            <w:tcBorders/>
            <w:shd w:fill="CCEE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via employee stock purchase plan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via equity incentive plan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1" w:type="dxa"/>
            <w:tcBorders/>
            <w:shd w:fill="CCEE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Repurchases of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(6,826</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17,313</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24,942,196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337,492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(31,041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404,649</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2023</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24,772,987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350,597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144,643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471,252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(2,514</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3,820</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via employee stock purchase plan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w:t>
            </w:r>
          </w:p>
        </w:tc>
        <w:tc>
          <w:tcPr>
            <w:tcW w:w="81" w:type="dxa"/>
            <w:tcBorders/>
            <w:shd w:fill="CCEE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via equity incentive plan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1,857</w:t>
            </w:r>
          </w:p>
        </w:tc>
        <w:tc>
          <w:tcPr>
            <w:tcW w:w="81" w:type="dxa"/>
            <w:tcBorders/>
            <w:shd w:fill="FFFFFF" w:val="cle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Policyholder contribution to surplus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w:t>
            </w:r>
          </w:p>
        </w:tc>
        <w:tc>
          <w:tcPr>
            <w:tcW w:w="81" w:type="dxa"/>
            <w:tcBorders/>
            <w:shd w:fill="CCEEFF"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26,382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2024</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24,921,060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357,135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171,025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501,658</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6" w:name="cfs"/>
      <w:bookmarkEnd w:id="6"/>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670" w:type="dxa"/>
        <w:jc w:val="left"/>
        <w:tblInd w:w="0" w:type="dxa"/>
        <w:tblLayout w:type="fixed"/>
        <w:tblCellMar>
          <w:top w:w="0" w:type="dxa"/>
          <w:left w:w="0" w:type="dxa"/>
          <w:bottom w:w="0" w:type="dxa"/>
          <w:right w:w="0" w:type="dxa"/>
        </w:tblCellMar>
      </w:tblPr>
      <w:tblGrid>
        <w:gridCol w:w="5735"/>
        <w:gridCol w:w="60"/>
        <w:gridCol w:w="125"/>
        <w:gridCol w:w="755"/>
        <w:gridCol w:w="80"/>
        <w:gridCol w:w="60"/>
        <w:gridCol w:w="125"/>
        <w:gridCol w:w="650"/>
        <w:gridCol w:w="80"/>
      </w:tblGrid>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5"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17,437</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software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fixed maturity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(176,989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(54,871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maturities of fixed maturity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21,679</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Sales of equity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securities receivable or payable,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Investments in limited partnerships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(16,331</w:t>
            </w:r>
          </w:p>
        </w:tc>
        <w:tc>
          <w:tcPr>
            <w:tcW w:w="80" w:type="dxa"/>
            <w:tcBorders>
              <w:top w:val="single" w:sz="2" w:space="0" w:color="000000"/>
            </w:tcBorders>
            <w:shd w:fill="FFFFFF" w:val="clear"/>
            <w:tcMar>
              <w:top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650"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(33,900</w:t>
            </w:r>
          </w:p>
        </w:tc>
        <w:tc>
          <w:tcPr>
            <w:tcW w:w="80" w:type="dxa"/>
            <w:tcBorders>
              <w:top w:val="single" w:sz="2" w:space="0" w:color="000000"/>
            </w:tcBorders>
            <w:shd w:fill="FFFFFF" w:val="clear"/>
            <w:tcMar>
              <w:top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(payments on) proceeds from line of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35,000</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common stock issued via employee stock purchase plan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common stock issued via stock option exercises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Policy holder contribution to surplus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Repurchases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12,196</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80,360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Supplementary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cash and cash equivalents and restricted cash and cash equivalents within the condensed consolidated balance sheets (in thousands):</w:t>
      </w:r>
    </w:p>
    <w:p>
      <w:pPr>
        <w:pStyle w:val="TextBody"/>
        <w:bidi w:val="0"/>
        <w:spacing w:before="0" w:after="0"/>
        <w:ind w:left="0" w:right="0" w:hanging="0"/>
        <w:jc w:val="left"/>
        <w:rPr>
          <w:caps w:val="false"/>
          <w:smallCaps w:val="false"/>
        </w:rPr>
      </w:pPr>
      <w:r>
        <w:rPr>
          <w:caps w:val="false"/>
          <w:smallCaps w:val="false"/>
        </w:rPr>
        <w:t> </w:t>
      </w:r>
    </w:p>
    <w:tbl>
      <w:tblPr>
        <w:tblW w:w="6073" w:type="dxa"/>
        <w:jc w:val="left"/>
        <w:tblInd w:w="0" w:type="dxa"/>
        <w:tblLayout w:type="fixed"/>
        <w:tblCellMar>
          <w:top w:w="0" w:type="dxa"/>
          <w:left w:w="0" w:type="dxa"/>
          <w:bottom w:w="0" w:type="dxa"/>
          <w:right w:w="0" w:type="dxa"/>
        </w:tblCellMar>
      </w:tblPr>
      <w:tblGrid>
        <w:gridCol w:w="3710"/>
        <w:gridCol w:w="60"/>
        <w:gridCol w:w="170"/>
        <w:gridCol w:w="809"/>
        <w:gridCol w:w="60"/>
        <w:gridCol w:w="60"/>
        <w:gridCol w:w="199"/>
        <w:gridCol w:w="945"/>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51,546</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7" w:name="notes"/>
      <w:bookmarkEnd w:id="7"/>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w:t>
      </w:r>
      <w:r>
        <w:rPr>
          <w:rFonts w:ascii="Times New Roman" w:hAnsi="Times New Roman"/>
          <w:caps w:val="false"/>
          <w:smallCaps w:val="false"/>
          <w:sz w:val="20"/>
        </w:rPr>
        <w:t> </w:t>
      </w:r>
      <w:r>
        <w:rPr>
          <w:rFonts w:ascii="Times New Roman" w:hAnsi="Times New Roman"/>
          <w:b/>
          <w:caps w:val="false"/>
          <w:smallCaps w:val="false"/>
          <w:sz w:val="20"/>
        </w:rPr>
        <w:t>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Summary of Operations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Palomar Holdings, Inc. (the “Company”) is a Delaware incorporated insurance holding company that was founded in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 California domiciled property and casualty insurance agency, Palomar Insurance Agency, DBA Palomar General Insurance Agency (“PGIA”), and a Delaware incorporated management company, Palomar Underwriters Exchange Organization, Inc. ("PUEO"), that provides services to Laulima Exchange (“Laulima”), a Hawaii domiciled reciprocal exchange, as its attorney-in-fact.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accompanying condensed consolidated financial statements have been prepared in accordance with U.S. generally accepted accounting principles (“GAAP”) for interim financial information and include the accounts of the Company and its wholly</w:t>
        <w:noBreakHyphen/>
        <w:t xml:space="preserve">owned subsidiaries. The condensed consolidated financial statements also include the accounts of Laulima, as Laulima is a variable interest entity ("VIE") for which the Company is the primary beneficiary.  Within footnote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certain prior year amounts have been reclassified to conform to the current year 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These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all information and footnotes required by U.S.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filed with the SEC on </w:t>
      </w:r>
      <w:r>
        <w:rPr>
          <w:rStyle w:val="Emphasis"/>
          <w:rFonts w:ascii="Times New Roman" w:hAnsi="Times New Roman"/>
          <w:caps w:val="false"/>
          <w:smallCaps w:val="false"/>
          <w:sz w:val="20"/>
        </w:rPr>
        <w:t>February 23,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of operations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reserves for losses and loss adjustment expenses, reinsurance recoverables on unpaid losses, and the fair values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adopted any new accounting guidance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i/>
          <w:caps w:val="false"/>
          <w:smallCaps w:val="false"/>
          <w:sz w:val="20"/>
        </w:rPr>
        <w:t xml:space="preserve">Recently issued accounting pronouncements </w:t>
      </w: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w:t>
      </w:r>
      <w:r>
        <w:rPr>
          <w:rFonts w:ascii="Times New Roman" w:hAnsi="Times New Roman"/>
          <w:i/>
          <w:caps w:val="false"/>
          <w:smallCaps w:val="false"/>
          <w:sz w:val="20"/>
        </w:rPr>
        <w:t>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Improvements to Reportable Segment Disclosures</w:t>
      </w:r>
      <w:r>
        <w:rPr>
          <w:rFonts w:ascii="Times New Roman" w:hAnsi="Times New Roman"/>
          <w:caps w:val="false"/>
          <w:smallCaps w:val="false"/>
          <w:sz w:val="20"/>
        </w:rPr>
        <w:t>,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report </w:t>
      </w:r>
      <w:r>
        <w:rPr>
          <w:rStyle w:val="Emphasis"/>
          <w:rFonts w:ascii="Times New Roman" w:hAnsi="Times New Roman"/>
          <w:caps w:val="false"/>
          <w:smallCaps w:val="false"/>
          <w:sz w:val="20"/>
        </w:rPr>
        <w:t>one</w:t>
      </w:r>
      <w:r>
        <w:rPr>
          <w:rFonts w:ascii="Times New Roman" w:hAnsi="Times New Roman"/>
          <w:caps w:val="false"/>
          <w:smallCaps w:val="false"/>
          <w:sz w:val="20"/>
        </w:rPr>
        <w:t> or more additional measures to assess segment performance, requiring enhanced interim disclosures, providing new disclosure requirements for entities with a single reportable segment, and requiring other new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is effective for fiscal years beginning after </w:t>
      </w:r>
      <w:r>
        <w:rPr>
          <w:rStyle w:val="Emphasis"/>
          <w:rFonts w:ascii="Times New Roman" w:hAnsi="Times New Roman"/>
          <w:caps w:val="false"/>
          <w:smallCaps w:val="false"/>
          <w:sz w:val="20"/>
        </w:rPr>
        <w:t xml:space="preserve"> December 15,</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 and interim periods within fiscal years beginning after </w:t>
      </w:r>
      <w:r>
        <w:rPr>
          <w:rStyle w:val="Emphasis"/>
          <w:rFonts w:ascii="Times New Roman" w:hAnsi="Times New Roman"/>
          <w:caps w:val="false"/>
          <w:smallCaps w:val="false"/>
          <w:sz w:val="20"/>
        </w:rPr>
        <w:t xml:space="preserve"> December 15,</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Early adoption is permitted. The Company is currently evaluating the impact the adoption of this standard will have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w:t>
      </w:r>
      <w:r>
        <w:rPr>
          <w:rFonts w:ascii="Times New Roman" w:hAnsi="Times New Roman"/>
          <w:i/>
          <w:caps w:val="false"/>
          <w:smallCaps w:val="false"/>
          <w:sz w:val="20"/>
        </w:rPr>
        <w:t>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requires public business entities to disclose additional information with respect to the reconciliation of the effective tax rate to the statutory rate. Additionally, public business entities will need to disaggregate federal, state and foreign taxes paid in their financial statements.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is effective for public business entities for fiscal years, and interim periods within those fiscal years, beginning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The Company is currently evaluating the impact the adoption of this standard will have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available</w:t>
        <w:noBreakHyphen/>
        <w:t>for</w:t>
        <w:noBreakHyphen/>
        <w:t>sale investments are summarized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2"/>
        <w:gridCol w:w="60"/>
        <w:gridCol w:w="156"/>
        <w:gridCol w:w="875"/>
        <w:gridCol w:w="60"/>
        <w:gridCol w:w="60"/>
        <w:gridCol w:w="188"/>
        <w:gridCol w:w="732"/>
        <w:gridCol w:w="60"/>
        <w:gridCol w:w="60"/>
        <w:gridCol w:w="148"/>
        <w:gridCol w:w="772"/>
        <w:gridCol w:w="80"/>
        <w:gridCol w:w="60"/>
        <w:gridCol w:w="267"/>
        <w:gridCol w:w="851"/>
        <w:gridCol w:w="80"/>
        <w:gridCol w:w="60"/>
        <w:gridCol w:w="125"/>
        <w:gridCol w:w="695"/>
        <w:gridCol w:w="64"/>
      </w:tblGrid>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Allowance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 or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Credit 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29"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38,342</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9,884</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29,105</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319,755</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277,041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265,906</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697,505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662,992</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2"/>
        <w:gridCol w:w="60"/>
        <w:gridCol w:w="156"/>
        <w:gridCol w:w="875"/>
        <w:gridCol w:w="60"/>
        <w:gridCol w:w="60"/>
        <w:gridCol w:w="188"/>
        <w:gridCol w:w="732"/>
        <w:gridCol w:w="60"/>
        <w:gridCol w:w="60"/>
        <w:gridCol w:w="148"/>
        <w:gridCol w:w="772"/>
        <w:gridCol w:w="80"/>
        <w:gridCol w:w="60"/>
        <w:gridCol w:w="267"/>
        <w:gridCol w:w="851"/>
        <w:gridCol w:w="80"/>
        <w:gridCol w:w="60"/>
        <w:gridCol w:w="125"/>
        <w:gridCol w:w="695"/>
        <w:gridCol w:w="64"/>
      </w:tblGrid>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Allowance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 or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Credit 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29"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39,420</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9,902</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29,511</w:t>
            </w:r>
          </w:p>
        </w:tc>
        <w:tc>
          <w:tcPr>
            <w:tcW w:w="64"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300,239</w:t>
            </w:r>
          </w:p>
        </w:tc>
        <w:tc>
          <w:tcPr>
            <w:tcW w:w="64"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274,550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675,130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Security holdings in an unrealized loss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Company held 528 fixed maturity securities in an unrealized loss position with a total estimated fair value of $478.7 million and total gross unrealized losses of $36.6 million.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held 483 fixed maturity securities in an unrealized loss position with a total estimated fair value of $451.0 million and total gross unrealized losses of $34.3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aggregate fair value and gross unrealized losses of the Company’s investments aggregated by investment category and the length of time these individual securities have been in a continuous unrealized loss position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60"/>
        <w:gridCol w:w="60"/>
        <w:gridCol w:w="134"/>
        <w:gridCol w:w="753"/>
        <w:gridCol w:w="64"/>
        <w:gridCol w:w="64"/>
        <w:gridCol w:w="171"/>
        <w:gridCol w:w="749"/>
        <w:gridCol w:w="80"/>
        <w:gridCol w:w="60"/>
        <w:gridCol w:w="134"/>
        <w:gridCol w:w="745"/>
        <w:gridCol w:w="63"/>
        <w:gridCol w:w="63"/>
        <w:gridCol w:w="148"/>
        <w:gridCol w:w="772"/>
        <w:gridCol w:w="80"/>
        <w:gridCol w:w="60"/>
        <w:gridCol w:w="125"/>
        <w:gridCol w:w="695"/>
        <w:gridCol w:w="60"/>
        <w:gridCol w:w="60"/>
        <w:gridCol w:w="148"/>
        <w:gridCol w:w="772"/>
        <w:gridCol w:w="85"/>
      </w:tblGrid>
      <w:tr>
        <w:trPr/>
        <w:tc>
          <w:tcPr>
            <w:tcW w:w="4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Less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More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5" w:type="dxa"/>
            <w:tcBorders/>
            <w:shd w:fill="FFFFFF" w:val="clear"/>
            <w:vAlign w:val="center"/>
          </w:tcPr>
          <w:p>
            <w:pPr>
              <w:pStyle w:val="TableContents"/>
              <w:bidi w:val="0"/>
              <w:spacing w:before="0" w:after="283"/>
              <w:jc w:val="left"/>
              <w:rPr/>
            </w:pPr>
            <w:r>
              <w:rPr/>
              <w:t> </w:t>
            </w:r>
          </w:p>
        </w:tc>
      </w:tr>
      <w:tr>
        <w:trPr/>
        <w:tc>
          <w:tcPr>
            <w:tcW w:w="40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00"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5" w:type="dxa"/>
            <w:tcBorders/>
            <w:shd w:fill="FFFFFF" w:val="clear"/>
            <w:vAlign w:val="center"/>
          </w:tcPr>
          <w:p>
            <w:pPr>
              <w:pStyle w:val="TableContents"/>
              <w:bidi w:val="0"/>
              <w:spacing w:before="0" w:after="283"/>
              <w:jc w:val="left"/>
              <w:rPr/>
            </w:pPr>
            <w:r>
              <w:rPr/>
              <w:t> </w:t>
            </w:r>
          </w:p>
        </w:tc>
      </w:tr>
      <w:tr>
        <w:trPr/>
        <w:tc>
          <w:tcPr>
            <w:tcW w:w="40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40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17,385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20,957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(1,387</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26,380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(3,415</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41,802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212,756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(17,878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(18,280</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44,727</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107,914</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152,641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(12,705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104,426</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374,224</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478,650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(36,606</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42"/>
        <w:gridCol w:w="60"/>
        <w:gridCol w:w="155"/>
        <w:gridCol w:w="732"/>
        <w:gridCol w:w="74"/>
        <w:gridCol w:w="74"/>
        <w:gridCol w:w="221"/>
        <w:gridCol w:w="699"/>
        <w:gridCol w:w="80"/>
        <w:gridCol w:w="60"/>
        <w:gridCol w:w="134"/>
        <w:gridCol w:w="744"/>
        <w:gridCol w:w="63"/>
        <w:gridCol w:w="63"/>
        <w:gridCol w:w="148"/>
        <w:gridCol w:w="772"/>
        <w:gridCol w:w="80"/>
        <w:gridCol w:w="60"/>
        <w:gridCol w:w="125"/>
        <w:gridCol w:w="695"/>
        <w:gridCol w:w="60"/>
        <w:gridCol w:w="60"/>
        <w:gridCol w:w="148"/>
        <w:gridCol w:w="772"/>
        <w:gridCol w:w="84"/>
      </w:tblGrid>
      <w:tr>
        <w:trPr/>
        <w:tc>
          <w:tcPr>
            <w:tcW w:w="40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Less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More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4" w:type="dxa"/>
            <w:tcBorders/>
            <w:shd w:fill="FFFFFF" w:val="clear"/>
            <w:vAlign w:val="center"/>
          </w:tcPr>
          <w:p>
            <w:pPr>
              <w:pStyle w:val="TableContents"/>
              <w:bidi w:val="0"/>
              <w:spacing w:before="0" w:after="283"/>
              <w:jc w:val="left"/>
              <w:rPr/>
            </w:pPr>
            <w:r>
              <w:rPr/>
              <w:t> </w:t>
            </w:r>
          </w:p>
        </w:tc>
      </w:tr>
      <w:tr>
        <w:trPr/>
        <w:tc>
          <w:tcPr>
            <w:tcW w:w="40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19"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4" w:type="dxa"/>
            <w:tcBorders/>
            <w:shd w:fill="FFFFFF" w:val="clear"/>
            <w:vAlign w:val="center"/>
          </w:tcPr>
          <w:p>
            <w:pPr>
              <w:pStyle w:val="TableContents"/>
              <w:bidi w:val="0"/>
              <w:spacing w:before="0" w:after="283"/>
              <w:jc w:val="left"/>
              <w:rPr/>
            </w:pPr>
            <w:r>
              <w:rPr/>
              <w:t> </w:t>
            </w:r>
          </w:p>
        </w:tc>
      </w:tr>
      <w:tr>
        <w:trPr/>
        <w:tc>
          <w:tcPr>
            <w:tcW w:w="40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04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38,063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(1,416</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2"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26,736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(3,149</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28,872</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204,034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(17,197</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29,334</w:t>
            </w:r>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117,016</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146,350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(11,702</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58,944</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392,045</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(33,577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450,989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(34,303</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reviews all securities with unrealized losses on a quarterly basis to assess whether the decline in the securities fair value necessitates the recognition of an allowance for credit losses. The Company considers numerous factors in its review as described in Footnote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Notes to the Consolidated Financial Statements in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recorded an immaterial allowance for credit losses for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investment securities. Based on the Company’s review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for the remainder of securities, the Company determined that the fixed maturity securities’ unrealized losses were primarily the result of the interest rate environment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credit quality of the issuers.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the investments 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required to sell the investments before the recovery of their amortized cost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Contractual maturities of available</w:t>
      </w:r>
      <w:r>
        <w:rPr>
          <w:rFonts w:ascii="Times New Roman" w:hAnsi="Times New Roman"/>
          <w:caps w:val="false"/>
          <w:smallCaps w:val="false"/>
          <w:sz w:val="20"/>
        </w:rPr>
        <w:noBreakHyphen/>
      </w:r>
      <w:r>
        <w:rPr>
          <w:rFonts w:ascii="Times New Roman" w:hAnsi="Times New Roman"/>
          <w:i/>
          <w:caps w:val="false"/>
          <w:smallCaps w:val="false"/>
          <w:sz w:val="20"/>
        </w:rPr>
        <w:t>for</w:t>
      </w:r>
      <w:r>
        <w:rPr>
          <w:rFonts w:ascii="Times New Roman" w:hAnsi="Times New Roman"/>
          <w:caps w:val="false"/>
          <w:smallCaps w:val="false"/>
          <w:sz w:val="20"/>
        </w:rPr>
        <w:noBreakHyphen/>
      </w:r>
      <w:r>
        <w:rPr>
          <w:rFonts w:ascii="Times New Roman" w:hAnsi="Times New Roman"/>
          <w:i/>
          <w:caps w:val="false"/>
          <w:smallCaps w:val="false"/>
          <w:sz w:val="20"/>
        </w:rPr>
        <w:t>sale fixed maturity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amortized cost and fair value of fixed maturity securities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by contractual maturity, are shown below.</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3050"/>
        <w:gridCol w:w="60"/>
        <w:gridCol w:w="133"/>
        <w:gridCol w:w="742"/>
        <w:gridCol w:w="60"/>
        <w:gridCol w:w="60"/>
        <w:gridCol w:w="125"/>
        <w:gridCol w:w="695"/>
        <w:gridCol w:w="60"/>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64,574</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168,722</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123,931</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39,859</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Mortgage and asset-backed securities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277,041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265,906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697,505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662,992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Expected maturities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contractual maturities because borrowers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the right to call or prepay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investment income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investment income is summarized as follows:</w:t>
      </w:r>
    </w:p>
    <w:p>
      <w:pPr>
        <w:pStyle w:val="TextBody"/>
        <w:bidi w:val="0"/>
        <w:spacing w:before="0" w:after="0"/>
        <w:ind w:left="0" w:right="0" w:hanging="0"/>
        <w:jc w:val="left"/>
        <w:rPr>
          <w:caps w:val="false"/>
          <w:smallCaps w:val="false"/>
        </w:rPr>
      </w:pPr>
      <w:r>
        <w:rPr>
          <w:caps w:val="false"/>
          <w:smallCaps w:val="false"/>
        </w:rPr>
        <w:t> </w:t>
      </w:r>
    </w:p>
    <w:tbl>
      <w:tblPr>
        <w:tblW w:w="3791" w:type="dxa"/>
        <w:jc w:val="left"/>
        <w:tblInd w:w="0" w:type="dxa"/>
        <w:tblLayout w:type="fixed"/>
        <w:tblCellMar>
          <w:top w:w="0" w:type="dxa"/>
          <w:left w:w="0" w:type="dxa"/>
          <w:bottom w:w="0" w:type="dxa"/>
          <w:right w:w="0" w:type="dxa"/>
        </w:tblCellMar>
      </w:tblPr>
      <w:tblGrid>
        <w:gridCol w:w="1895"/>
        <w:gridCol w:w="60"/>
        <w:gridCol w:w="161"/>
        <w:gridCol w:w="627"/>
        <w:gridCol w:w="103"/>
        <w:gridCol w:w="77"/>
        <w:gridCol w:w="161"/>
        <w:gridCol w:w="627"/>
        <w:gridCol w:w="8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7,326</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5,060</w:t>
            </w:r>
          </w:p>
        </w:tc>
        <w:tc>
          <w:tcPr>
            <w:tcW w:w="8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expense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7,139</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realized and unrealized investment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net realized and unrealized investment gains and losses:</w:t>
      </w:r>
    </w:p>
    <w:p>
      <w:pPr>
        <w:pStyle w:val="TextBody"/>
        <w:bidi w:val="0"/>
        <w:spacing w:before="0" w:after="0"/>
        <w:ind w:left="0" w:right="0" w:firstLine="720"/>
        <w:jc w:val="left"/>
        <w:rPr>
          <w:caps w:val="false"/>
          <w:smallCaps w:val="false"/>
        </w:rPr>
      </w:pPr>
      <w:r>
        <w:rPr>
          <w:caps w:val="false"/>
          <w:smallCaps w:val="false"/>
        </w:rPr>
        <w:t> </w:t>
      </w:r>
    </w:p>
    <w:tbl>
      <w:tblPr>
        <w:tblW w:w="6657" w:type="dxa"/>
        <w:jc w:val="left"/>
        <w:tblInd w:w="0" w:type="dxa"/>
        <w:tblLayout w:type="fixed"/>
        <w:tblCellMar>
          <w:top w:w="0" w:type="dxa"/>
          <w:left w:w="0" w:type="dxa"/>
          <w:bottom w:w="0" w:type="dxa"/>
          <w:right w:w="0" w:type="dxa"/>
        </w:tblCellMar>
      </w:tblPr>
      <w:tblGrid>
        <w:gridCol w:w="4760"/>
        <w:gridCol w:w="60"/>
        <w:gridCol w:w="165"/>
        <w:gridCol w:w="721"/>
        <w:gridCol w:w="105"/>
        <w:gridCol w:w="79"/>
        <w:gridCol w:w="165"/>
        <w:gridCol w:w="522"/>
        <w:gridCol w:w="80"/>
      </w:tblGrid>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gains: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Gains on sales of fixed maturity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FFFFFF" w:val="clear"/>
            <w:vAlign w:val="center"/>
          </w:tcPr>
          <w:p>
            <w:pPr>
              <w:pStyle w:val="TableContents"/>
              <w:bidi w:val="0"/>
              <w:spacing w:before="0" w:after="283"/>
              <w:ind w:left="0" w:right="0" w:hanging="0"/>
              <w:jc w:val="right"/>
              <w:rPr/>
            </w:pPr>
            <w:r>
              <w:rPr/>
              <w:t>—</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realized gains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losses: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on sales of fixed maturity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on sales of equity securities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realized losses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investment (losses) gains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w:t>
            </w:r>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 for credit losses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gains (losses) on equity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4,229</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8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(losses) gains on equity method investment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and unrealized gains on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3,002</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Realized gains and losses on disposition of investments are based on specific identification of the investments sold on the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Proceeds from the sale of fixed maturity securities were $2.2 and $5.1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places securities on statutory deposit with certain state agencies to retain the right to do business in those states. These securities are included in available</w:t>
        <w:noBreakHyphen/>
        <w:t>for</w:t>
        <w:noBreakHyphen/>
        <w:t xml:space="preserve">sale investments on the balance sheet.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carrying value of securities on deposit with state regulatory authorities was $7.4 million and $8.6 million,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has investments in limited partnerships, recorded in the Other Investments line of the Unaudited Condensed Consolidated Balance Sheets. These investments are measured at estimated fair value utilizing a net asset value per share (or its equivalent) as a practical expedient. As of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the Company had unfunded commitments to invest an additional $22.9 million in these limited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Fair value is defined as the price that the Company would receive upon selling an investment in an orderly transaction to an independent buyer in the principal or most advantageous market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three</w:t>
        <w:noBreakHyphen/>
        <w:t xml:space="preserve">tier hierarchy of inputs is summarized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broad levels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Level </w:t>
      </w:r>
      <w:r>
        <w:rPr>
          <w:rStyle w:val="Emphasis"/>
          <w:rFonts w:ascii="Times New Roman" w:hAnsi="Times New Roman"/>
          <w:caps w:val="false"/>
          <w:smallCaps w:val="false"/>
          <w:sz w:val="20"/>
        </w:rPr>
        <w:t>1—Unadjusted</w:t>
      </w:r>
      <w:r>
        <w:rPr>
          <w:rFonts w:ascii="Times New Roman" w:hAnsi="Times New Roman"/>
          <w:caps w:val="false"/>
          <w:smallCaps w:val="false"/>
          <w:sz w:val="20"/>
        </w:rPr>
        <w:t xml:space="preserve"> quoted prices are available in active markets for identical investments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Level </w:t>
      </w:r>
      <w:r>
        <w:rPr>
          <w:rStyle w:val="Emphasis"/>
          <w:rFonts w:ascii="Times New Roman" w:hAnsi="Times New Roman"/>
          <w:caps w:val="false"/>
          <w:smallCaps w:val="false"/>
          <w:sz w:val="20"/>
        </w:rPr>
        <w:t>2—Pricing</w:t>
      </w:r>
      <w:r>
        <w:rPr>
          <w:rFonts w:ascii="Times New Roman" w:hAnsi="Times New Roman"/>
          <w:caps w:val="false"/>
          <w:smallCaps w:val="false"/>
          <w:sz w:val="20"/>
        </w:rPr>
        <w:t xml:space="preserve"> inputs are quoted prices for similar investments in active markets; quoted prices for identical or similar investments in inactive markets; or valuations based on models where the significant inputs are observable or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Level </w:t>
      </w:r>
      <w:r>
        <w:rPr>
          <w:rStyle w:val="Emphasis"/>
          <w:rFonts w:ascii="Times New Roman" w:hAnsi="Times New Roman"/>
          <w:caps w:val="false"/>
          <w:smallCaps w:val="false"/>
          <w:sz w:val="20"/>
        </w:rPr>
        <w:t>3—Pricing</w:t>
      </w:r>
      <w:r>
        <w:rPr>
          <w:rFonts w:ascii="Times New Roman" w:hAnsi="Times New Roman"/>
          <w:caps w:val="false"/>
          <w:smallCaps w:val="false"/>
          <w:sz w:val="20"/>
        </w:rPr>
        <w:t xml:space="preserve"> inputs into models are unobservable for the investment. The unobservable inputs require significant management judgment or estimation.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To measure fair value, the Company obtains quoted market prices for its investment securities from its outside investment managers. If a quoted market price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the Company uses prices of similar securities. The fair values obtained from the outside investment managers are reviewed for reasonableness and any discrepancies are investigated for final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the hierarchy for financial assets and liabilities measured at fair value on a recurring basis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349" w:type="dxa"/>
        <w:jc w:val="left"/>
        <w:tblInd w:w="0" w:type="dxa"/>
        <w:tblLayout w:type="fixed"/>
        <w:tblCellMar>
          <w:top w:w="0" w:type="dxa"/>
          <w:left w:w="0" w:type="dxa"/>
          <w:bottom w:w="28" w:type="dxa"/>
          <w:right w:w="0" w:type="dxa"/>
        </w:tblCellMar>
      </w:tblPr>
      <w:tblGrid>
        <w:gridCol w:w="4895"/>
        <w:gridCol w:w="60"/>
        <w:gridCol w:w="125"/>
        <w:gridCol w:w="590"/>
        <w:gridCol w:w="60"/>
        <w:gridCol w:w="60"/>
        <w:gridCol w:w="125"/>
        <w:gridCol w:w="695"/>
        <w:gridCol w:w="60"/>
        <w:gridCol w:w="60"/>
        <w:gridCol w:w="200"/>
        <w:gridCol w:w="419"/>
        <w:gridCol w:w="60"/>
        <w:gridCol w:w="60"/>
        <w:gridCol w:w="125"/>
        <w:gridCol w:w="695"/>
        <w:gridCol w:w="60"/>
      </w:tblGrid>
      <w:tr>
        <w:trPr/>
        <w:tc>
          <w:tcPr>
            <w:tcW w:w="48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334" w:type="dxa"/>
            <w:gridSpan w:val="14"/>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4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38,342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29,105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319,755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319,755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265,906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265,906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37,171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61,764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61,764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98,935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662,992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761,927</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49" w:type="dxa"/>
        <w:jc w:val="left"/>
        <w:tblInd w:w="0" w:type="dxa"/>
        <w:tblLayout w:type="fixed"/>
        <w:tblCellMar>
          <w:top w:w="0" w:type="dxa"/>
          <w:left w:w="0" w:type="dxa"/>
          <w:bottom w:w="28" w:type="dxa"/>
          <w:right w:w="0" w:type="dxa"/>
        </w:tblCellMar>
      </w:tblPr>
      <w:tblGrid>
        <w:gridCol w:w="4895"/>
        <w:gridCol w:w="60"/>
        <w:gridCol w:w="125"/>
        <w:gridCol w:w="590"/>
        <w:gridCol w:w="60"/>
        <w:gridCol w:w="60"/>
        <w:gridCol w:w="125"/>
        <w:gridCol w:w="695"/>
        <w:gridCol w:w="60"/>
        <w:gridCol w:w="60"/>
        <w:gridCol w:w="200"/>
        <w:gridCol w:w="419"/>
        <w:gridCol w:w="60"/>
        <w:gridCol w:w="60"/>
        <w:gridCol w:w="125"/>
        <w:gridCol w:w="695"/>
        <w:gridCol w:w="60"/>
      </w:tblGrid>
      <w:tr>
        <w:trPr/>
        <w:tc>
          <w:tcPr>
            <w:tcW w:w="48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334" w:type="dxa"/>
            <w:gridSpan w:val="14"/>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4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39,420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300,239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43,160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51,852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51,852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95,012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738,811</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w:t>
        <w:noBreakHyphen/>
        <w:t>maturity. The carrying amount of the Company’s borrowings under the Federal Home Loan Bank (“FHLB”) line of credit and U.S. Bank credit agreement (the “Credit Agreement”) approximate fair value as the Company is currently borrowing at a variable rate which frequently reprices at market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Transfers between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securities result from changes in the availability of observable market inputs and are recorded at the beginning of the reporting period.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had no fixed income securities classified as Level </w:t>
      </w:r>
      <w:r>
        <w:rPr>
          <w:rStyle w:val="Emphasis"/>
          <w:rFonts w:ascii="Times New Roman" w:hAnsi="Times New Roman"/>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Reserve for Losses and Loss Adjustment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represents a reconciliation of changes in the ending reserve balances for losses and loss adjustment expenses (“LAE”):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6"/>
        <w:gridCol w:w="60"/>
        <w:gridCol w:w="180"/>
        <w:gridCol w:w="1007"/>
        <w:gridCol w:w="86"/>
        <w:gridCol w:w="86"/>
        <w:gridCol w:w="180"/>
        <w:gridCol w:w="1007"/>
        <w:gridCol w:w="63"/>
      </w:tblGrid>
      <w:tr>
        <w:trPr/>
        <w:tc>
          <w:tcPr>
            <w:tcW w:w="75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3" w:type="dxa"/>
            <w:tcBorders/>
            <w:shd w:fill="FFFFFF" w:val="clear"/>
            <w:vAlign w:val="center"/>
          </w:tcPr>
          <w:p>
            <w:pPr>
              <w:pStyle w:val="TableContents"/>
              <w:bidi w:val="0"/>
              <w:spacing w:before="0" w:after="283"/>
              <w:jc w:val="left"/>
              <w:rPr/>
            </w:pPr>
            <w:r>
              <w:rPr/>
              <w:t> </w:t>
            </w:r>
          </w:p>
        </w:tc>
      </w:tr>
      <w:tr>
        <w:trPr/>
        <w:tc>
          <w:tcPr>
            <w:tcW w:w="75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losses and LAE net of reinsurance recoverables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97,653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77,520</w:t>
            </w:r>
          </w:p>
        </w:tc>
        <w:tc>
          <w:tcPr>
            <w:tcW w:w="63" w:type="dxa"/>
            <w:tcBorders/>
            <w:shd w:fill="CCEEFF" w:val="clear"/>
            <w:vAlign w:val="center"/>
          </w:tcPr>
          <w:p>
            <w:pPr>
              <w:pStyle w:val="TableContents"/>
              <w:bidi w:val="0"/>
              <w:spacing w:before="0" w:after="283"/>
              <w:jc w:val="left"/>
              <w:rPr/>
            </w:pPr>
            <w:r>
              <w:rPr/>
              <w:t> </w:t>
            </w:r>
          </w:p>
        </w:tc>
      </w:tr>
      <w:tr>
        <w:trPr/>
        <w:tc>
          <w:tcPr>
            <w:tcW w:w="7536"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Incurred losses and LAE, net of reinsurance, related to:</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75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year</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17,300</w:t>
            </w:r>
          </w:p>
        </w:tc>
        <w:tc>
          <w:tcPr>
            <w:tcW w:w="63" w:type="dxa"/>
            <w:tcBorders/>
            <w:shd w:fill="CCEEFF" w:val="clear"/>
            <w:vAlign w:val="center"/>
          </w:tcPr>
          <w:p>
            <w:pPr>
              <w:pStyle w:val="TableContents"/>
              <w:bidi w:val="0"/>
              <w:spacing w:before="0" w:after="283"/>
              <w:jc w:val="left"/>
              <w:rPr/>
            </w:pPr>
            <w:r>
              <w:rPr/>
              <w:t> </w:t>
            </w:r>
          </w:p>
        </w:tc>
      </w:tr>
      <w:tr>
        <w:trPr/>
        <w:tc>
          <w:tcPr>
            <w:tcW w:w="75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years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3,352</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36"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incurred</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20,652</w:t>
            </w:r>
          </w:p>
        </w:tc>
        <w:tc>
          <w:tcPr>
            <w:tcW w:w="63" w:type="dxa"/>
            <w:tcBorders/>
            <w:shd w:fill="CCEEFF" w:val="clear"/>
            <w:vAlign w:val="center"/>
          </w:tcPr>
          <w:p>
            <w:pPr>
              <w:pStyle w:val="TableContents"/>
              <w:bidi w:val="0"/>
              <w:spacing w:before="0" w:after="283"/>
              <w:jc w:val="left"/>
              <w:rPr/>
            </w:pPr>
            <w:r>
              <w:rPr/>
              <w:t> </w:t>
            </w:r>
          </w:p>
        </w:tc>
      </w:tr>
      <w:tr>
        <w:trPr/>
        <w:tc>
          <w:tcPr>
            <w:tcW w:w="7536"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Deduct: Loss and LAE payments, net of reinsurance, related to:</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75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year</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w:t>
            </w:r>
          </w:p>
        </w:tc>
        <w:tc>
          <w:tcPr>
            <w:tcW w:w="63" w:type="dxa"/>
            <w:tcBorders/>
            <w:shd w:fill="CCEEFF" w:val="clear"/>
            <w:vAlign w:val="center"/>
          </w:tcPr>
          <w:p>
            <w:pPr>
              <w:pStyle w:val="TableContents"/>
              <w:bidi w:val="0"/>
              <w:spacing w:before="0" w:after="283"/>
              <w:jc w:val="left"/>
              <w:rPr/>
            </w:pPr>
            <w:r>
              <w:rPr/>
              <w:t> </w:t>
            </w:r>
          </w:p>
        </w:tc>
      </w:tr>
      <w:tr>
        <w:trPr/>
        <w:tc>
          <w:tcPr>
            <w:tcW w:w="75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years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9,432</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15,413</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536"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payments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16,806</w:t>
            </w:r>
          </w:p>
        </w:tc>
        <w:tc>
          <w:tcPr>
            <w:tcW w:w="63" w:type="dxa"/>
            <w:tcBorders/>
            <w:shd w:fill="CCEEFF" w:val="clear"/>
            <w:vAlign w:val="center"/>
          </w:tcPr>
          <w:p>
            <w:pPr>
              <w:pStyle w:val="TableContents"/>
              <w:bidi w:val="0"/>
              <w:spacing w:before="0" w:after="283"/>
              <w:jc w:val="left"/>
              <w:rPr/>
            </w:pPr>
            <w:r>
              <w:rPr/>
              <w:t> </w:t>
            </w:r>
          </w:p>
        </w:tc>
      </w:tr>
      <w:tr>
        <w:trPr/>
        <w:tc>
          <w:tcPr>
            <w:tcW w:w="75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losses and LAE net of reinsurance recoverables at end of period</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110,163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81,366</w:t>
            </w:r>
          </w:p>
        </w:tc>
        <w:tc>
          <w:tcPr>
            <w:tcW w:w="63" w:type="dxa"/>
            <w:tcBorders/>
            <w:shd w:fill="FFFFFF" w:val="clear"/>
            <w:vAlign w:val="center"/>
          </w:tcPr>
          <w:p>
            <w:pPr>
              <w:pStyle w:val="TableContents"/>
              <w:bidi w:val="0"/>
              <w:spacing w:before="0" w:after="283"/>
              <w:jc w:val="left"/>
              <w:rPr/>
            </w:pPr>
            <w:r>
              <w:rPr/>
              <w:t> </w:t>
            </w:r>
          </w:p>
        </w:tc>
      </w:tr>
      <w:tr>
        <w:trPr/>
        <w:tc>
          <w:tcPr>
            <w:tcW w:w="75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Reinsurance recoverables on unpaid losses and LAE at end of period</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292,024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183,601</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5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losses and LAE gross of reinsurance recoverables on unpaid losses and LAE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402,187</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264,967</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Considerable variability is inherent in the estimate of the reserve for losses and LAE. Although management believes the liability recorded for losses and LAE is adequate, the variability inherent in this estimate could result in changes to the ultimate liability,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 to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experienced adverse prior year development of $0.5 million and $3.4 prior year development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Adverse prior year development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was primarily due to higher than anticipated severity of attritional losses on certain discontinued lines of business.  Adverse prior year development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 xml:space="preserve"> was primarily due to higher than anticipated severity of attritional losses, offset by lower than anticipated severity of catastrophe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Common stock reserved for future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Common stock reserved for future issuance consists of the following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515"/>
        <w:gridCol w:w="60"/>
        <w:gridCol w:w="60"/>
        <w:gridCol w:w="845"/>
        <w:gridCol w:w="60"/>
      </w:tblGrid>
      <w:tr>
        <w:trPr/>
        <w:tc>
          <w:tcPr>
            <w:tcW w:w="6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options outstanding under 2019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749,239</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 outstanding under 2019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358,002</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stock units outstanding under 2019 Equity Incentive Plan, at target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461,037</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authorized for future issuance under 2019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3,694,726</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authorized for future issuance under 2019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1,360,964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6,623,968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below table summarizes the Company’s stock-based compensation expense for each period presented:</w:t>
      </w:r>
    </w:p>
    <w:p>
      <w:pPr>
        <w:pStyle w:val="TextBody"/>
        <w:bidi w:val="0"/>
        <w:spacing w:before="0" w:after="0"/>
        <w:ind w:left="0" w:right="0" w:hanging="0"/>
        <w:jc w:val="left"/>
        <w:rPr>
          <w:caps w:val="false"/>
          <w:smallCaps w:val="false"/>
        </w:rPr>
      </w:pPr>
      <w:r>
        <w:rPr>
          <w:caps w:val="false"/>
          <w:smallCaps w:val="false"/>
        </w:rPr>
        <w:t> </w:t>
      </w:r>
    </w:p>
    <w:tbl>
      <w:tblPr>
        <w:tblW w:w="5048" w:type="dxa"/>
        <w:jc w:val="left"/>
        <w:tblInd w:w="0" w:type="dxa"/>
        <w:tblLayout w:type="fixed"/>
        <w:tblCellMar>
          <w:top w:w="0" w:type="dxa"/>
          <w:left w:w="0" w:type="dxa"/>
          <w:bottom w:w="0" w:type="dxa"/>
          <w:right w:w="0" w:type="dxa"/>
        </w:tblCellMar>
      </w:tblPr>
      <w:tblGrid>
        <w:gridCol w:w="2270"/>
        <w:gridCol w:w="60"/>
        <w:gridCol w:w="248"/>
        <w:gridCol w:w="962"/>
        <w:gridCol w:w="119"/>
        <w:gridCol w:w="119"/>
        <w:gridCol w:w="248"/>
        <w:gridCol w:w="962"/>
        <w:gridCol w:w="6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a forfeiture rate to unvested awards and accounts for forfeitures as they occur. All stock-based compensation is included in other underwriting expenses in the Company’s unaudited condensed consolidated statement of income and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16, 2019, </w:t>
      </w: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became effective.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provides for the grant of stock options, stock appreciation rights, restricted stock, restricted stock units (“RSUs”), performance shares and units, and other cash-based or share-based awards. In addition,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contains a mechanism through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adopt a deferred compensation arrangement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total of 2,400,000 shares of common stock were initially authorized and reserved for issuance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This reserve increases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year through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by an amount equal to the smaller of: 3% of the number of shares of common stock issued and outstanding on the immediately preceding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or an amount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Recipients of stock options can purchase shares of the Company’s common stock at a price equal to the stock's fair market value on the grant date, determined by the closing price of the Company's common stock on the grant date. Stock options vest over a period between two and four years with between 25% and 50%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anniversary of the grant date and the remainder vesting monthly over the remaining period, subject to continued service to the Company. Stock options expire ten years after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stock option transactions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4"/>
        <w:gridCol w:w="60"/>
        <w:gridCol w:w="82"/>
        <w:gridCol w:w="955"/>
        <w:gridCol w:w="80"/>
        <w:gridCol w:w="60"/>
        <w:gridCol w:w="411"/>
        <w:gridCol w:w="1599"/>
        <w:gridCol w:w="60"/>
        <w:gridCol w:w="60"/>
        <w:gridCol w:w="498"/>
        <w:gridCol w:w="2294"/>
        <w:gridCol w:w="60"/>
        <w:gridCol w:w="60"/>
        <w:gridCol w:w="325"/>
        <w:gridCol w:w="1545"/>
        <w:gridCol w:w="62"/>
      </w:tblGrid>
      <w:tr>
        <w:trPr/>
        <w:tc>
          <w:tcPr>
            <w:tcW w:w="19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Weighted-average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Weighted-average remaining contractual term (in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Aggregate intrinsic value (in thousands)</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9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ind w:left="0" w:right="0" w:hanging="0"/>
              <w:jc w:val="left"/>
              <w:rPr/>
            </w:pPr>
            <w:r>
              <w:rPr/>
              <w:t> </w:t>
            </w:r>
          </w:p>
        </w:tc>
        <w:tc>
          <w:tcPr>
            <w:tcW w:w="229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45"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r>
      <w:tr>
        <w:trPr/>
        <w:tc>
          <w:tcPr>
            <w:tcW w:w="199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hanging="0"/>
              <w:jc w:val="left"/>
              <w:rPr/>
            </w:pPr>
            <w:r>
              <w:rPr/>
              <w:t> </w:t>
            </w:r>
          </w:p>
        </w:tc>
        <w:tc>
          <w:tcPr>
            <w:tcW w:w="1599"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left"/>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199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ind w:left="0" w:right="0" w:hanging="0"/>
              <w:jc w:val="left"/>
              <w:rPr/>
            </w:pPr>
            <w:r>
              <w:rPr/>
              <w:t> </w:t>
            </w:r>
          </w:p>
        </w:tc>
        <w:tc>
          <w:tcPr>
            <w:tcW w:w="15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pPr>
            <w:r>
              <w:rPr>
                <w:rStyle w:val="Emphasis"/>
              </w:rPr>
              <w:t> </w:t>
            </w:r>
          </w:p>
        </w:tc>
        <w:tc>
          <w:tcPr>
            <w:tcW w:w="62" w:type="dxa"/>
            <w:tcBorders/>
            <w:shd w:fill="CCEEFF" w:val="clear"/>
            <w:vAlign w:val="center"/>
          </w:tcPr>
          <w:p>
            <w:pPr>
              <w:pStyle w:val="TableContents"/>
              <w:bidi w:val="0"/>
              <w:spacing w:before="0" w:after="283"/>
              <w:jc w:val="left"/>
              <w:rPr/>
            </w:pPr>
            <w:r>
              <w:rPr/>
              <w:t> </w:t>
            </w:r>
          </w:p>
        </w:tc>
      </w:tr>
      <w:tr>
        <w:trPr/>
        <w:tc>
          <w:tcPr>
            <w:tcW w:w="199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94"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45"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9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March 31, 2024</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749,239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38,564</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99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and Exercisable at March 31, 2024</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hanging="0"/>
              <w:jc w:val="left"/>
              <w:rPr/>
            </w:pPr>
            <w:r>
              <w:rPr/>
              <w:t> </w:t>
            </w:r>
          </w:p>
        </w:tc>
        <w:tc>
          <w:tcPr>
            <w:tcW w:w="22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37,551</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had approximately $0.9 million of total unrecognized stock-based compensation expense related to stock options expected to be recognized over a weighted-average period of 0.8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Restricted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RSUs are valued using the closing price of the Company’s common stock on their grant date. The Company has issued RSUs with vesting periods of one to five years. All vesting is subject to continued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RSU transactions for the three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500"/>
        <w:gridCol w:w="60"/>
        <w:gridCol w:w="116"/>
        <w:gridCol w:w="1343"/>
        <w:gridCol w:w="80"/>
        <w:gridCol w:w="60"/>
        <w:gridCol w:w="669"/>
        <w:gridCol w:w="2605"/>
        <w:gridCol w:w="60"/>
      </w:tblGrid>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Weighted-average grant 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61.01</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3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ind w:left="0" w:right="0" w:hanging="0"/>
              <w:jc w:val="left"/>
              <w:rPr/>
            </w:pPr>
            <w:r>
              <w:rPr/>
              <w:t> </w:t>
            </w:r>
          </w:p>
        </w:tc>
        <w:tc>
          <w:tcPr>
            <w:tcW w:w="2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62.60</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ind w:left="0" w:right="0" w:hanging="0"/>
              <w:jc w:val="left"/>
              <w:rPr/>
            </w:pPr>
            <w:r>
              <w:rPr/>
              <w:t> </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56.05</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outstanding at March 31, 2024</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358,002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had approximately $19.1 million of total unrecognized stock-based compensation expense related to RSUs expected to be recognized over a weighted-average period of 2.2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Performance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issues PSUs with a combination of service, performance, and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majority of PSUs were issued via grants made to certain executives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none of the stock price milestones have been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other PSUs outstanding, vesting of PSUs requires a period of future service and the number of shares that vest depends on performance relative to predetermined targets of the Company’s Gross Written Premiums and Adjusted Return on Equity as set by the Compensation Committee. Prior to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PSU’s performance period was the fiscal year of the grant. Beginning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PSU’s performance period is primarily a </w:t>
      </w:r>
      <w:r>
        <w:rPr>
          <w:rStyle w:val="Emphasis"/>
          <w:rFonts w:ascii="Times New Roman" w:hAnsi="Times New Roman"/>
          <w:caps w:val="false"/>
          <w:smallCaps w:val="false"/>
          <w:sz w:val="20"/>
        </w:rPr>
        <w:t>three</w:t>
      </w:r>
      <w:r>
        <w:rPr>
          <w:rFonts w:ascii="Times New Roman" w:hAnsi="Times New Roman"/>
          <w:caps w:val="false"/>
          <w:smallCaps w:val="false"/>
          <w:sz w:val="20"/>
        </w:rPr>
        <w:t>-year period beginning with the grant date. At the end of the performance period, the actual results are measured against the predetermined targets to determine the number of PSUs to be earned as compensation. The earned PSUs are also subject to a required service period of approximately three years from the grant date before vesting and being issued as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PSU transactions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500"/>
        <w:gridCol w:w="60"/>
        <w:gridCol w:w="116"/>
        <w:gridCol w:w="1343"/>
        <w:gridCol w:w="80"/>
        <w:gridCol w:w="60"/>
        <w:gridCol w:w="669"/>
        <w:gridCol w:w="2605"/>
        <w:gridCol w:w="60"/>
      </w:tblGrid>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Weighted-average grant date 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38.90</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3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ind w:left="0" w:right="0" w:hanging="0"/>
              <w:jc w:val="left"/>
              <w:rPr/>
            </w:pPr>
            <w:r>
              <w:rPr/>
              <w:t> </w:t>
            </w:r>
          </w:p>
        </w:tc>
        <w:tc>
          <w:tcPr>
            <w:tcW w:w="2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65.22</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ind w:left="0" w:right="0" w:hanging="0"/>
              <w:jc w:val="left"/>
              <w:rPr/>
            </w:pPr>
            <w:r>
              <w:rPr/>
              <w:t> </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96.74</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outstanding at March 31, 2024</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461,037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PSU grants above represent the number of shares that would vest based on achievement of all stock price milestones in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had approximately $11.8 million of total unrecognized stock-based compensation expense related to PSUs expected to be recognized over a weighted-average period of 2.4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16, 2019, </w:t>
      </w: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became effective. A total of 240,000 shares of common stock are initially authorized and reserved for issuance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In addition,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provides for annual increases in the number of shares available for issuance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year through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equal to the smaller of 240,000 shares of the Company’s common stock or such other amount as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employees can purchase Company stock at a discount via payroll withholdings.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is administered through employee participation in discrete offering periods. During each discrete offering period employee funds are withheld, and the stock purchase occurs upon the conclusion of the offering period. The Company issued 9,806 shares pursuant to the ESPP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Company's the Board of Directors approved a share repurchase program which replaced the existing program and authorized the repurchase of up to $100 million of outstanding shares of common stock. There were no share repurchases under this program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program ended on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no additional shares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repurchased under this plan. The Company accounts for share repurchases by charging the excess of repurchase price over the common stock’s par value entirely to retained earnings. All repurchased shares are retired and become 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Accumulated Other Comprehensive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Changes in accumulated other comprehensive income (loss) (“AOCI”) are as follows:</w:t>
      </w:r>
    </w:p>
    <w:p>
      <w:pPr>
        <w:pStyle w:val="TextBody"/>
        <w:bidi w:val="0"/>
        <w:spacing w:before="0" w:after="0"/>
        <w:ind w:left="0" w:right="0" w:hanging="0"/>
        <w:jc w:val="left"/>
        <w:rPr>
          <w:caps w:val="false"/>
          <w:smallCaps w:val="false"/>
        </w:rPr>
      </w:pPr>
      <w:r>
        <w:rPr>
          <w:caps w:val="false"/>
          <w:smallCaps w:val="false"/>
        </w:rPr>
        <w:t> </w:t>
      </w:r>
    </w:p>
    <w:tbl>
      <w:tblPr>
        <w:tblW w:w="8352" w:type="dxa"/>
        <w:jc w:val="left"/>
        <w:tblInd w:w="0" w:type="dxa"/>
        <w:tblLayout w:type="fixed"/>
        <w:tblCellMar>
          <w:top w:w="0" w:type="dxa"/>
          <w:left w:w="0" w:type="dxa"/>
          <w:bottom w:w="0" w:type="dxa"/>
          <w:right w:w="0" w:type="dxa"/>
        </w:tblCellMar>
      </w:tblPr>
      <w:tblGrid>
        <w:gridCol w:w="5555"/>
        <w:gridCol w:w="60"/>
        <w:gridCol w:w="196"/>
        <w:gridCol w:w="1023"/>
        <w:gridCol w:w="125"/>
        <w:gridCol w:w="94"/>
        <w:gridCol w:w="196"/>
        <w:gridCol w:w="1023"/>
        <w:gridCol w:w="80"/>
      </w:tblGrid>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(23,991</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 income before reclassification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(3,185</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6,956</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income tax expense (benefit)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5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 income before reclassification, net of tax</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(2,516</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5,496</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AOCI</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income tax expense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AOCI, net of tax</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(2,514</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(26,505</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(31,041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Underwriting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 single reportable segment and offers specialty insurance products.  Gross written premiums (“GWP”) by product are presented below:</w:t>
      </w:r>
    </w:p>
    <w:p>
      <w:pPr>
        <w:pStyle w:val="TextBody"/>
        <w:bidi w:val="0"/>
        <w:spacing w:before="0" w:after="0"/>
        <w:ind w:left="0" w:right="0" w:firstLine="720"/>
        <w:jc w:val="left"/>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2930"/>
        <w:gridCol w:w="60"/>
        <w:gridCol w:w="125"/>
        <w:gridCol w:w="695"/>
        <w:gridCol w:w="60"/>
        <w:gridCol w:w="60"/>
        <w:gridCol w:w="60"/>
        <w:gridCol w:w="485"/>
        <w:gridCol w:w="185"/>
        <w:gridCol w:w="60"/>
        <w:gridCol w:w="125"/>
        <w:gridCol w:w="695"/>
        <w:gridCol w:w="60"/>
        <w:gridCol w:w="60"/>
        <w:gridCol w:w="60"/>
        <w:gridCol w:w="485"/>
        <w:gridCol w:w="185"/>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Earthquake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Fronting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Inland Marine and Other Property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Casualty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368,078</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250,112</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Beginning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has updated the categorization of its products to align with management's current strategy and view of the business. Prior year amounts have been reclassified for comparability purposes. The recategorization is for presentation purposes only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overall gross written premiums.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by state are as follows:</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2450"/>
        <w:gridCol w:w="60"/>
        <w:gridCol w:w="125"/>
        <w:gridCol w:w="695"/>
        <w:gridCol w:w="60"/>
        <w:gridCol w:w="60"/>
        <w:gridCol w:w="60"/>
        <w:gridCol w:w="485"/>
        <w:gridCol w:w="185"/>
        <w:gridCol w:w="60"/>
        <w:gridCol w:w="125"/>
        <w:gridCol w:w="695"/>
        <w:gridCol w:w="60"/>
        <w:gridCol w:w="60"/>
        <w:gridCol w:w="60"/>
        <w:gridCol w:w="48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California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Texas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Florida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Hawaii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Washington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Colorado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Mexico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by insurance subsidiary are as follows:</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2450"/>
        <w:gridCol w:w="60"/>
        <w:gridCol w:w="125"/>
        <w:gridCol w:w="695"/>
        <w:gridCol w:w="60"/>
        <w:gridCol w:w="60"/>
        <w:gridCol w:w="60"/>
        <w:gridCol w:w="485"/>
        <w:gridCol w:w="185"/>
        <w:gridCol w:w="60"/>
        <w:gridCol w:w="125"/>
        <w:gridCol w:w="695"/>
        <w:gridCol w:w="60"/>
        <w:gridCol w:w="60"/>
        <w:gridCol w:w="60"/>
        <w:gridCol w:w="48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Laulima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368,078</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250,112</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calculates its tax provision in interim periods using its best estimate of the effective tax rate expected for the full year.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Company’s income tax rate of 23.2% was higher than the statutory rate of 21% due primarily to non-deductible executive compensation expense.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 the Company’s income tax rate of 23.5% was higher than the statutory rate of 21% also due primarily to non-deductible executive compensation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sets out earnings per share of common stock:</w:t>
      </w:r>
    </w:p>
    <w:p>
      <w:pPr>
        <w:pStyle w:val="TextBody"/>
        <w:bidi w:val="0"/>
        <w:spacing w:before="0" w:after="0"/>
        <w:ind w:left="0" w:right="0" w:hanging="0"/>
        <w:jc w:val="left"/>
        <w:rPr>
          <w:caps w:val="false"/>
          <w:smallCaps w:val="false"/>
        </w:rPr>
      </w:pPr>
      <w:r>
        <w:rPr>
          <w:caps w:val="false"/>
          <w:smallCaps w:val="false"/>
        </w:rPr>
        <w:t> </w:t>
      </w:r>
    </w:p>
    <w:tbl>
      <w:tblPr>
        <w:tblW w:w="8004" w:type="dxa"/>
        <w:jc w:val="left"/>
        <w:tblInd w:w="0" w:type="dxa"/>
        <w:tblLayout w:type="fixed"/>
        <w:tblCellMar>
          <w:top w:w="0" w:type="dxa"/>
          <w:left w:w="0" w:type="dxa"/>
          <w:bottom w:w="0" w:type="dxa"/>
          <w:right w:w="0" w:type="dxa"/>
        </w:tblCellMar>
      </w:tblPr>
      <w:tblGrid>
        <w:gridCol w:w="3860"/>
        <w:gridCol w:w="60"/>
        <w:gridCol w:w="221"/>
        <w:gridCol w:w="1685"/>
        <w:gridCol w:w="106"/>
        <w:gridCol w:w="106"/>
        <w:gridCol w:w="221"/>
        <w:gridCol w:w="1685"/>
        <w:gridCol w:w="60"/>
      </w:tblGrid>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9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4"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shares and per share data)</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26,382</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17,313</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24,862,367</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24,969,703</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 equivalents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606,197</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473,198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25,468,564</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25,442,902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share: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Common share equivalents relate primarily to outstanding stock options, RSUs and PSUs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unpurchased shares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and are calculated using the treasury stock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utilizes reinsurance in order to limit its exposure to losses and enable it to underwrite policies with sufficient limits to meet policyholder needs. The Company utilizes both excess of loss (XOL) and quota share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Company’s catastrophe event retention is $17.5 million for all perils and the Company’s XOL reinsurance structure provides protection up to $2.71 billion for earthquake events, $800 million for Hawaii hurricane events, and $100 million for continental U.S. hurricane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to reinsurance purchased from traditional reinsurers, the Company has historically incorporated collateralized protection from the insurance linked securities market via catastrophe bonds.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closed a $400 million </w:t>
      </w:r>
      <w:r>
        <w:rPr>
          <w:rStyle w:val="Emphasis"/>
          <w:rFonts w:ascii="Times New Roman" w:hAnsi="Times New Roman"/>
          <w:caps w:val="false"/>
          <w:smallCaps w:val="false"/>
          <w:sz w:val="20"/>
        </w:rPr>
        <w:t>144A</w:t>
      </w:r>
      <w:r>
        <w:rPr>
          <w:rFonts w:ascii="Times New Roman" w:hAnsi="Times New Roman"/>
          <w:caps w:val="false"/>
          <w:smallCaps w:val="false"/>
          <w:sz w:val="20"/>
        </w:rPr>
        <w:t xml:space="preserve"> catastrophe bond which became effective </w:t>
      </w:r>
      <w:r>
        <w:rPr>
          <w:rStyle w:val="Emphasis"/>
          <w:rFonts w:ascii="Times New Roman" w:hAnsi="Times New Roman"/>
          <w:caps w:val="false"/>
          <w:smallCaps w:val="false"/>
          <w:sz w:val="20"/>
        </w:rPr>
        <w:t xml:space="preserve">June 1, 2021. </w:t>
      </w:r>
      <w:r>
        <w:rPr>
          <w:rFonts w:ascii="Times New Roman" w:hAnsi="Times New Roman"/>
          <w:caps w:val="false"/>
          <w:smallCaps w:val="false"/>
          <w:sz w:val="20"/>
        </w:rPr>
        <w:t xml:space="preserve">The catastrophe bond was completed through Torrey Pines Re Pte. Ltd. (“Torrey Pines Re Pte.”). Torrey Pines Re Pte. is a special purpose reinsurance vehicle incorporated in Singapore that provides Palomar with indemnity-based reinsurance covering earthquake events through </w:t>
      </w:r>
      <w:r>
        <w:rPr>
          <w:rStyle w:val="Emphasis"/>
          <w:rFonts w:ascii="Times New Roman" w:hAnsi="Times New Roman"/>
          <w:caps w:val="false"/>
          <w:smallCaps w:val="false"/>
          <w:sz w:val="20"/>
        </w:rPr>
        <w:t xml:space="preserve">June 1, 2024.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closed a $275 million </w:t>
      </w:r>
      <w:r>
        <w:rPr>
          <w:rStyle w:val="Emphasis"/>
          <w:rFonts w:ascii="Times New Roman" w:hAnsi="Times New Roman"/>
          <w:caps w:val="false"/>
          <w:smallCaps w:val="false"/>
          <w:sz w:val="20"/>
        </w:rPr>
        <w:t>144A</w:t>
      </w:r>
      <w:r>
        <w:rPr>
          <w:rFonts w:ascii="Times New Roman" w:hAnsi="Times New Roman"/>
          <w:caps w:val="false"/>
          <w:smallCaps w:val="false"/>
          <w:sz w:val="20"/>
        </w:rPr>
        <w:t xml:space="preserve"> catastrophe bond which became effective </w:t>
      </w:r>
      <w:r>
        <w:rPr>
          <w:rStyle w:val="Emphasis"/>
          <w:rFonts w:ascii="Times New Roman" w:hAnsi="Times New Roman"/>
          <w:caps w:val="false"/>
          <w:smallCaps w:val="false"/>
          <w:sz w:val="20"/>
        </w:rPr>
        <w:t xml:space="preserve">June 1, 2022. </w:t>
      </w:r>
      <w:r>
        <w:rPr>
          <w:rFonts w:ascii="Times New Roman" w:hAnsi="Times New Roman"/>
          <w:caps w:val="false"/>
          <w:smallCaps w:val="false"/>
          <w:sz w:val="20"/>
        </w:rPr>
        <w:t xml:space="preserve">This catastrophe bond was completed through Torrey Pines Re Ltd., a Bermuda-domiciled special purpose insurer that provides indemnity-based reinsurance covering earthquake events through </w:t>
      </w:r>
      <w:r>
        <w:rPr>
          <w:rStyle w:val="Emphasis"/>
          <w:rFonts w:ascii="Times New Roman" w:hAnsi="Times New Roman"/>
          <w:caps w:val="false"/>
          <w:smallCaps w:val="false"/>
          <w:sz w:val="20"/>
        </w:rPr>
        <w:t>June 1, 2025.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also closed a $200 million </w:t>
      </w:r>
      <w:r>
        <w:rPr>
          <w:rStyle w:val="Emphasis"/>
          <w:rFonts w:ascii="Times New Roman" w:hAnsi="Times New Roman"/>
          <w:caps w:val="false"/>
          <w:smallCaps w:val="false"/>
          <w:sz w:val="20"/>
        </w:rPr>
        <w:t>144A</w:t>
      </w:r>
      <w:r>
        <w:rPr>
          <w:rFonts w:ascii="Times New Roman" w:hAnsi="Times New Roman"/>
          <w:caps w:val="false"/>
          <w:smallCaps w:val="false"/>
          <w:sz w:val="20"/>
        </w:rPr>
        <w:t xml:space="preserve"> catastrophe bond which became effective </w:t>
      </w:r>
      <w:r>
        <w:rPr>
          <w:rStyle w:val="Emphasis"/>
          <w:rFonts w:ascii="Times New Roman" w:hAnsi="Times New Roman"/>
          <w:caps w:val="false"/>
          <w:smallCaps w:val="false"/>
          <w:sz w:val="20"/>
        </w:rPr>
        <w:t xml:space="preserve">June 1, 2023. </w:t>
      </w:r>
      <w:r>
        <w:rPr>
          <w:rFonts w:ascii="Times New Roman" w:hAnsi="Times New Roman"/>
          <w:caps w:val="false"/>
          <w:smallCaps w:val="false"/>
          <w:sz w:val="20"/>
        </w:rPr>
        <w:t xml:space="preserve">This catastrophe bond was also completed through Torrey Pines Re Ltd and provides indemnity-based reinsurance covering earthquake events through </w:t>
      </w:r>
      <w:r>
        <w:rPr>
          <w:rStyle w:val="Emphasis"/>
          <w:rFonts w:ascii="Times New Roman" w:hAnsi="Times New Roman"/>
          <w:caps w:val="false"/>
          <w:smallCaps w:val="false"/>
          <w:sz w:val="20"/>
        </w:rPr>
        <w:t>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 Bank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 xml:space="preserve">the Company entered into a Credit Agreement with U.S. Bank National Association which provides a revolving credit facility of up to $100 million through </w:t>
      </w:r>
      <w:r>
        <w:rPr>
          <w:rStyle w:val="Emphasis"/>
          <w:rFonts w:ascii="Times New Roman" w:hAnsi="Times New Roman"/>
          <w:caps w:val="false"/>
          <w:smallCaps w:val="false"/>
          <w:sz w:val="20"/>
        </w:rPr>
        <w:t xml:space="preserve">December 8, 2026. </w:t>
      </w:r>
      <w:r>
        <w:rPr>
          <w:rFonts w:ascii="Times New Roman" w:hAnsi="Times New Roman"/>
          <w:caps w:val="false"/>
          <w:smallCaps w:val="false"/>
          <w:sz w:val="20"/>
        </w:rPr>
        <w:t xml:space="preserve">Interest on the credit facility accrues on each SOFR rate loan at the applicable SOFR (as defined in the Credit Agreement) plus 1.75% and on each base rate loan at the applicable Alternate Base Rate (as defined in the Credit Agreement) plus 0.75%. A loan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a SOFR rate loan or a base rate loan, at the Company’s discretion. Outstanding amounts under the Credit Agreement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prepaid in full or in part at any time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prepayment premium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reduced in full or in part at any time upon prior notice. In addition to interest on funds borrowed, the Company must pay an unused line fee of 0.25% on any amounts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 based capital ratio and minimum A.M. Best financial strength rating. The Credit Agreement also contains customary events of default, such as non-compliance with financial covenants. If an event of default occurs, any debt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declared immediately due and payable.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was in compliance with all debt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the Company had no borrowings outstanding on the Credit Agreement. Interest expense on the Credit Agreement was $0.1 million and $0.6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March 31, 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FHLB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had $43.0 million of borrowings outstanding through the FHLB at the overnight rate of 5.60%. Interest expense on the FHLB line of credit was $0.7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had $52.6 million of borrowings outstanding through the FHLB at the overnight rate of 5.62%. Interest expense on the FHLB Line of Credit was $0.4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8" w:name="mda"/>
      <w:bookmarkEnd w:id="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The discussion and analysis below includes certain forward-looking statements that are subject to risks, uncertainties and other factors described in part II, item 1A of this Quarterly Report. Our actual results could differ materially from those anticipated in these forward-looking statements as a result of many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The results of operations for the three months ended March 31, 2024 are not necessarily indicative of the results that may be expected for the full year ended December 31, 2024,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References to the "Company," "Palomar," "we," "us," and "our" are to Palomar Holdings,</w:t>
      </w:r>
      <w:r>
        <w:rPr>
          <w:rFonts w:ascii="Times New Roman" w:hAnsi="Times New Roman"/>
          <w:caps w:val="false"/>
          <w:smallCaps w:val="false"/>
          <w:sz w:val="20"/>
        </w:rPr>
        <w:t> </w:t>
      </w:r>
      <w:r>
        <w:rPr>
          <w:rFonts w:ascii="Times New Roman" w:hAnsi="Times New Roman"/>
          <w:i/>
          <w:caps w:val="false"/>
          <w:smallCaps w:val="false"/>
          <w:sz w:val="20"/>
        </w:rPr>
        <w:t>Inc. and its subsidiaries,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specialty insurance company that provides property and casualty insurance products to individuals and businesses. We use our underwriting and analytical expertise to provide products for select markets that we believe are underserved by other insurance companies, including the market for earthquake insurance. We use proprietary data analytics and a modern technology platform to offer our customers flexible products with customized and granular pricing for both the admitted and excess and surplus lines (“E&amp;S”)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provide admitted insurance products through our Oregon domiciled insurance company, Palomar Specialty Insurance Company (“PSIC”), and E&amp;S insurance products through our Arizona domiciled surplus lines insurance company, Palomar Excess and Surplus Insurance Company (“PESIC”). Each of our insurance company subsidiaries as carries an “A-“ rating from A.M. Best Company (“A.M. Best”), a leading rating agency for the insurance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Founded in 2014, we have significantly grown our business and have generated attractive returns. We have organically increased gross written premiums from $16.6 million in our first year of operations to $1.1 billion for the year ended December 31, 2023, which reflects a compound annual growth rate of approximately 60%. We have also been profitable since 2016 and our net income growth since 2016 reflects a compound annual growth rate of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seek to continuously grow our income by developing product offerings for lines of business that harness our core competencies and where we believe we can generate attractive risk adjusted returns. In recent years, we have introduced several new products including Fronting, Excess Property, and Crop, as well as products targeting niche Casualty segments such as Real Estate Agent Errors and Omissions, Excess Liability, and Environmental Liability. These new products diversify our book of business and broaden our product portfolio. We believe that our market opportunity, distinctive products, and differentiated business model position us to grow our business profitably.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Volume of new business submissions in existing products or partnerships;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Binding of new business submissions in existing products or partnerships into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Entrance into new partnerships or the offering of new types of insurance products;</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170"/>
        <w:gridCol w:w="7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Exits from existing partnerships or reducing or ceasing to offer existing insurance products;</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Renewal rates of existing policies;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
        <w:gridCol w:w="170"/>
        <w:gridCol w:w="4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Average size and premium rate of bound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reinsurance due to losses. In addition, the volume of premiums ceded in fronting agreements each period may vary due to the timing of entering new fronting partnerships and terminations of fronting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Commission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Commission and other income consist of commissions earned on policies written on behalf of third party insurance companies where we have no exposure to the insured risk and certain fees earned in conjunction with underwriting policies. Commission and other income are earned on the effective date of the underlying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occurrence, frequency, and severity of catastrophe events in the areas where we underwrite policies relating to these perils;</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occurrence, frequency, and severity of non</w:t>
              <w:noBreakHyphen/>
              <w:t>catastrophe attritional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3025" w:type="dxa"/>
        <w:jc w:val="left"/>
        <w:tblInd w:w="0" w:type="dxa"/>
        <w:tblLayout w:type="fixed"/>
        <w:tblCellMar>
          <w:top w:w="0" w:type="dxa"/>
          <w:left w:w="0" w:type="dxa"/>
          <w:bottom w:w="0" w:type="dxa"/>
          <w:right w:w="0" w:type="dxa"/>
        </w:tblCellMar>
      </w:tblPr>
      <w:tblGrid>
        <w:gridCol w:w="60"/>
        <w:gridCol w:w="170"/>
        <w:gridCol w:w="2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mix of business written by us;</w:t>
            </w:r>
          </w:p>
        </w:tc>
      </w:tr>
    </w:tbl>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reinsurance agreements we have in place at the time of a loss;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geographic location and characteristics of the policies we underwrite;</w:t>
            </w:r>
          </w:p>
        </w:tc>
      </w:tr>
    </w:tbl>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the legal or regulatory environment related to the business we write;</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170"/>
        <w:gridCol w:w="2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Trends in legal defense costs;</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Inflation in housing and construction costs; and</w:t>
            </w:r>
          </w:p>
        </w:tc>
      </w:tr>
    </w:tbl>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60"/>
        <w:gridCol w:w="170"/>
        <w:gridCol w:w="4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in amounts awarded by courts and juries.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noBreakHyphen/>
        <w:t>related taxes and other fees. Acquisition expenses related to each policy we write are deferred and expensed pro rata over the term of the policy. We earn fronting fees consistent with how we earn premiums on the underlying insurance policies, on a pro-rata basis over the terms of the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Underwriting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consists of interest incurred on borrowings from our U.S. Bank credit agreement and FHLB line of credit and the unused line fee and amortization of the commitment fee on our U.S. Bank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Realized and Unrealized Gains and Losses on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fixed maturity securities are recognized as a component of other comprehensive income and do not impact our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Currently our income tax expense consists mainly of federal income taxes imposed on our operations. Our effective tax rates are dependent upon the components of pretax earnings and the related tax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Financial and Operating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discuss certain key financial and operating metrics, described below, which provide useful information about our business and the operational factors underlying our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Underwriting revenue</w:t>
      </w:r>
      <w:r>
        <w:rPr>
          <w:rFonts w:ascii="Times New Roman" w:hAnsi="Times New Roman"/>
          <w:caps w:val="false"/>
          <w:smallCaps w:val="false"/>
          <w:sz w:val="20"/>
        </w:rPr>
        <w:t xml:space="preserve"> is a non</w:t>
        <w:noBreakHyphen/>
        <w:t>GAAP financial measure defined as total revenue, excluding net investment income and net realized and unrealized gains and losses on investments. See “Reconciliation of Non</w:t>
        <w:noBreakHyphen/>
        <w:t>GAAP Financial Measures” for a reconciliation of total revenue calculated in accordance with GAAP to underwriting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Underwriting income</w:t>
      </w:r>
      <w:r>
        <w:rPr>
          <w:rFonts w:ascii="Times New Roman" w:hAnsi="Times New Roman"/>
          <w:caps w:val="false"/>
          <w:smallCaps w:val="false"/>
          <w:sz w:val="20"/>
        </w:rPr>
        <w:t xml:space="preserve"> is a non</w:t>
        <w:noBreakHyphen/>
        <w:t>GAAP financial measure defined as income before income taxes excluding net investment income, net realized and unrealized gains and losses on investments, and interest expense. See “Reconciliation of Non</w:t>
        <w:noBreakHyphen/>
        <w:t>GAAP Financial Measures” for a reconciliation of income before income taxes calculated in accordance with GAAP to underwriting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Adjusted net income </w:t>
      </w:r>
      <w:r>
        <w:rPr>
          <w:rFonts w:ascii="Times New Roman" w:hAnsi="Times New Roman"/>
          <w:caps w:val="false"/>
          <w:smallCaps w:val="false"/>
          <w:sz w:val="20"/>
        </w:rPr>
        <w:t>is a non</w:t>
        <w:noBreakHyphen/>
        <w:t>GAAP financial measure defined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w:t>
        <w:noBreakHyphen/>
        <w:t>GAAP Financial Measures” for a reconciliation of net income calculated in accordance with GAAP to adjusted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Annualized return on equity</w:t>
      </w:r>
      <w:r>
        <w:rPr>
          <w:rFonts w:ascii="Times New Roman" w:hAnsi="Times New Roman"/>
          <w:caps w:val="false"/>
          <w:smallCaps w:val="false"/>
          <w:sz w:val="20"/>
        </w:rPr>
        <w:t xml:space="preserve"> is net income expressed on an annualized basis as a percentage of average beginning and ending stockholders’ equity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Annualized adjusted return on equity</w:t>
      </w:r>
      <w:r>
        <w:rPr>
          <w:rFonts w:ascii="Times New Roman" w:hAnsi="Times New Roman"/>
          <w:caps w:val="false"/>
          <w:smallCaps w:val="false"/>
          <w:sz w:val="20"/>
        </w:rPr>
        <w:t xml:space="preserve"> is a non</w:t>
        <w:noBreakHyphen/>
        <w:t>GAAP financial measure defined as adjusted net income expressed on an annualized basis as a percentage of average beginning and ending stockholders’ equity during the period. See “Reconciliation of Non</w:t>
        <w:noBreakHyphen/>
        <w:t>GAAP Financial Measures” for a reconciliation of return on equity calculated using unadjusted GAAP numbers to adjusted return 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Loss ratio</w:t>
      </w:r>
      <w:r>
        <w:rPr>
          <w:rFonts w:ascii="Times New Roman" w:hAnsi="Times New Roman"/>
          <w:caps w:val="false"/>
          <w:smallCaps w:val="false"/>
          <w:sz w:val="20"/>
        </w:rPr>
        <w:t>, expressed as a percentage, is the ratio of losses and loss adjustment expenses, to 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Expense ratio,</w:t>
      </w:r>
      <w:r>
        <w:rPr>
          <w:rFonts w:ascii="Times New Roman" w:hAnsi="Times New Roman"/>
          <w:caps w:val="false"/>
          <w:smallCaps w:val="false"/>
          <w:sz w:val="20"/>
        </w:rPr>
        <w:t xml:space="preserve"> expressed as a percentage, is the ratio of acquisition and other underwriting expenses, net of commission and other income to 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Combined ratio</w:t>
      </w:r>
      <w:r>
        <w:rPr>
          <w:rFonts w:ascii="Times New Roman" w:hAnsi="Times New Roman"/>
          <w:caps w:val="false"/>
          <w:smallCaps w:val="false"/>
          <w:sz w:val="20"/>
        </w:rPr>
        <w:t xml:space="preserve"> is defined as the sum of the loss ratio and the expense ratio. A combined ratio under 100% generally indicates an underwriting profit. A combined ratio over 100% generally indicates an underwriting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Adjusted combined ratio</w:t>
      </w:r>
      <w:r>
        <w:rPr>
          <w:rFonts w:ascii="Times New Roman" w:hAnsi="Times New Roman"/>
          <w:caps w:val="false"/>
          <w:smallCaps w:val="false"/>
          <w:sz w:val="20"/>
        </w:rPr>
        <w:t xml:space="preserve"> is a non</w:t>
        <w:noBreakHyphen/>
        <w:t>GAAP financial measure defined as the sum of the loss ratio and the expense ratio calculated excluding the impact of certain items that may not be indicative of underlying business trends, operating results, or future outlook. See “Reconciliation of Non</w:t>
        <w:noBreakHyphen/>
        <w:t>GAAP Financial Measures” for a reconciliation of combined ratio calculated using unadjusted GAAP numbers to adjusted combined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Diluted adjusted earnings per share</w:t>
      </w:r>
      <w:r>
        <w:rPr>
          <w:rFonts w:ascii="Times New Roman" w:hAnsi="Times New Roman"/>
          <w:caps w:val="false"/>
          <w:smallCaps w:val="false"/>
          <w:sz w:val="20"/>
        </w:rPr>
        <w:t> is a non</w:t>
        <w:noBreakHyphen/>
        <w:t>GAAP financial measure defined as adjusted net income divided by the weighted-average common shares outstanding for the period, reflecting the dilution which could occur if equity-based awards are converted into common share equivalents as calculated using the treasury stock method. See “Reconciliation of Non</w:t>
        <w:noBreakHyphen/>
        <w:t>GAAP Financial Measures” for a reconciliation of diluted earnings per share calculated in accordance with GAAP to diluted adjusted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Catastrophe loss ratio</w:t>
      </w:r>
      <w:r>
        <w:rPr>
          <w:rFonts w:ascii="Times New Roman" w:hAnsi="Times New Roman"/>
          <w:caps w:val="false"/>
          <w:smallCaps w:val="false"/>
          <w:sz w:val="20"/>
        </w:rPr>
        <w:t xml:space="preserve"> is a non</w:t>
        <w:noBreakHyphen/>
        <w:t>GAAP financial measure defined as the ratio of catastrophe losses to net earned premiums. See “Reconciliation of Non</w:t>
        <w:noBreakHyphen/>
        <w:t>GAAP Financial Measures” for a reconciliation of loss ratio calculated using unadjusted GAAP numbers to catastrophe loss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Adjusted combined ratio excluding catastrophe losses</w:t>
      </w:r>
      <w:r>
        <w:rPr>
          <w:rFonts w:ascii="Times New Roman" w:hAnsi="Times New Roman"/>
          <w:caps w:val="false"/>
          <w:smallCaps w:val="false"/>
          <w:sz w:val="20"/>
        </w:rPr>
        <w:t xml:space="preserve"> is a non</w:t>
        <w:noBreakHyphen/>
        <w:t>GAAP financial measure defined as adjusted combined ratio excluding the impact of catastrophe losses. See “Reconciliation of Non</w:t>
        <w:noBreakHyphen/>
        <w:t>GAAP Financial Measures” for a reconciliation of combined ratio calculated using unadjusted GAAP numbers to adjusted combined ratio excluding catastrophe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Adjusted underwriting income</w:t>
      </w:r>
      <w:r>
        <w:rPr>
          <w:rFonts w:ascii="Times New Roman" w:hAnsi="Times New Roman"/>
          <w:caps w:val="false"/>
          <w:smallCaps w:val="false"/>
          <w:sz w:val="20"/>
        </w:rPr>
        <w:t> is a non-GAAP financial measure defined as underwriting income excluding the 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Tangible stockholders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r>
        <w:rPr>
          <w:rFonts w:ascii="Times New Roman" w:hAnsi="Times New Roman"/>
          <w:caps w:val="false"/>
          <w:smallCaps w:val="false"/>
          <w:sz w:val="20"/>
        </w:rPr>
        <w:t xml:space="preserve"> is a non</w:t>
        <w:noBreakHyphen/>
        <w:t>GAAP financial measure defined as stockholders’ equity less intangible assets. See “Reconciliation of Non</w:t>
        <w:noBreakHyphen/>
        <w:t>GAAP Financial Measures” for a reconciliation of stockholders’ equity calculated in accordance with GAAP to tangible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Three</w:t>
      </w:r>
      <w:r>
        <w:rPr>
          <w:rFonts w:ascii="Times New Roman" w:hAnsi="Times New Roman"/>
          <w:caps w:val="false"/>
          <w:smallCaps w:val="false"/>
          <w:sz w:val="20"/>
        </w:rPr>
        <w:t> </w:t>
      </w:r>
      <w:r>
        <w:rPr>
          <w:rFonts w:ascii="Times New Roman" w:hAnsi="Times New Roman"/>
          <w:b/>
          <w:i/>
          <w:caps w:val="false"/>
          <w:smallCaps w:val="false"/>
          <w:sz w:val="20"/>
        </w:rPr>
        <w:t>months ended March 31, 2024 compared to three</w:t>
      </w:r>
      <w:r>
        <w:rPr>
          <w:rFonts w:ascii="Times New Roman" w:hAnsi="Times New Roman"/>
          <w:caps w:val="false"/>
          <w:smallCaps w:val="false"/>
          <w:sz w:val="20"/>
        </w:rPr>
        <w:t> </w:t>
      </w:r>
      <w:r>
        <w:rPr>
          <w:rFonts w:ascii="Times New Roman" w:hAnsi="Times New Roman"/>
          <w:b/>
          <w:i/>
          <w:caps w:val="false"/>
          <w:smallCaps w:val="false"/>
          <w:sz w:val="20"/>
        </w:rPr>
        <w:t>months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results for the three months ended March 31, 2024 and 2023:</w:t>
      </w:r>
    </w:p>
    <w:p>
      <w:pPr>
        <w:pStyle w:val="TextBody"/>
        <w:bidi w:val="0"/>
        <w:spacing w:before="0" w:after="0"/>
        <w:ind w:left="0" w:right="0" w:hanging="0"/>
        <w:jc w:val="left"/>
        <w:rPr>
          <w:caps w:val="false"/>
          <w:smallCaps w:val="false"/>
        </w:rPr>
      </w:pPr>
      <w:r>
        <w:rPr>
          <w:caps w:val="false"/>
          <w:smallCaps w:val="false"/>
        </w:rPr>
        <w:t> </w:t>
      </w:r>
    </w:p>
    <w:tbl>
      <w:tblPr>
        <w:tblW w:w="9840" w:type="dxa"/>
        <w:jc w:val="left"/>
        <w:tblInd w:w="0" w:type="dxa"/>
        <w:tblLayout w:type="fixed"/>
        <w:tblCellMar>
          <w:top w:w="0" w:type="dxa"/>
          <w:left w:w="0" w:type="dxa"/>
          <w:bottom w:w="0" w:type="dxa"/>
          <w:right w:w="0" w:type="dxa"/>
        </w:tblCellMar>
      </w:tblPr>
      <w:tblGrid>
        <w:gridCol w:w="5420"/>
        <w:gridCol w:w="60"/>
        <w:gridCol w:w="125"/>
        <w:gridCol w:w="755"/>
        <w:gridCol w:w="185"/>
        <w:gridCol w:w="60"/>
        <w:gridCol w:w="125"/>
        <w:gridCol w:w="755"/>
        <w:gridCol w:w="185"/>
        <w:gridCol w:w="60"/>
        <w:gridCol w:w="125"/>
        <w:gridCol w:w="695"/>
        <w:gridCol w:w="80"/>
        <w:gridCol w:w="60"/>
        <w:gridCol w:w="89"/>
        <w:gridCol w:w="816"/>
        <w:gridCol w:w="245"/>
      </w:tblGrid>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15"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368,078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250,112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written premiums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(228,171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(170,344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written premiums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79,768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Commission and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lineRule="auto" w:line="288"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underwriting revenue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83,936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expenses, net of ceding commissions and fronting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underwriting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24,804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19,222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lineRule="auto" w:line="288" w:before="0" w:after="0"/>
              <w:ind w:left="0" w:right="0" w:firstLine="180"/>
              <w:jc w:val="left"/>
              <w:rPr>
                <w:rFonts w:ascii="Times New Roman" w:hAnsi="Times New Roman"/>
                <w:sz w:val="20"/>
              </w:rPr>
            </w:pPr>
            <w:r>
              <w:rPr>
                <w:rFonts w:ascii="Times New Roman" w:hAnsi="Times New Roman"/>
                <w:sz w:val="20"/>
              </w:rPr>
              <w:t>Underwriting income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24,955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18,383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34,356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5,316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firstLine="180"/>
              <w:jc w:val="left"/>
              <w:rPr>
                <w:rFonts w:ascii="Times New Roman" w:hAnsi="Times New Roman"/>
                <w:b/>
                <w:sz w:val="20"/>
              </w:rPr>
            </w:pPr>
            <w:r>
              <w:rPr>
                <w:rFonts w:ascii="Times New Roman" w:hAnsi="Times New Roman"/>
                <w:b/>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26,382</w:t>
            </w:r>
          </w:p>
        </w:tc>
        <w:tc>
          <w:tcPr>
            <w:tcW w:w="18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17,313</w:t>
            </w:r>
          </w:p>
        </w:tc>
        <w:tc>
          <w:tcPr>
            <w:tcW w:w="18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9,069</w:t>
            </w:r>
          </w:p>
        </w:tc>
        <w:tc>
          <w:tcPr>
            <w:tcW w:w="80"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on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Expenses associated with catastrophe bond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impact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lineRule="auto" w:line="288"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Adjusted net income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27,794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20,440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Financial and Operating Metrics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return on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adjusted return on equity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adjusted earnings per share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 ratio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underwriting income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NM - not meaningful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Indicates non-GAAP financial measure; see “Reconciliation of Non</w:t>
              <w:noBreakHyphen/>
              <w:t>GAAP Financial Measures” for a reconciliation of the non</w:t>
              <w:noBreakHyphen/>
              <w:t>GAAP financial measures to their most directly comparable financial measures prepared in accordance with GAAP.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increased $118.0 million, or 47.2% to $368.1 million for the three months ended March 31, 2024 compared to $250.1 million for the three months ended March 31, 2023.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pStyle w:val="TextBody"/>
        <w:bidi w:val="0"/>
        <w:spacing w:before="0" w:after="0"/>
        <w:ind w:left="0" w:right="0" w:hanging="0"/>
        <w:jc w:val="left"/>
        <w:rPr>
          <w:caps w:val="false"/>
          <w:smallCaps w:val="false"/>
        </w:rPr>
      </w:pPr>
      <w:r>
        <w:rPr>
          <w:caps w:val="false"/>
          <w:smallCaps w:val="false"/>
        </w:rPr>
        <w:t> </w:t>
      </w:r>
    </w:p>
    <w:tbl>
      <w:tblPr>
        <w:tblW w:w="8060" w:type="dxa"/>
        <w:jc w:val="left"/>
        <w:tblInd w:w="0" w:type="dxa"/>
        <w:tblLayout w:type="fixed"/>
        <w:tblCellMar>
          <w:top w:w="0" w:type="dxa"/>
          <w:left w:w="0" w:type="dxa"/>
          <w:bottom w:w="0" w:type="dxa"/>
          <w:right w:w="0" w:type="dxa"/>
        </w:tblCellMar>
      </w:tblPr>
      <w:tblGrid>
        <w:gridCol w:w="2750"/>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73"/>
        <w:gridCol w:w="592"/>
        <w:gridCol w:w="185"/>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80"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lineRule="auto" w:line="288"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Earthquake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Fronting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Inland Marine and Other Property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Casualty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Crop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368,078</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250,112</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117,966</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 Beginning in 2024,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gross written premiums by insurance subsidiary:</w:t>
      </w:r>
    </w:p>
    <w:p>
      <w:pPr>
        <w:pStyle w:val="TextBody"/>
        <w:bidi w:val="0"/>
        <w:spacing w:before="0" w:after="0"/>
        <w:ind w:left="0" w:right="0" w:hanging="0"/>
        <w:jc w:val="left"/>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2450"/>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90"/>
        <w:gridCol w:w="57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80"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PESIC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Laulima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368,078</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250,112</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117,966</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increased $57.8 million, or 33.9%, to $228.2 million for the three months ended March 31, 2024 from $170.3 million for the three months ended March 31, 2023. The increase was primarily due to increased premiums ceded under quota share and fronting agreements due to growth in the volume of written premiums subject to quota share or fronting agreements. In addition, we incurred increased XOL reinsurance expense due to growth in exposure and higher rates on XOL reinsurance.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as a percentage of gross written premiums decreased to 62.0% for the three months ended March 31, 2024 from 68.1% for the three months ended March 31, 2023. This decrease was primarily due to gross written premiums growing at a higher percentage than ceded written premiums during the current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written premiums increased $60.1 million, or 75.4%, to $139.9 million for the three months ended March 31, 2024 from $79.8 million for the three months ended March 31, 2023. The increase was primarily due to an increase in gross written premiums, primarily in our Casualty and Inland Marine and Other Property lines, partially offset by increased 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earned premiums increased $24.6 million, or 29.6%, to $107.9 million for the three months ended March 31, 2024 from $83.2 million for the three months ended March 31, 2023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2075"/>
        <w:gridCol w:w="60"/>
        <w:gridCol w:w="125"/>
        <w:gridCol w:w="755"/>
        <w:gridCol w:w="185"/>
        <w:gridCol w:w="60"/>
        <w:gridCol w:w="125"/>
        <w:gridCol w:w="755"/>
        <w:gridCol w:w="185"/>
        <w:gridCol w:w="60"/>
        <w:gridCol w:w="125"/>
        <w:gridCol w:w="650"/>
        <w:gridCol w:w="80"/>
        <w:gridCol w:w="60"/>
        <w:gridCol w:w="123"/>
        <w:gridCol w:w="782"/>
        <w:gridCol w:w="185"/>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70"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earned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302,872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225,243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earned premiums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(195,006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(142,002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107,866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83,241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decline in net earned premium ratio shown above was primarily caused by an increase to ceded earned premium on quota share and fronting arrangements driven by growth in lines of business subject to a quota share or fronting arrangement during the past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Commission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Commission and other income decreased $0.2 million to $0.5 million for the three months ended March 31, 2024 from $0.7 million for the three months ended March 31, 2023. The balance decreased due to a decrease in commissions and policy related fees caused by changes in our business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Losses and Loss Adjustment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increased $6.2 million, or 29.9% to $26.8 million for the three months ended March 31, 2024 from $20.7 million for the three months ended March 31, 2023. Losses and loss adjustment expenses consisted of the following elements during the respective periods:</w:t>
      </w:r>
    </w:p>
    <w:p>
      <w:pPr>
        <w:pStyle w:val="TextBody"/>
        <w:bidi w:val="0"/>
        <w:spacing w:before="0" w:after="0"/>
        <w:ind w:left="0" w:right="0" w:hanging="0"/>
        <w:jc w:val="left"/>
        <w:rPr>
          <w:caps w:val="false"/>
          <w:smallCaps w:val="false"/>
        </w:rPr>
      </w:pPr>
      <w:r>
        <w:rPr>
          <w:caps w:val="false"/>
          <w:smallCaps w:val="false"/>
        </w:rPr>
        <w:t> </w:t>
      </w:r>
    </w:p>
    <w:tbl>
      <w:tblPr>
        <w:tblW w:w="7253" w:type="dxa"/>
        <w:jc w:val="left"/>
        <w:tblInd w:w="0" w:type="dxa"/>
        <w:tblLayout w:type="fixed"/>
        <w:tblCellMar>
          <w:top w:w="0" w:type="dxa"/>
          <w:left w:w="0" w:type="dxa"/>
          <w:bottom w:w="0" w:type="dxa"/>
          <w:right w:w="0" w:type="dxa"/>
        </w:tblCellMar>
      </w:tblPr>
      <w:tblGrid>
        <w:gridCol w:w="3410"/>
        <w:gridCol w:w="60"/>
        <w:gridCol w:w="144"/>
        <w:gridCol w:w="681"/>
        <w:gridCol w:w="69"/>
        <w:gridCol w:w="69"/>
        <w:gridCol w:w="144"/>
        <w:gridCol w:w="681"/>
        <w:gridCol w:w="60"/>
        <w:gridCol w:w="60"/>
        <w:gridCol w:w="136"/>
        <w:gridCol w:w="529"/>
        <w:gridCol w:w="60"/>
        <w:gridCol w:w="60"/>
        <w:gridCol w:w="123"/>
        <w:gridCol w:w="782"/>
        <w:gridCol w:w="185"/>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98"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Non-catastrophe losses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23,478</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losses and loss adjustment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26,837</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catastrophe loss ratio was 3.1% during the three months ended March 31, 2024. Catastrophe losses were primarily related to flood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catastrophe loss ratio was 2.2% during the three months ended March 31, 2023. Catastrophe losses were also primarily related to flood losses, offset by favorable development on prior period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non-catastrophe loss ratio was 21.8% for the three months ended March 31, 2024 compared to 22.6% during the three months ended March 31, 2023. Non-catastrophe loss ratio decreased due to lower attritional losses on lines of business subject to attritional losses such as Casualty and Inland Marine and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Acquisition expenses increased $6.1 million, or 23.8%, to $31.8 million for the three months ended March 31, 2024 from $25.7 million for the three months ended March 31, 2023. The increase was primarily due to higher commissions and premium-related taxes resulting from higher gross earned premiums. This was partially offset by higher earned ceding commissions and fronting fees due to an increase in premiums subject to a quota share or fronting agreement. Acquisition expenses as a percentage of gross earned premiums were 10.5% for the three months ended March 31, 2024 compared to 11.4% for the three months ended March 31, 2023. Acquisition expenses as a percentage of gross earned premiums decreased due to the recognition of higher ceding commission and fronting fee income as a percentage of gross earned premiums resulting from growth in lines of business subject to a quota share and fronting premiums during the past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Underwriting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increased $5.6 million, or 29.0%, to $24.8 million for the three months ended March 31, 2024 from $19.2 million for the three months ended March 31, 2023. The increase was primarily due to the Company incurring higher payroll, technology, and stock-based compensation expenses associated with growth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as a percentage of gross earned premiums were 8.2% for the three months ended March 31, 2024 compared to 8.5% for the three months ended March 31, 2023. Excluding the impact of expenses relating to stock-based compensation, catastrophe bonds, and amortization of intangibles, other underwriting expenses as a percentage of gross earned premiums were 6.8% for the three months ended March 31, 2024 compared to 6.8% for the three months ended March 31, 2023. Other underwriting expenses as a percentage of gross earned premiums may fluctuate period over period based on timing of certain expenses relative to premium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Investment Income and Net Realized and Unrealized Gains (Losses) on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investment income increased $2.0 million, or 39.4%, to $7.1 million for the three months ended March 31, 2024 from $5.1 million for the three months ended March 31, 2023. The increase was primarily due to a higher average balance of investments during the three months ended March 31, 2024 and higher yields on invested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incurred $3.0 million of net realized and unrealized gains on investments for the three months ended March 31, 2024 compared to $0.1 million of net realized and unrealized gains for the three months ended March 31, 2023 In both periods, the balance was primarily driven by unrealized gains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pStyle w:val="TextBody"/>
        <w:bidi w:val="0"/>
        <w:spacing w:before="0" w:after="0"/>
        <w:ind w:left="0" w:right="0" w:hanging="0"/>
        <w:jc w:val="left"/>
        <w:rPr>
          <w:caps w:val="false"/>
          <w:smallCaps w:val="false"/>
        </w:rPr>
      </w:pPr>
      <w:r>
        <w:rPr>
          <w:caps w:val="false"/>
          <w:smallCaps w:val="false"/>
        </w:rPr>
        <w:t> </w:t>
      </w:r>
    </w:p>
    <w:tbl>
      <w:tblPr>
        <w:tblW w:w="7876" w:type="dxa"/>
        <w:jc w:val="left"/>
        <w:tblInd w:w="0" w:type="dxa"/>
        <w:tblLayout w:type="fixed"/>
        <w:tblCellMar>
          <w:top w:w="0" w:type="dxa"/>
          <w:left w:w="0" w:type="dxa"/>
          <w:bottom w:w="0" w:type="dxa"/>
          <w:right w:w="0" w:type="dxa"/>
        </w:tblCellMar>
      </w:tblPr>
      <w:tblGrid>
        <w:gridCol w:w="3995"/>
        <w:gridCol w:w="60"/>
        <w:gridCol w:w="152"/>
        <w:gridCol w:w="720"/>
        <w:gridCol w:w="97"/>
        <w:gridCol w:w="73"/>
        <w:gridCol w:w="152"/>
        <w:gridCol w:w="592"/>
        <w:gridCol w:w="80"/>
        <w:gridCol w:w="60"/>
        <w:gridCol w:w="136"/>
        <w:gridCol w:w="529"/>
        <w:gridCol w:w="80"/>
        <w:gridCol w:w="60"/>
        <w:gridCol w:w="99"/>
        <w:gridCol w:w="806"/>
        <w:gridCol w:w="185"/>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36"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7,326</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management fees and expenses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7,139</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on investments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18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10,141</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tax expense increased $2.7 million to $8.0 million for the three months ended March 31, 2024 from $5.3 million for the three months ended March 31, 2023 due to higher pre-tax income for the period ended March 31, 2024. During the three months ended March 31, 2024, our income tax rate of 23.2% was higher than the statutory rate of 21% due primarily to non-deductible executive compensation expense. During the three months ended March 31, 2023, our income tax rate of 23.5% was higher than the statutory rate of 21% also due primarily to non-deductible executive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Reconciliation of Non</w:t>
      </w:r>
      <w:r>
        <w:rPr>
          <w:rFonts w:ascii="Times New Roman" w:hAnsi="Times New Roman"/>
          <w:caps w:val="false"/>
          <w:smallCaps w:val="false"/>
          <w:sz w:val="20"/>
        </w:rPr>
        <w:noBreakHyphen/>
      </w:r>
      <w:r>
        <w:rPr>
          <w:rFonts w:ascii="Times New Roman" w:hAnsi="Times New Roman"/>
          <w:b/>
          <w:i/>
          <w:caps w:val="false"/>
          <w:smallCaps w:val="false"/>
          <w:sz w:val="20"/>
        </w:rPr>
        <w:t>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Underwriting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revenue calculated in accordance with GAAP reconciles to underwriting revenue as follows:</w:t>
      </w:r>
    </w:p>
    <w:p>
      <w:pPr>
        <w:pStyle w:val="TextBody"/>
        <w:bidi w:val="0"/>
        <w:spacing w:before="0" w:after="0"/>
        <w:ind w:left="0" w:right="0" w:hanging="0"/>
        <w:jc w:val="left"/>
        <w:rPr>
          <w:caps w:val="false"/>
          <w:smallCaps w:val="false"/>
        </w:rPr>
      </w:pPr>
      <w:r>
        <w:rPr>
          <w:caps w:val="false"/>
          <w:smallCaps w:val="false"/>
        </w:rPr>
        <w:t> </w:t>
      </w:r>
    </w:p>
    <w:tbl>
      <w:tblPr>
        <w:tblW w:w="5922" w:type="dxa"/>
        <w:jc w:val="left"/>
        <w:tblInd w:w="0" w:type="dxa"/>
        <w:tblLayout w:type="fixed"/>
        <w:tblCellMar>
          <w:top w:w="0" w:type="dxa"/>
          <w:left w:w="0" w:type="dxa"/>
          <w:bottom w:w="0" w:type="dxa"/>
          <w:right w:w="0" w:type="dxa"/>
        </w:tblCellMar>
      </w:tblPr>
      <w:tblGrid>
        <w:gridCol w:w="3995"/>
        <w:gridCol w:w="60"/>
        <w:gridCol w:w="133"/>
        <w:gridCol w:w="742"/>
        <w:gridCol w:w="85"/>
        <w:gridCol w:w="64"/>
        <w:gridCol w:w="133"/>
        <w:gridCol w:w="630"/>
        <w:gridCol w:w="80"/>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118,535</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89,202</w:t>
            </w:r>
          </w:p>
        </w:tc>
        <w:tc>
          <w:tcPr>
            <w:tcW w:w="8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(7,139</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and unrealized gains on investments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(3,002</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Underwriting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108,394</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Underwriting Income and Adjusted Underwriting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underwriting income as income before income taxes excluding net investment income, net realized and unrealized gains and losses on investments, and interest expense. Underwriting income represents the pre</w:t>
        <w:noBreakHyphen/>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noBreakHyphen/>
        <w:t>tax income calculated in accordance with GAAP, and other companies may define underwriting income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noBreakHyphen/>
        <w:t>tax income calculated in accordance with GAAP. Other companies may define adjusted underwriting income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before income taxes calculated in accordance with GAAP reconciles to underwriting income and adjusted underwriting income as follows:</w:t>
      </w:r>
    </w:p>
    <w:p>
      <w:pPr>
        <w:pStyle w:val="TextBody"/>
        <w:bidi w:val="0"/>
        <w:spacing w:before="0" w:after="0"/>
        <w:ind w:left="0" w:right="0" w:hanging="0"/>
        <w:jc w:val="left"/>
        <w:rPr>
          <w:caps w:val="false"/>
          <w:smallCaps w:val="false"/>
        </w:rPr>
      </w:pPr>
      <w:r>
        <w:rPr>
          <w:caps w:val="false"/>
          <w:smallCaps w:val="false"/>
        </w:rPr>
        <w:t> </w:t>
      </w:r>
    </w:p>
    <w:tbl>
      <w:tblPr>
        <w:tblW w:w="5922" w:type="dxa"/>
        <w:jc w:val="left"/>
        <w:tblInd w:w="0" w:type="dxa"/>
        <w:tblLayout w:type="fixed"/>
        <w:tblCellMar>
          <w:top w:w="0" w:type="dxa"/>
          <w:left w:w="0" w:type="dxa"/>
          <w:bottom w:w="0" w:type="dxa"/>
          <w:right w:w="0" w:type="dxa"/>
        </w:tblCellMar>
      </w:tblPr>
      <w:tblGrid>
        <w:gridCol w:w="3995"/>
        <w:gridCol w:w="60"/>
        <w:gridCol w:w="142"/>
        <w:gridCol w:w="672"/>
        <w:gridCol w:w="91"/>
        <w:gridCol w:w="68"/>
        <w:gridCol w:w="142"/>
        <w:gridCol w:w="672"/>
        <w:gridCol w:w="80"/>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22,629</w:t>
            </w:r>
          </w:p>
        </w:tc>
        <w:tc>
          <w:tcPr>
            <w:tcW w:w="8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(7,139</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and unrealized gains on investments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(3,002</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Underwriting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24,955</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8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associated with catastrophe bond</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underwriting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29,165</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Adjusted 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income calculated in accordance with GAAP reconciles to adjusted net income as follows:</w:t>
      </w:r>
    </w:p>
    <w:p>
      <w:pPr>
        <w:pStyle w:val="TextBody"/>
        <w:bidi w:val="0"/>
        <w:spacing w:before="0" w:after="0"/>
        <w:ind w:left="0" w:right="0" w:hanging="0"/>
        <w:jc w:val="left"/>
        <w:rPr>
          <w:caps w:val="false"/>
          <w:smallCaps w:val="false"/>
        </w:rPr>
      </w:pPr>
      <w:r>
        <w:rPr>
          <w:caps w:val="false"/>
          <w:smallCaps w:val="false"/>
        </w:rPr>
        <w:t> </w:t>
      </w:r>
    </w:p>
    <w:tbl>
      <w:tblPr>
        <w:tblW w:w="5922" w:type="dxa"/>
        <w:jc w:val="left"/>
        <w:tblInd w:w="0" w:type="dxa"/>
        <w:tblLayout w:type="fixed"/>
        <w:tblCellMar>
          <w:top w:w="0" w:type="dxa"/>
          <w:left w:w="0" w:type="dxa"/>
          <w:bottom w:w="0" w:type="dxa"/>
          <w:right w:w="0" w:type="dxa"/>
        </w:tblCellMar>
      </w:tblPr>
      <w:tblGrid>
        <w:gridCol w:w="3995"/>
        <w:gridCol w:w="60"/>
        <w:gridCol w:w="142"/>
        <w:gridCol w:w="672"/>
        <w:gridCol w:w="91"/>
        <w:gridCol w:w="68"/>
        <w:gridCol w:w="142"/>
        <w:gridCol w:w="672"/>
        <w:gridCol w:w="80"/>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17,313</w:t>
            </w:r>
          </w:p>
        </w:tc>
        <w:tc>
          <w:tcPr>
            <w:tcW w:w="8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and unrealized gains on investments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(3,002</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8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associated with catastrophe bond</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pPr>
            <w:r>
              <w:rPr/>
              <w: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impact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27,794</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Annualized Adjusted Return 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Annualized adjusted return on equity is calculated as follows:</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3050"/>
        <w:gridCol w:w="60"/>
        <w:gridCol w:w="125"/>
        <w:gridCol w:w="695"/>
        <w:gridCol w:w="185"/>
        <w:gridCol w:w="60"/>
        <w:gridCol w:w="125"/>
        <w:gridCol w:w="695"/>
        <w:gridCol w:w="185"/>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Annualized adjusted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111,176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81,761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486,455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394,701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Annualized adjusted return on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Adjusted Combined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combined ratio is calculated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75"/>
        <w:gridCol w:w="60"/>
        <w:gridCol w:w="125"/>
        <w:gridCol w:w="696"/>
        <w:gridCol w:w="185"/>
        <w:gridCol w:w="60"/>
        <w:gridCol w:w="125"/>
        <w:gridCol w:w="591"/>
        <w:gridCol w:w="188"/>
      </w:tblGrid>
      <w:tr>
        <w:trPr/>
        <w:tc>
          <w:tcPr>
            <w:tcW w:w="8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8" w:type="dxa"/>
            <w:tcBorders/>
            <w:shd w:fill="FFFFFF" w:val="clear"/>
            <w:vAlign w:val="center"/>
          </w:tcPr>
          <w:p>
            <w:pPr>
              <w:pStyle w:val="TableContents"/>
              <w:bidi w:val="0"/>
              <w:spacing w:before="0" w:after="283"/>
              <w:jc w:val="left"/>
              <w:rPr/>
            </w:pPr>
            <w:r>
              <w:rPr/>
              <w:t> </w:t>
            </w:r>
          </w:p>
        </w:tc>
      </w:tr>
      <w:tr>
        <w:trPr/>
        <w:tc>
          <w:tcPr>
            <w:tcW w:w="8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188" w:type="dxa"/>
            <w:tcBorders/>
            <w:shd w:fill="FFFFFF" w:val="clear"/>
            <w:vAlign w:val="center"/>
          </w:tcPr>
          <w:p>
            <w:pPr>
              <w:pStyle w:val="TableContents"/>
              <w:bidi w:val="0"/>
              <w:spacing w:before="0" w:after="283"/>
              <w:jc w:val="left"/>
              <w:rPr/>
            </w:pPr>
            <w:r>
              <w:rPr/>
              <w:t> </w:t>
            </w:r>
          </w:p>
        </w:tc>
      </w:tr>
      <w:tr>
        <w:trPr/>
        <w:tc>
          <w:tcPr>
            <w:tcW w:w="8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Sum of losses and loss adjustment expenses, acquisition expenses, and other underwriting expenses, net of commission and other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82,911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64,858</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107,866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83,241</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Combined ratio</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numerator: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r>
      <w:tr>
        <w:trPr/>
        <w:tc>
          <w:tcPr>
            <w:tcW w:w="8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associated with catastrophe bond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combined ratio</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Diluted Adjusted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Diluted adjusted earnings per share is calculated as follows:</w:t>
      </w:r>
    </w:p>
    <w:p>
      <w:pPr>
        <w:pStyle w:val="TextBody"/>
        <w:bidi w:val="0"/>
        <w:spacing w:before="0" w:after="0"/>
        <w:ind w:left="0" w:right="0" w:hanging="0"/>
        <w:jc w:val="left"/>
        <w:rPr>
          <w:caps w:val="false"/>
          <w:smallCaps w:val="false"/>
        </w:rPr>
      </w:pPr>
      <w:r>
        <w:rPr>
          <w:caps w:val="false"/>
          <w:smallCaps w:val="false"/>
        </w:rPr>
        <w:t> </w:t>
      </w:r>
    </w:p>
    <w:tbl>
      <w:tblPr>
        <w:tblW w:w="7686" w:type="dxa"/>
        <w:jc w:val="left"/>
        <w:tblInd w:w="0" w:type="dxa"/>
        <w:tblLayout w:type="fixed"/>
        <w:tblCellMar>
          <w:top w:w="0" w:type="dxa"/>
          <w:left w:w="0" w:type="dxa"/>
          <w:bottom w:w="0" w:type="dxa"/>
          <w:right w:w="0" w:type="dxa"/>
        </w:tblCellMar>
      </w:tblPr>
      <w:tblGrid>
        <w:gridCol w:w="4490"/>
        <w:gridCol w:w="60"/>
        <w:gridCol w:w="169"/>
        <w:gridCol w:w="1288"/>
        <w:gridCol w:w="81"/>
        <w:gridCol w:w="81"/>
        <w:gridCol w:w="169"/>
        <w:gridCol w:w="1288"/>
        <w:gridCol w:w="60"/>
      </w:tblGrid>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4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data)</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27,794</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diluted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25,468,564</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25,442,902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adjusted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Catastrophe Loss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 ratio and catastrophe loss ratio are calculated as follows:</w:t>
      </w:r>
    </w:p>
    <w:p>
      <w:pPr>
        <w:pStyle w:val="TextBody"/>
        <w:bidi w:val="0"/>
        <w:spacing w:before="0" w:after="0"/>
        <w:ind w:left="0" w:right="0" w:hanging="0"/>
        <w:jc w:val="left"/>
        <w:rPr>
          <w:caps w:val="false"/>
          <w:smallCaps w:val="false"/>
        </w:rPr>
      </w:pPr>
      <w:r>
        <w:rPr>
          <w:caps w:val="false"/>
          <w:smallCaps w:val="false"/>
        </w:rPr>
        <w:t> </w:t>
      </w:r>
    </w:p>
    <w:tbl>
      <w:tblPr>
        <w:tblW w:w="5982" w:type="dxa"/>
        <w:jc w:val="left"/>
        <w:tblInd w:w="0" w:type="dxa"/>
        <w:tblLayout w:type="fixed"/>
        <w:tblCellMar>
          <w:top w:w="0" w:type="dxa"/>
          <w:left w:w="0" w:type="dxa"/>
          <w:bottom w:w="0" w:type="dxa"/>
          <w:right w:w="0" w:type="dxa"/>
        </w:tblCellMar>
      </w:tblPr>
      <w:tblGrid>
        <w:gridCol w:w="3950"/>
        <w:gridCol w:w="60"/>
        <w:gridCol w:w="125"/>
        <w:gridCol w:w="698"/>
        <w:gridCol w:w="186"/>
        <w:gridCol w:w="60"/>
        <w:gridCol w:w="125"/>
        <w:gridCol w:w="593"/>
        <w:gridCol w:w="1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Losses and loss adjustment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26,837</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20,652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107,866</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83,241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ratio</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Catastrophe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107,866</w:t>
            </w:r>
          </w:p>
        </w:tc>
        <w:tc>
          <w:tcPr>
            <w:tcW w:w="1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83,241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Catastrophe loss ratio</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Adjusted Combined Ratio Excluding Catastrophe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 is calculated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75"/>
        <w:gridCol w:w="60"/>
        <w:gridCol w:w="125"/>
        <w:gridCol w:w="696"/>
        <w:gridCol w:w="185"/>
        <w:gridCol w:w="60"/>
        <w:gridCol w:w="125"/>
        <w:gridCol w:w="591"/>
        <w:gridCol w:w="188"/>
      </w:tblGrid>
      <w:tr>
        <w:trPr/>
        <w:tc>
          <w:tcPr>
            <w:tcW w:w="8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8" w:type="dxa"/>
            <w:tcBorders/>
            <w:shd w:fill="FFFFFF" w:val="clear"/>
            <w:vAlign w:val="center"/>
          </w:tcPr>
          <w:p>
            <w:pPr>
              <w:pStyle w:val="TableContents"/>
              <w:bidi w:val="0"/>
              <w:spacing w:before="0" w:after="283"/>
              <w:jc w:val="left"/>
              <w:rPr/>
            </w:pPr>
            <w:r>
              <w:rPr/>
              <w:t> </w:t>
            </w:r>
          </w:p>
        </w:tc>
      </w:tr>
      <w:tr>
        <w:trPr/>
        <w:tc>
          <w:tcPr>
            <w:tcW w:w="8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188" w:type="dxa"/>
            <w:tcBorders/>
            <w:shd w:fill="FFFFFF" w:val="clear"/>
            <w:vAlign w:val="center"/>
          </w:tcPr>
          <w:p>
            <w:pPr>
              <w:pStyle w:val="TableContents"/>
              <w:bidi w:val="0"/>
              <w:spacing w:before="0" w:after="283"/>
              <w:jc w:val="left"/>
              <w:rPr/>
            </w:pPr>
            <w:r>
              <w:rPr/>
              <w:t> </w:t>
            </w:r>
          </w:p>
        </w:tc>
      </w:tr>
      <w:tr>
        <w:trPr/>
        <w:tc>
          <w:tcPr>
            <w:tcW w:w="8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Sum of losses and loss adjustment expenses, acquisition expenses, and other underwriting expenses, net of commission and other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82,911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64,858</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107,866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83,241</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Combined ratio</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numerator: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r>
      <w:tr>
        <w:trPr/>
        <w:tc>
          <w:tcPr>
            <w:tcW w:w="8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associated with catastrophe bond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Catastrophe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1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combined ratio excluding catastrophe losses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Tangible 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equity calculated in accordance with GAAP reconciles to tangible stockholders’ equity as follows:</w:t>
      </w:r>
    </w:p>
    <w:p>
      <w:pPr>
        <w:pStyle w:val="TextBody"/>
        <w:bidi w:val="0"/>
        <w:spacing w:before="0" w:after="0"/>
        <w:ind w:left="0" w:right="0" w:hanging="0"/>
        <w:jc w:val="left"/>
        <w:rPr>
          <w:caps w:val="false"/>
          <w:smallCaps w:val="false"/>
        </w:rPr>
      </w:pPr>
      <w:r>
        <w:rPr>
          <w:caps w:val="false"/>
          <w:smallCaps w:val="false"/>
        </w:rPr>
        <w:t> </w:t>
      </w:r>
    </w:p>
    <w:tbl>
      <w:tblPr>
        <w:tblW w:w="4868" w:type="dxa"/>
        <w:jc w:val="left"/>
        <w:tblInd w:w="0" w:type="dxa"/>
        <w:tblLayout w:type="fixed"/>
        <w:tblCellMar>
          <w:top w:w="0" w:type="dxa"/>
          <w:left w:w="0" w:type="dxa"/>
          <w:bottom w:w="0" w:type="dxa"/>
          <w:right w:w="0" w:type="dxa"/>
        </w:tblCellMar>
      </w:tblPr>
      <w:tblGrid>
        <w:gridCol w:w="2525"/>
        <w:gridCol w:w="60"/>
        <w:gridCol w:w="135"/>
        <w:gridCol w:w="754"/>
        <w:gridCol w:w="80"/>
        <w:gridCol w:w="60"/>
        <w:gridCol w:w="178"/>
        <w:gridCol w:w="996"/>
        <w:gridCol w:w="8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3"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471,252</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 and intangible assets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489,732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458,937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Sources and Uses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U.S. insurance company subsidiaries, PSIC and PESIC, are restricted by the statutes as to the amount of dividends that they may pay without prior approval by state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California and Oregon statute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$96.0 million in 2024 without approval by the California and Oregon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$1.5 million in 2024 without approval of the Arizona Insurance Commissioner.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Bermuda regulations, the maximum amount of dividends and return of capital available to be paid by a reinsurer is determined pursuant to a formula. Under this formula, the maximum amount of dividends and return of capital available from PSRE during 2024 is calculated to be approximately $4.1 million. However, this dividend amount is subject to annual enhanced solvency requirement calculations.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cash flows from operations may differ substantially from our net income due to non</w:t>
        <w:noBreakHyphen/>
        <w:t>cash charges or due to changes in balance sheet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three months ended March 31, 2024 and 2023:</w:t>
      </w:r>
    </w:p>
    <w:p>
      <w:pPr>
        <w:pStyle w:val="TextBody"/>
        <w:bidi w:val="0"/>
        <w:spacing w:before="0" w:after="0"/>
        <w:ind w:left="0" w:right="0" w:hanging="0"/>
        <w:jc w:val="left"/>
        <w:rPr>
          <w:caps w:val="false"/>
          <w:smallCaps w:val="false"/>
        </w:rPr>
      </w:pPr>
      <w:r>
        <w:rPr>
          <w:caps w:val="false"/>
          <w:smallCaps w:val="false"/>
        </w:rPr>
        <w:t> </w:t>
      </w:r>
    </w:p>
    <w:tbl>
      <w:tblPr>
        <w:tblW w:w="6222" w:type="dxa"/>
        <w:jc w:val="left"/>
        <w:tblInd w:w="0" w:type="dxa"/>
        <w:tblLayout w:type="fixed"/>
        <w:tblCellMar>
          <w:top w:w="0" w:type="dxa"/>
          <w:left w:w="0" w:type="dxa"/>
          <w:bottom w:w="0" w:type="dxa"/>
          <w:right w:w="0" w:type="dxa"/>
        </w:tblCellMar>
      </w:tblPr>
      <w:tblGrid>
        <w:gridCol w:w="4295"/>
        <w:gridCol w:w="60"/>
        <w:gridCol w:w="132"/>
        <w:gridCol w:w="688"/>
        <w:gridCol w:w="84"/>
        <w:gridCol w:w="63"/>
        <w:gridCol w:w="132"/>
        <w:gridCol w:w="688"/>
        <w:gridCol w:w="80"/>
      </w:tblGrid>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33,125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17,437</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(16,331</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(6,882</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9,912</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12,196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cash flow from operating activities was positive during the three months ended March 31, 2024 and 2023 due to net income and a decrease in net operating assets in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used in investing activities for the three months ended March 31, 2024 and 2023 related primarily to purchases of fixed maturity securities in excess of sales and maturities in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used in financing activities for three months ended March 31, 2024 was related to $9.6 million in payments on our lines of credit, offset by the receipt of $1.9 million in proceeds from stock option exercises and the receipt of $0.4 million in proceeds from our employee stock purchase plan. Cash provided by financing activities for three months ended March 31, 2023 was related to $35.0 million in borrowings from our FHLB line of credit, the receipt of $0.1 million in proceeds from stock option exercises and the receipt of $0.4 million in proceeds from our employee stock purchase plan, offset by the repurchase of $6.8 million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$766.4 million in cash and investment securities available at March 31, 2024. We also have the ability to access additional capital through pursuing third</w:t>
        <w:noBreakHyphen/>
        <w:t>party borrowings, sales of our equity or debt securities or entrance into a reinsurance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 in accordance with federal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were no share repurchases during the three months ended March 31, 2024. The program ended on March 31, 2024 and no additional shares may be repurchased under this plan. The Company accounts for share repurchases by charging the excess of repurchase price over the common stock’s par value entirely to retained earnings. All repurchased shares are retired and become 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the ability to access additional capital through multiple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Currently, $15 million of the borrowing capacity of the Credit Agreement is pledged as collateral and not able to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March 31, 2024, we had no borrowings outstanding through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March 31, 2024, we had $43.0 million of borrowings outstanding through the FHLB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March 31, 2024 total stockholders’ equity was $501.7 million and tangible stockholders’ equity was $489.7 million, compared to total stockholders’ equity of $471.3 million and tangible stockholders’ equity of $458.9 million as of December 31, 2023. Stockholder’s equity increased primarily due to net income earned for the period, activity related to stock-based compensation, and unrealized gains on fixed maturity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Tangible stockholders’ equity is a non</w:t>
        <w:noBreakHyphen/>
        <w:t>GAAP financial measure. See “Reconciliation of Non</w:t>
        <w:noBreakHyphen/>
        <w:t>GAAP Financial Measures” for a reconciliation of stockholders’ equity in accordance with GAAP to tangible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w:t>
        <w:noBreakHyphen/>
        <w:t>exempt fixed maturities, as well as publicly traded mutual funds and common stock of individual companies. Our cash and invested assets consist of cash and cash equivalents, fixed maturity securities, and equity securities. As of March 31, 2024, the majority of our investment portfolio, or $663.0 million, was comprised of fixed maturity securities that are classified as available</w:t>
        <w:noBreakHyphen/>
        <w:t>for</w:t>
        <w:noBreakHyphen/>
        <w:t>sale and carried at fair value with unrealized gains and losses on these securities, net of applicable taxes, reported as a separate component of accumulated other comprehensive income. Also included in our investment portfolio were $37.2 million of equity securities, $2.6 million of equity method investments and $1.9 million of investments in limited partnerships. In addition, we maintained a non</w:t>
        <w:noBreakHyphen/>
        <w:t>restricted cash and cash equivalent balance of $61.4 million at March 31, 2024. Our fixed maturity securities, including cash equivalents, had a weighted average effective duration of 3.62 and 3.48 years and an average rating of “A1/A+” and “Aa3/A+” at March 31, 2024 and December 31, 2023, respectively. Our fixed income investment portfolio had a book yield of 4.19% as of March 31, 2024, compared to 4.07%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March 31, 2024 and December 31, 2023 the amortized cost and fair value on available</w:t>
        <w:noBreakHyphen/>
        <w:t>for</w:t>
        <w:noBreakHyphen/>
        <w:t>sale securities were as follows:</w:t>
      </w:r>
    </w:p>
    <w:p>
      <w:pPr>
        <w:pStyle w:val="TextBody"/>
        <w:bidi w:val="0"/>
        <w:spacing w:before="0" w:after="0"/>
        <w:ind w:left="0" w:right="0" w:hanging="0"/>
        <w:jc w:val="left"/>
        <w:rPr>
          <w:caps w:val="false"/>
          <w:smallCaps w:val="false"/>
        </w:rPr>
      </w:pPr>
      <w:r>
        <w:rPr>
          <w:caps w:val="false"/>
          <w:smallCaps w:val="false"/>
        </w:rPr>
        <w:t> </w:t>
      </w:r>
    </w:p>
    <w:tbl>
      <w:tblPr>
        <w:tblW w:w="8188" w:type="dxa"/>
        <w:jc w:val="left"/>
        <w:tblInd w:w="0" w:type="dxa"/>
        <w:tblLayout w:type="fixed"/>
        <w:tblCellMar>
          <w:top w:w="0" w:type="dxa"/>
          <w:left w:w="0" w:type="dxa"/>
          <w:bottom w:w="0" w:type="dxa"/>
          <w:right w:w="0" w:type="dxa"/>
        </w:tblCellMar>
      </w:tblPr>
      <w:tblGrid>
        <w:gridCol w:w="4895"/>
        <w:gridCol w:w="60"/>
        <w:gridCol w:w="160"/>
        <w:gridCol w:w="894"/>
        <w:gridCol w:w="60"/>
        <w:gridCol w:w="60"/>
        <w:gridCol w:w="125"/>
        <w:gridCol w:w="695"/>
        <w:gridCol w:w="60"/>
        <w:gridCol w:w="60"/>
        <w:gridCol w:w="102"/>
        <w:gridCol w:w="832"/>
        <w:gridCol w:w="185"/>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 or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8"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277,041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265,906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697,505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662,992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188" w:type="dxa"/>
        <w:jc w:val="left"/>
        <w:tblInd w:w="0" w:type="dxa"/>
        <w:tblLayout w:type="fixed"/>
        <w:tblCellMar>
          <w:top w:w="0" w:type="dxa"/>
          <w:left w:w="0" w:type="dxa"/>
          <w:bottom w:w="0" w:type="dxa"/>
          <w:right w:w="0" w:type="dxa"/>
        </w:tblCellMar>
      </w:tblPr>
      <w:tblGrid>
        <w:gridCol w:w="4895"/>
        <w:gridCol w:w="60"/>
        <w:gridCol w:w="160"/>
        <w:gridCol w:w="894"/>
        <w:gridCol w:w="60"/>
        <w:gridCol w:w="60"/>
        <w:gridCol w:w="125"/>
        <w:gridCol w:w="695"/>
        <w:gridCol w:w="60"/>
        <w:gridCol w:w="60"/>
        <w:gridCol w:w="102"/>
        <w:gridCol w:w="832"/>
        <w:gridCol w:w="185"/>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 or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8"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U.S. Governments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274,550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675,130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provide the credit quality of investment securities as of March 31, 2024 and December 31, 2023:</w:t>
      </w:r>
    </w:p>
    <w:p>
      <w:pPr>
        <w:pStyle w:val="TextBody"/>
        <w:bidi w:val="0"/>
        <w:spacing w:before="0" w:after="0"/>
        <w:ind w:left="0" w:right="0" w:firstLine="720"/>
        <w:jc w:val="left"/>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1355"/>
        <w:gridCol w:w="60"/>
        <w:gridCol w:w="142"/>
        <w:gridCol w:w="792"/>
        <w:gridCol w:w="60"/>
        <w:gridCol w:w="60"/>
        <w:gridCol w:w="60"/>
        <w:gridCol w:w="485"/>
        <w:gridCol w:w="185"/>
      </w:tblGrid>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3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9"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Rating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AAA</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BBB</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CCC &amp; Below</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3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662,992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1640"/>
        <w:gridCol w:w="60"/>
        <w:gridCol w:w="142"/>
        <w:gridCol w:w="792"/>
        <w:gridCol w:w="60"/>
        <w:gridCol w:w="60"/>
        <w:gridCol w:w="60"/>
        <w:gridCol w:w="485"/>
        <w:gridCol w:w="185"/>
      </w:tblGrid>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6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9"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Rating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AAA</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BBB</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CCC &amp; Below</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amortized cost and fair value of our available</w:t>
        <w:noBreakHyphen/>
        <w:t>for</w:t>
        <w:noBreakHyphen/>
        <w:t>sale investments in fixed maturity securities summarized by contractual maturity as of March 31, 2024 were as follows:</w:t>
      </w:r>
    </w:p>
    <w:p>
      <w:pPr>
        <w:pStyle w:val="TextBody"/>
        <w:bidi w:val="0"/>
        <w:spacing w:before="0" w:after="0"/>
        <w:ind w:left="0" w:right="0" w:firstLine="720"/>
        <w:jc w:val="left"/>
        <w:rPr>
          <w:caps w:val="false"/>
          <w:smallCaps w:val="false"/>
        </w:rPr>
      </w:pPr>
      <w:r>
        <w:rPr>
          <w:caps w:val="false"/>
          <w:smallCaps w:val="false"/>
        </w:rPr>
        <w:t> </w:t>
      </w:r>
    </w:p>
    <w:tbl>
      <w:tblPr>
        <w:tblW w:w="6209" w:type="dxa"/>
        <w:jc w:val="left"/>
        <w:tblInd w:w="0" w:type="dxa"/>
        <w:tblLayout w:type="fixed"/>
        <w:tblCellMar>
          <w:top w:w="0" w:type="dxa"/>
          <w:left w:w="0" w:type="dxa"/>
          <w:bottom w:w="0" w:type="dxa"/>
          <w:right w:w="0" w:type="dxa"/>
        </w:tblCellMar>
      </w:tblPr>
      <w:tblGrid>
        <w:gridCol w:w="3050"/>
        <w:gridCol w:w="60"/>
        <w:gridCol w:w="140"/>
        <w:gridCol w:w="780"/>
        <w:gridCol w:w="60"/>
        <w:gridCol w:w="60"/>
        <w:gridCol w:w="125"/>
        <w:gridCol w:w="695"/>
        <w:gridCol w:w="60"/>
        <w:gridCol w:w="60"/>
        <w:gridCol w:w="102"/>
        <w:gridCol w:w="832"/>
        <w:gridCol w:w="185"/>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4"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Mortgage and 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277,041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265,906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697,505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662,992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Expected maturities may differ from contractual maturities because borrowers may have the right to call or prepay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 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which became effective June 1, 2023. This catastrophe bond was also completed through Torrey Pines Re Ltd and provides indemnity-based reinsurance covering earthquake events through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catastrophe event retention is currently $17.5 million for all perils. Our reinsurance coverage exhausts at $2.71 billion for earthquake events, $800 million for Hawaii hurricane events, and $100 million for continental U.S. hurricane events, providing coverage in excess of our 1 in 250 year peak zone PML and in excess of our A.M. Best requirement. In addition, we maintain reinsurance coverage equivalent to or better than the 1 in 250 year PML for our other 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2023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significant changes in our critical accounting policies and estimates as compared to the critical accounting policies and estimates disclosed in Management’s Discussion and Analysis of Financial Condition and Operations included in our 2023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9" w:name="qqdmr"/>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77.4% rated “A−” or better. At March 31, 2024, 1.6%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0" w:name="cps"/>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the end of the period covered by this Quarterly Report on Form 10</w:t>
        <w:noBreakHyphen/>
        <w:t>Q, we carried out an evaluation, under the supervision and with the participation of our management, including our CEO and CFO, of the effectiveness of the design and operation of our disclosure controls and procedures defined under Rules 13a</w:t>
        <w:noBreakHyphen/>
        <w:t>15(e) and 15d</w:t>
        <w:noBreakHyphen/>
        <w:t>15(e) under the Exchange Act. Based upon this evaluation, our CEO and CFO concluded that our disclosure controls and procedures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 changes in our internal control over financial reporting (as defined in Rules 13a</w:t>
        <w:noBreakHyphen/>
        <w:t>15(f) and 15d</w:t>
        <w:noBreakHyphen/>
        <w:t>15(f) under the Exchange Act) occurred during the quarter ended March 31, 2024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Inherent Limitations on Effectiveness of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11" w:name="partii"/>
      <w:bookmarkEnd w:id="11"/>
      <w:r>
        <w:rPr>
          <w:rFonts w:ascii="Times New Roman;Times;serif" w:hAnsi="Times New Roman;Times;serif"/>
          <w:b/>
          <w:sz w:val="20"/>
        </w:rPr>
        <w:t>PART</w:t>
      </w:r>
      <w:r>
        <w:rPr>
          <w:rFonts w:ascii="Times New Roman;Times;serif" w:hAnsi="Times New Roman;Times;serif"/>
          <w:sz w:val="20"/>
        </w:rPr>
        <w:t> </w:t>
      </w:r>
      <w:r>
        <w:rPr>
          <w:rFonts w:ascii="Times New Roman;Times;serif" w:hAnsi="Times New Roman;Times;serif"/>
          <w:b/>
          <w:sz w:val="20"/>
        </w:rPr>
        <w:t>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legal"/>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party to legal proceedings which arise in the ordinary course of business. We believe that the outcome of such matters, individually and in the aggregate, will not have a material adverse effect on our condensed consolidated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1a"/>
      <w:bookmarkEnd w:id="13"/>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is subject to numerous risks and uncertainties, these risks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Claims arising from unpredictable and severe catastrophe events, including those caused by global climate change, could reduce or eliminate our earnings and stockholders' equity, and limit our ability to underwrite new insurance policies;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reinsurers may not pay claims on a timely basis, or at all, which may materially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loss reserves are established based on estimates and may be inadequate to cover actual incurred losses which could have a material adverse impact on our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risk management and loss limitation methods, including estimates and models, may fail to adequately manage our exposure to losses from catastrophe events and our losses could be materially higher than our expectations;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business is concentrated in California and we are exposed more significantly to California loss activity and regulatory environments;</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a select group of brokers and program administrators, and such relationships may not continue;</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170"/>
        <w:gridCol w:w="4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is intense competition for business in our industry;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the Economic Environment: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economic factors, including recession, inflation, periods of high unemployment or lower economic activity could affect our growth and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Technology:</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170"/>
        <w:gridCol w:w="9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failure of our information technology and telecommunications systems could adversely affect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60"/>
        <w:gridCol w:w="170"/>
        <w:gridCol w:w="8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breaches or cyber-attacks could expose us to liability and damage our reputation and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Laws and Regulations:</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60"/>
        <w:gridCol w:w="170"/>
        <w:gridCol w:w="9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extensive regulation, which may adversely affect our ability to achieve our business objectives;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Unexpected changes in the interpretation of our coverage or provisions, including loss limitations and exclusions, in our policies could have a material adverse effect on our financial condition or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incur significant costs as a result of operating as a public company, and our management is required to devote substantial time to complying with public company regulations;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operating results and stock price may be volatile, or may decline regardless of our operating performance, and holders of our common stock could lose all or part of their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Claims arising from unpredictable and severe catastrophe events, including those caused by global climate change, could reduce or eliminate our earnings and 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 and limit our ability to underwrite new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insurance operations expose us to claims arising from unpredictable catastrophe events, such as earthquakes, hurricanes, windstorms, floods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reinsurance coverage currently exhausts at $2.71 billion for earthquake events, $800 million for Hawaii hurricane events, and $100 million for continental U.S. hurricane events, with coverage in excess of our estimated peak zone 1 in 250 year PML event and in excess of our A.M. Best threshold. Our catastrophe event retention is currently $17.5 million for all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reinsurers may not pay claims on a timely basis, or at all, which may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these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March 31, 2024, we had $320.6 million of aggregate reinsurance recoverables.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loss reserves are established based on estimates which may be inadequate to cover actual incurred losses and could have a material adverse impact on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catastrophe events often involve a significant number of claims and ultimate cost of settling all claims is inherently difficult to predict upon the event’s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further information on our loss reserving methodology, see “Management’s Discussion and Analysis-Critical Accounting Policies and Estimates- Reserve for Losses and Loss Adjustment Expenses” in our 2023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buy multiple types of reinsurance including treaty excess of loss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reinsurance purchased from traditional reinsurers, we have historically incorporated collateralized protection from the insurance linked securities market via catastrophe bonds. During the first quarter of 2021, we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we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we also closed a $200 million 144A catastrophe bond which became effective June 1, 2023. This catastrophe bond was also completed through Torrey Pines Re Ltd and provides indemnity-based reinsurance covering earthquake events through June 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seek similar catastrophe bond offerings in the future. However, there can be no assurance that we will be able to complete such offerings on acceptable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could negatively impact our ability to grow our written premiums and maintain our desired level of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models do not address all the possible hazard characteristics of a catastrophe peril (e.g., the precise path and wind speed of a hurricane);</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10"/>
        <w:gridCol w:w="6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accurately reflect the true frequency or severity of events;</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10"/>
        <w:gridCol w:w="96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6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accurately reflect a risk’s vulnerability or susceptibility to damage for a given event characteristic;</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10"/>
        <w:gridCol w:w="6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account for unusual or unprecedented catastrophe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8395" w:type="dxa"/>
        <w:jc w:val="left"/>
        <w:tblInd w:w="0" w:type="dxa"/>
        <w:tblLayout w:type="fixed"/>
        <w:tblCellMar>
          <w:top w:w="0" w:type="dxa"/>
          <w:left w:w="0" w:type="dxa"/>
          <w:bottom w:w="0" w:type="dxa"/>
          <w:right w:w="0" w:type="dxa"/>
        </w:tblCellMar>
      </w:tblPr>
      <w:tblGrid>
        <w:gridCol w:w="60"/>
        <w:gridCol w:w="110"/>
        <w:gridCol w:w="82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models may not adequately consider the impact of inflation on the magnitude of modeled losses;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accurately represent loss potential to insurance or reinsurance contract coverage limits, terms and conditions;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models may not accurately reflect the impact on the economy of the area affected or the financial, judicial, political, or regulatory impacts on insurance claim payments during or following a catastrophe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 decline in our financial strength rating may adversely affect the amount of business we write and impact compliance with our debt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March 31, 2024, A.M. Best has assigned a financial strength rating of “A−” (Excellent) (Outlook Positive)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change our business practices from our organizational business plan in a manner that no longer supports A.M. Best’s rating;</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110"/>
        <w:gridCol w:w="7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unfavorable financial, regulatory or market trends affect us, including excess market capacity;</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60"/>
        <w:gridCol w:w="110"/>
        <w:gridCol w:w="30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losses exceed our loss reserves;</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60"/>
        <w:gridCol w:w="110"/>
        <w:gridCol w:w="46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have unresolved issues with government regulators;</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10"/>
        <w:gridCol w:w="58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8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we are unable to retain our senior management or other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110"/>
        <w:gridCol w:w="44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our investment portfolio incurs significant losses; or</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60"/>
        <w:gridCol w:w="110"/>
        <w:gridCol w:w="93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A.M. Best alters its capital adequacy assessment methodology in a manner that would adversely affect our rating.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and other factors could result in a downgrade of our financial strength rating. A downgrade or withdrawal of our rating could result in any of the following consequences, among others: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10"/>
        <w:gridCol w:w="9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Causing our current and future distribution partners and insureds to choose other, more highly rated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5650" w:type="dxa"/>
        <w:jc w:val="left"/>
        <w:tblInd w:w="0" w:type="dxa"/>
        <w:tblLayout w:type="fixed"/>
        <w:tblCellMar>
          <w:top w:w="0" w:type="dxa"/>
          <w:left w:w="0" w:type="dxa"/>
          <w:bottom w:w="0" w:type="dxa"/>
          <w:right w:w="0" w:type="dxa"/>
        </w:tblCellMar>
      </w:tblPr>
      <w:tblGrid>
        <w:gridCol w:w="60"/>
        <w:gridCol w:w="110"/>
        <w:gridCol w:w="5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Increasing the cost or reducing the availability of reinsurance to us;</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10"/>
        <w:gridCol w:w="7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1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Severely limiting or preventing us from writing new and renewal insurance contracts; or</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10"/>
        <w:gridCol w:w="71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Causing us to be out of compliance with the financial covenants in our credit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and our customers could be negatively and adversely impacted by pandemics, disease outbreaks and other public health crises, such as the COVID-19 pandemic.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extent of the impact of a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Global health crises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is concentrated in California and, as a result, we are exposed more significantly to California loss activity and regulatory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policyholders and insurance risks are currently concentrated in California, which generated 53% of our gross written premiums for the year ended December 31, 2023 and 43% for the three months ended March 31, 2024.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Additionally, unfavorable business, economic or regulatory conditions in California may result in a significant reduction of our premiums or increase our loss exposure. Changes to insurance-related laws or regulations in California could also have a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could be adversely affected by the loss of one or more key executives or by an inability to attract and retain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Recently, companies have had issues with employee turnover and finding, hiring, and retaining qualified employees. These challenges may continue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particular, our future success is substantially dependent on the continued service of our 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rely on a select group of brokers and program administrators, and such relationships may not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year ended December 31, 2023, our largest program administrator distributed $394.1 million or 34.5% of our gross written premiums and our second largest program administrator distributed $152.4 million, or 13.3% of our gross written premiums. There were no other program administrators which distributed greater than 10% of our gross written premiums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three months ended March 31, 2024, our largest program administrator distributed $86.7</w:t>
      </w:r>
      <w:r>
        <w:rPr>
          <w:rFonts w:ascii="Times New Roman" w:hAnsi="Times New Roman"/>
          <w:caps w:val="false"/>
          <w:smallCaps w:val="false"/>
          <w:color w:val="FF0000"/>
          <w:sz w:val="20"/>
        </w:rPr>
        <w:t> </w:t>
      </w:r>
      <w:r>
        <w:rPr>
          <w:rFonts w:ascii="Times New Roman" w:hAnsi="Times New Roman"/>
          <w:caps w:val="false"/>
          <w:smallCaps w:val="false"/>
          <w:sz w:val="20"/>
        </w:rPr>
        <w:t xml:space="preserve">million </w:t>
      </w:r>
      <w:r>
        <w:rPr>
          <w:rFonts w:ascii="Times New Roman" w:hAnsi="Times New Roman"/>
          <w:caps w:val="false"/>
          <w:smallCaps w:val="false"/>
          <w:color w:val="000000"/>
          <w:sz w:val="20"/>
        </w:rPr>
        <w:t>or 23.6%</w:t>
      </w:r>
      <w:r>
        <w:rPr>
          <w:rFonts w:ascii="Times New Roman" w:hAnsi="Times New Roman"/>
          <w:caps w:val="false"/>
          <w:smallCaps w:val="false"/>
          <w:sz w:val="20"/>
        </w:rPr>
        <w:t> of our gross written premiums and our second largest program administrator distributed $47.5 million, or 12.9% of our gross written premiums. There were no other program administrators which distributed greater than 10% of our gross written premiums for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Because we provide our program administrators with specific quoting and binding authority, if any of them fail to comply with pre</w:t>
      </w:r>
      <w:r>
        <w:rPr>
          <w:rFonts w:ascii="Times New Roman" w:hAnsi="Times New Roman"/>
          <w:caps w:val="false"/>
          <w:smallCaps w:val="false"/>
          <w:sz w:val="20"/>
        </w:rPr>
        <w:noBreakHyphen/>
      </w:r>
      <w:r>
        <w:rPr>
          <w:rFonts w:ascii="Times New Roman" w:hAnsi="Times New Roman"/>
          <w:b/>
          <w:i/>
          <w:caps w:val="false"/>
          <w:smallCaps w:val="false"/>
          <w:sz w:val="20"/>
        </w:rPr>
        <w:t>established guidelines, our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Because our business depends on insurance brokers and program administrators, we are exposed to certain risks arising out of our reliance on these distribution channels that could adversely affect our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the possibility of these events occurring depends in large part upon the financial condition and internal operations of our brokers, we regularly meet and communicate with our brokers, monitor broker behavior, and review broker financial information on an as</w:t>
        <w:noBreakHyphen/>
        <w:t>needed basis. If we are unable to collect premiums from our brokers in the future, our underwriting profits may decline, and our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Competition for business in our industry is intense.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actual renewals of our existing policies do not meet expectations, our written premium in future years and our future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our insurance policies are written for a one</w:t>
        <w:noBreakHyphen/>
        <w:t>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failure to accurately and timely evaluate and pay claims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if we do not manage our TPAs effectively, or if our TPAs are unable to effectively handle our volume of claims, our ability to handle our claims workload could be adversely affected. In addition to potentially requiring that growth be slowed in the affected markets, our business could suffer from decreased quality of claims work which, in turn,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act based on inaccurate or incomplete information regarding the accounts we underwrite.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change our underwriting guidelines or our strategy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employees could take excessive risks, which could negatively affect our financial condition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require additional capital in the future, which may not be available or may only be available on unfavorable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only available on unfavorable terms. Equity financings would result in dilution to our stockholders. Debt financings could subject us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not be able to manage our growth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operating results have in the past varied from quarter to quarter and may not be indicative of our long</w:t>
      </w:r>
      <w:r>
        <w:rPr>
          <w:rFonts w:ascii="Times New Roman" w:hAnsi="Times New Roman"/>
          <w:caps w:val="false"/>
          <w:smallCaps w:val="false"/>
          <w:sz w:val="20"/>
        </w:rPr>
        <w:noBreakHyphen/>
      </w:r>
      <w:r>
        <w:rPr>
          <w:rFonts w:ascii="Times New Roman" w:hAnsi="Times New Roman"/>
          <w:b/>
          <w:i/>
          <w:caps w:val="false"/>
          <w:smallCaps w:val="false"/>
          <w:sz w:val="20"/>
        </w:rPr>
        <w:t>term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 w:hAnsi="Times New Roman"/>
          <w:caps w:val="false"/>
          <w:smallCaps w:val="false"/>
          <w:sz w:val="20"/>
        </w:rPr>
      </w:pPr>
      <w:r>
        <w:rPr>
          <w:rFonts w:ascii="Times New Roman" w:hAnsi="Times New Roman"/>
          <w:caps w:val="false"/>
          <w:smallCaps w:val="false"/>
          <w:sz w:val="20"/>
        </w:rPr>
        <w:t>In addition, the insurance and reinsurance business historically has been a cyclical industry characterized by periods of intense price competition due to excess underwriting capacity (soft market cycle) as well as periods when shortages of capacity increase premium levels (hard market cycle). We expect our business and results of operations to be continuously impacted by these market cycles.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seek to underwrite products and make investments to achieve favorable returns on tangible stockholders’ equity over the long term. Our opportunistic nature and focus on long</w:t>
        <w:noBreakHyphen/>
        <w:t>term growth in tangible equity may result in fluctuations in gross written premiums, reinsurance expenses, loss expenses, and other underwriting expenses from period to period as we concentrate on underwriting contracts that we believe will generate better long</w:t>
        <w:noBreakHyphen/>
        <w:t>term, rather than short</w:t>
        <w:noBreakHyphen/>
        <w:t>term, results. Accordingly, our short</w:t>
        <w:noBreakHyphen/>
        <w:t>term results of operations may not be indicative of our long</w:t>
        <w:noBreakHyphen/>
        <w:t>term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2021, we entered into a Credit Agreement (the “Credit Agreement”) with certain lenders which provides a revolving credit facility of up to $100.0 million. Borrowings under the Credit Agreement may impact our business and financial condition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Requiring the dedication of a portion of our expected cash flows from operations to service our debt, thereby reducing the amount of expected cash flows available for other purposes, including investing, and paying claims and operating expenses and;</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110"/>
        <w:gridCol w:w="76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6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Exposing us to interest rate risk since the interest rate in the credit agreement is a variable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the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underwrite a significant portion of our insurance in California. An economic downturn which particularly impacts California could have an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Performance of our investment portfolio is subject to a variety of investment risks that may adversely affect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noBreakHyphen/>
        <w:t>backed and asset</w:t>
        <w:noBreakHyphen/>
        <w:t>backed securities, carry prepayment risk or, in a rising interest rate environment, may not prepay as quickly as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invest in marketable equity securities. These securities are carried on the balance sheet at fair market value and are subject to potential losses and declines in market value based on the performance of equity markets. Our equity invested assets totaled $37.2 million as of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in certain circumstances, invest immaterial amounts in private companies we believe provide strategic opportunities.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could be forced to sell investments to meet our liquidity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failure of our information technology and telecommunications systems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w:t>
        <w:noBreakHyphen/>
        <w:t>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Security breaches or cyber-attacks could expose us to liability and damage our reputation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noBreakHyphen/>
        <w:t>attacks or other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noBreakHyphen/>
        <w:t>ins or inappropriate access, or other developments will not compromise or breach the technology or other security measures protecting the networks and systems used in connection with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employ third</w:t>
      </w:r>
      <w:r>
        <w:rPr>
          <w:rFonts w:ascii="Times New Roman" w:hAnsi="Times New Roman"/>
          <w:caps w:val="false"/>
          <w:smallCaps w:val="false"/>
          <w:sz w:val="20"/>
        </w:rPr>
        <w:noBreakHyphen/>
      </w:r>
      <w:r>
        <w:rPr>
          <w:rFonts w:ascii="Times New Roman" w:hAnsi="Times New Roman"/>
          <w:b/>
          <w:i/>
          <w:caps w:val="false"/>
          <w:smallCaps w:val="false"/>
          <w:sz w:val="20"/>
        </w:rPr>
        <w:t>party licensed software for use in our business, and the inability to maintain these licenses, problems with the software we license, or increases to the cost of software licenses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Multiple areas of our business rely on certain third</w:t>
        <w:noBreakHyphen/>
        <w:t>party software obtained under licenses from other companies. We anticipate that we will continue to rely on such third</w:t>
        <w:noBreakHyphen/>
        <w:t>party software in the future. Unforeseen issues may arise in third-party software platforms which may have an adverse impact on our operations. Integration of new third</w:t>
        <w:noBreakHyphen/>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w:t>
        <w:noBreakHyphen/>
        <w:t>party software cannot be eliminated, and these risks could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w:t>
        <w:noBreakHyphen/>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control weakness or failure in cloud-based software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cloud-based third-party software to host applications and for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growth and evolution of artificial intelligence may impact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the future, we may seek to deploy and/or further rely on technologies such as artificial intelligence or machine learning in operating our business.  If we are unable to deploy this technology effectively or if our competitors are better able to deploy this technology our business may be adversely impacted. Our third-party software vendors and service providers are increasing incorporating artificial intelligence into their processes and this may expose us to additional risks should they not be able to incorporate the technology effectively. The evolution and increased reliance on artificial intelligence may exacerbate our information technology and cybersecurity risks. Furthermore, regulations around artificial intelligence continue to evolve and we may be subject to increased regulation around artificial intelligence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PSIC is subject to extensive regulation in Oregon, its state of domicile, California, where it is commercially domiciled, and to a lesser degree, the other states in which it operates. PESIC is subject to extensive regulation in Arizona, its state of domicile, and to a lesser degree, the other states in which it writes business. Our Bermuda based reinsurance subsidiary, Palomar Specialty Reinsurance Company Bermuda Ltd. (“PSRE”), is subject to regulation in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 30 days prior to engaging in the transaction and the California Department of Insurance, the Oregon Division of Financial Regulation, or the Arizona Department of Insurance, as applicable,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U.S. insurance subsidiaries are subject to risk</w:t>
        <w:noBreakHyphen/>
        <w:t>based capital requirements, based upon the “risk based capital model” adopted by the NAIC, and other minimum capital and surplus restrictions imposed under Arizona, Oregon and California law. These requirements establish the minimum amount of risk 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Unexpected changes in the interpretation of our coverage or provisions, including loss limitations and exclusions, in our policies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become subject to additional government or market regulation, including additional regulation around cybersecurity, which may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could be adversely affected by changes in state laws, including those relating to asset and reserve valuation requirements, surplus requirements, limitations on investments and dividends, enterprise risk and risk</w:t>
        <w:noBreakHyphen/>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have implemented cybersecurity policies and procedures, there is no guarantee our policies and procedures will protect our systems against all attacks or comply with all provisions of these evolving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tax laws as a result of the enactment of tax legislation could impact our operations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states increase the assessments that we are required to pay, our business, financial condition and results of operations would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PSIC is licensed to conduct insurance operations on an admitted basis in 42 states. As PSIC grows, its share of any assessments in each state in which it underwrites business on an admitted basis may increase. PSIC paid assessments of $0.2 million in 2023 and paid $5.0 million of assessments for the three months ended March 31, 2024.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Because we are a holding company and substantially all our operations are conducted by our insurance subsidiaries, our ability to pay dividends depends on our ability to obtain cash dividends or other permitted payments from our insurance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w:t>
        <w:noBreakHyphen/>
        <w:t>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effects of litigation on our business are uncertain and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failure to protect our intellectual property rights could impair our ability to protect our intellectual property, proprietary technology platform and brand, or we may be sued by third parties for alleged infringement of their proprietary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noBreakHyphen/>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noBreakHyphen/>
        <w:t>consuming and divert the attention of our management and key personnel from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accounting practices and future pronouncements may materially affect our reported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compliance with GAAP on a consolidated basis, PSIC, PESIC, PSRE and Laulima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incur significant costs as a public company, and our management is required to devote substantial time to complying with public company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noBreakHyphen/>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noBreakHyphen/>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Sarbanes</w:t>
        <w:noBreakHyphen/>
        <w:t>Oxley Act and the Dodd</w:t>
        <w:noBreakHyphen/>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increases our operating costs and divert management’s time and attention from revenue</w:t>
        <w:noBreakHyphen/>
        <w:t>generating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prepare and file periodic reports and distribute other stockholder communications, in compliance with the federal securities laws and requirements of Nasdaq;</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10"/>
        <w:gridCol w:w="7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1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 and expand the roles and the duties of our Board of Directors and its committees;</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10"/>
        <w:gridCol w:w="5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institute comprehensive compliance and investor relations functions;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 and maintain our system of internal control over financial reporting, and report on management’s assessment thereof, in compliance with rules and regulations of the SEC and the Public Company Accounting Oversight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required by Section</w:t>
      </w:r>
      <w:r>
        <w:rPr>
          <w:rFonts w:ascii="Times New Roman" w:hAnsi="Times New Roman"/>
          <w:caps w:val="false"/>
          <w:smallCaps w:val="false"/>
          <w:sz w:val="20"/>
        </w:rPr>
        <w:t> </w:t>
      </w:r>
      <w:r>
        <w:rPr>
          <w:rFonts w:ascii="Times New Roman" w:hAnsi="Times New Roman"/>
          <w:b/>
          <w:i/>
          <w:caps w:val="false"/>
          <w:smallCaps w:val="false"/>
          <w:sz w:val="20"/>
        </w:rPr>
        <w:t>404 of the Sarbanes</w:t>
      </w:r>
      <w:r>
        <w:rPr>
          <w:rFonts w:ascii="Times New Roman" w:hAnsi="Times New Roman"/>
          <w:caps w:val="false"/>
          <w:smallCaps w:val="false"/>
          <w:sz w:val="20"/>
        </w:rPr>
        <w:noBreakHyphen/>
      </w:r>
      <w:r>
        <w:rPr>
          <w:rFonts w:ascii="Times New Roman" w:hAnsi="Times New Roman"/>
          <w:b/>
          <w:i/>
          <w:caps w:val="false"/>
          <w:smallCaps w:val="false"/>
          <w:sz w:val="20"/>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public company with SEC reporting obligations, we are required to document and test our internal control procedures to satisfy the requirements of Section 404(b) of the Sarbanes</w:t>
        <w:noBreakHyphen/>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w:t>
        <w:noBreakHyphen/>
        <w:t>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Applicable insurance laws may make it difficult to effect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noBreakHyphen/>
        <w:t>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transactions where we raise capital may negatively affect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operating results and stock price may be volatile, or may decline regardless of our operating performance, and holders of our common stock could lose all or part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10"/>
        <w:gridCol w:w="38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 conditions in the broader stock market;</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10"/>
        <w:gridCol w:w="6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actual or anticipated fluctuations in our quarterly financial and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10"/>
        <w:gridCol w:w="53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introduction of new products or services by us or our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6340" w:type="dxa"/>
        <w:jc w:val="left"/>
        <w:tblInd w:w="0" w:type="dxa"/>
        <w:tblLayout w:type="fixed"/>
        <w:tblCellMar>
          <w:top w:w="0" w:type="dxa"/>
          <w:left w:w="0" w:type="dxa"/>
          <w:bottom w:w="0" w:type="dxa"/>
          <w:right w:w="0" w:type="dxa"/>
        </w:tblCellMar>
      </w:tblPr>
      <w:tblGrid>
        <w:gridCol w:w="60"/>
        <w:gridCol w:w="110"/>
        <w:gridCol w:w="61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new or changed securities analysts’ reports or recommendations;</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110"/>
        <w:gridCol w:w="68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results of operations that vary from expectations of securities analysis and investors;</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10"/>
        <w:gridCol w:w="6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sales, hedging and other derivative transactions in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10"/>
        <w:gridCol w:w="9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guidance, if any, that we provide to the public, any changes in this guidance or our failure to meet this guidance;</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110"/>
        <w:gridCol w:w="3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actions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10"/>
        <w:gridCol w:w="51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announcement by us, our competitors or our acquisition targets;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or anticipated sales, of large blocks of our stock, including by our directors, executive officers and principal stockholders;</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10"/>
        <w:gridCol w:w="75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or departures in our Board or Directors, senior management or other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60"/>
        <w:gridCol w:w="110"/>
        <w:gridCol w:w="3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regulatory, legal or political developments;</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10"/>
        <w:gridCol w:w="9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response to press releases or other public announcements by us or third parties, including our filings with the SEC;</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10"/>
        <w:gridCol w:w="35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5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and governmental investigations;</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10"/>
        <w:gridCol w:w="26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6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changing 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110"/>
        <w:gridCol w:w="2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10"/>
        <w:gridCol w:w="57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indebtedness we may incur or securities we may issue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60"/>
        <w:gridCol w:w="110"/>
        <w:gridCol w:w="44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default under agreements governing our indebtedness;</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110"/>
        <w:gridCol w:w="91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exposure to capital and credit market risks that adversely affect our investment portfolio or our capital resources;</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110"/>
        <w:gridCol w:w="2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our credit ratings;</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110"/>
        <w:gridCol w:w="2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corporate tax rates;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10"/>
        <w:gridCol w:w="34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or exchange rate fluctuations;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events or factors, including those from natural disasters, war, pandemics, acts of terrorism, cyber-attacks or responses to these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Anti</w:t>
      </w:r>
      <w:r>
        <w:rPr>
          <w:rFonts w:ascii="Times New Roman" w:hAnsi="Times New Roman"/>
          <w:caps w:val="false"/>
          <w:smallCaps w:val="false"/>
          <w:sz w:val="20"/>
        </w:rPr>
        <w:noBreakHyphen/>
      </w:r>
      <w:r>
        <w:rPr>
          <w:rFonts w:ascii="Times New Roman" w:hAnsi="Times New Roman"/>
          <w:b/>
          <w:i/>
          <w:caps w:val="false"/>
          <w:smallCaps w:val="false"/>
          <w:sz w:val="20"/>
        </w:rPr>
        <w:t>takeover provisions in our organizational documents could delay a change in management and limit our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charter documents contain anti</w:t>
        <w:noBreakHyphen/>
        <w:t>takeover provisions that will hinder takeover attempts and could reduce the market value of our common stock or prevent sale at a premium. Our anti</w:t>
        <w:noBreakHyphen/>
        <w:t>takeover provisions:</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110"/>
        <w:gridCol w:w="97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permit the Board of Directors to establish the number of directors and fill any vacancies and newly created directorships;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provide, through 2027, that our Board of Directors are classified into three classes with staggered, three year terms and that directors may only be removed for cause;</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60"/>
        <w:gridCol w:w="110"/>
        <w:gridCol w:w="78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require super</w:t>
              <w:noBreakHyphen/>
              <w:t>majority voting to amend provisions in our certificate of incorporation and bylaws;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 blank</w:t>
              <w:noBreakHyphen/>
              <w:t>check preferred stock, the preference, rights and other terms of which may be set by the Board of Directors and could delay or prevent a transaction or a change in control that might involve a premium price for our common stock or otherwise benefit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10"/>
        <w:gridCol w:w="6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eliminate the ability of our stockholders to call special meetings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specify that special meetings of our stockholders can be called only by our Board of Directors, the chairman of our Board of Directors, or our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60"/>
        <w:gridCol w:w="110"/>
        <w:gridCol w:w="56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prohibit stockholder action by other than unanimous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60"/>
        <w:gridCol w:w="110"/>
        <w:gridCol w:w="48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8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prohibit cumulative voting in the election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establish advance notice requirements for nominations for election to our Board of Directors or for proposing matters that can be acted upon by stockholders at annual stockholder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certificate of incorporation and bylaws provide that the Court of Chancery of the State of Delaware is the exclusive forum for substantially all disputes between us and our stockholders, which could limit our stockholders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obtain a favorable judicial forum for disputes with us or our directors, officers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certificate of incorporation and bylaws provide that the Court of Chancery of the State of Delaware is the exclusive forum for the following civil actions:</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60"/>
        <w:gridCol w:w="110"/>
        <w:gridCol w:w="47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derivative action or proceeding brought on our behalf;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asserting a claim of breach of a fiduciary duty by any of our directors, officers, employees or agents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asserting a claim arising pursuant to any provision of the DGCL or our certificate of incorporation or bylaws or as to which the DGCL confers jurisdiction on the Court of Chancery of the State of Delaware;</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110"/>
        <w:gridCol w:w="92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to interpret, apply, enforce or determine the validity of our certificate of incorporation or our bylaws; or</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0"/>
        <w:gridCol w:w="110"/>
        <w:gridCol w:w="56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6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action asserting a claim governed by the internal affairs doctrine.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uses"/>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January 2022, the Company's Board of Directors approved a share repurchase program which replaced the existing program and authorized the repurchase of up to $100 million of outstanding shares of common stock over the period ending on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were no share repurchases during the three months ended March 31, 2024. The program ended on March 31, 2024 and no additional shares may be repurchased under this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duss"/>
      <w:bookmarkEnd w:id="15"/>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6" w:name="msd"/>
      <w:bookmarkEnd w:id="16"/>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oi"/>
      <w:bookmarkEnd w:id="1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i/>
          <w:caps w:val="false"/>
          <w:smallCaps w:val="false"/>
          <w:sz w:val="20"/>
        </w:rPr>
        <w:t xml:space="preserve">Rule </w:t>
      </w:r>
      <w:r>
        <w:rPr>
          <w:rStyle w:val="Emphasis"/>
          <w:rFonts w:ascii="Times New Roman" w:hAnsi="Times New Roman"/>
          <w:i/>
          <w:caps w:val="false"/>
          <w:smallCaps w:val="false"/>
          <w:sz w:val="20"/>
        </w:rPr>
        <w:t>10b5</w:t>
      </w: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none of our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adopted, terminated or modified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such terms are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8" w:name="exs"/>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Exhibits</w:t>
      </w:r>
    </w:p>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28" w:type="dxa"/>
          <w:right w:w="0" w:type="dxa"/>
        </w:tblCellMar>
      </w:tblPr>
      <w:tblGrid>
        <w:gridCol w:w="770"/>
        <w:gridCol w:w="60"/>
        <w:gridCol w:w="8270"/>
      </w:tblGrid>
      <w:tr>
        <w:trPr/>
        <w:tc>
          <w:tcPr>
            <w:tcW w:w="7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82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pPr>
            <w:hyperlink w:anchor="ex_630435.htm">
              <w:r>
                <w:rPr>
                  <w:rStyle w:val="InternetLink"/>
                  <w:rFonts w:ascii="Times New Roman" w:hAnsi="Times New Roman"/>
                  <w:caps w:val="false"/>
                  <w:smallCaps w:val="false"/>
                  <w:sz w:val="20"/>
                </w:rPr>
                <w:t>Certification of principal executive officer pursuant to Section 302 of the Sarbanes-Oxley Act of 2002</w:t>
              </w:r>
            </w:hyperlink>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pPr>
            <w:hyperlink w:anchor="ex_630436.htm">
              <w:r>
                <w:rPr>
                  <w:rStyle w:val="InternetLink"/>
                  <w:rFonts w:ascii="Times New Roman" w:hAnsi="Times New Roman"/>
                  <w:caps w:val="false"/>
                  <w:smallCaps w:val="false"/>
                  <w:sz w:val="20"/>
                </w:rPr>
                <w:t>Certification of principal financial officer pursuant to Section 302 of the Sarbanes-Oxley Act of 2002</w:t>
              </w:r>
            </w:hyperlink>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pPr>
            <w:hyperlink w:anchor="ex_630437.htm">
              <w:r>
                <w:rPr>
                  <w:rStyle w:val="InternetLink"/>
                  <w:rFonts w:ascii="Times New Roman" w:hAnsi="Times New Roman"/>
                  <w:caps w:val="false"/>
                  <w:smallCaps w:val="false"/>
                  <w:sz w:val="20"/>
                </w:rPr>
                <w:t>Certifications pursuant to Section 906 of the Sarbanes-Oxley Act of 2002</w:t>
              </w:r>
            </w:hyperlink>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283"/>
              <w:jc w:val="left"/>
              <w:rPr/>
            </w:pPr>
            <w:r>
              <w:rPr/>
              <w:t> </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82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Date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1535"/>
        <w:gridCol w:w="320"/>
        <w:gridCol w:w="4175"/>
      </w:tblGrid>
      <w:tr>
        <w:trPr/>
        <w:tc>
          <w:tcPr>
            <w:tcW w:w="153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Palomar</w:t>
            </w:r>
            <w:r>
              <w:rPr>
                <w:rFonts w:ascii="Times New Roman" w:hAnsi="Times New Roman"/>
                <w:caps w:val="false"/>
                <w:smallCaps w:val="false"/>
                <w:sz w:val="20"/>
              </w:rPr>
              <w:t> </w:t>
            </w:r>
            <w:r>
              <w:rPr>
                <w:rFonts w:ascii="Times New Roman" w:hAnsi="Times New Roman"/>
                <w:b/>
                <w:caps w:val="false"/>
                <w:smallCaps w:val="false"/>
                <w:sz w:val="20"/>
              </w:rPr>
              <w:t>Holdings,</w:t>
            </w:r>
            <w:r>
              <w:rPr>
                <w:rFonts w:ascii="Times New Roman" w:hAnsi="Times New Roman"/>
                <w:caps w:val="false"/>
                <w:smallCaps w:val="false"/>
                <w:sz w:val="20"/>
              </w:rPr>
              <w:t> </w:t>
            </w:r>
            <w:r>
              <w:rPr>
                <w:rFonts w:ascii="Times New Roman" w:hAnsi="Times New Roman"/>
                <w:b/>
                <w:caps w:val="false"/>
                <w:smallCaps w:val="false"/>
                <w:sz w:val="20"/>
              </w:rPr>
              <w:t>Inc.</w:t>
            </w:r>
          </w:p>
        </w:tc>
      </w:tr>
      <w:tr>
        <w:trPr/>
        <w:tc>
          <w:tcPr>
            <w:tcW w:w="153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3,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Mac Armstrong</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Mac Armstrong</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53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3,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 Christopher Uchida</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T. Christopher Uchida</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67 </w:t>
      </w:r>
    </w:p>
    <w:p>
      <w:pPr>
        <w:pStyle w:val="TextBody"/>
        <w:bidi w:val="0"/>
        <w:spacing w:before="0" w:after="0"/>
        <w:ind w:left="0" w:right="0" w:hanging="0"/>
        <w:jc w:val="right"/>
        <w:rPr>
          <w:rFonts w:ascii="Times New Roman" w:hAnsi="Times New Roman"/>
          <w:b/>
          <w:caps w:val="false"/>
          <w:smallCaps w:val="false"/>
          <w:sz w:val="20"/>
        </w:rPr>
      </w:pPr>
      <w:bookmarkStart w:id="20" w:name="ex_630435.htm"/>
      <w:bookmarkStart w:id="21" w:name="ksex_630435"/>
      <w:bookmarkEnd w:id="20"/>
      <w:bookmarkEnd w:id="21"/>
      <w:r>
        <w:rPr>
          <w:rFonts w:ascii="Times New Roman" w:hAnsi="Times New Roman"/>
          <w:b/>
          <w:caps w:val="false"/>
          <w:smallCaps w:val="false"/>
          <w:sz w:val="20"/>
        </w:rPr>
        <w:t>Exhibit 31.1</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Mac Armstrong, certify that:</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Palomar Holdings,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535"/>
        <w:gridCol w:w="4175"/>
      </w:tblGrid>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2" w:name="led408018F20234241684899305457"/>
            <w:bookmarkEnd w:id="22"/>
            <w:r>
              <w:rPr>
                <w:rFonts w:ascii="Times New Roman" w:hAnsi="Times New Roman"/>
                <w:caps w:val="false"/>
                <w:smallCaps w:val="false"/>
                <w:sz w:val="20"/>
              </w:rPr>
              <w:t>May 3, 2024</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Mac Armstrong</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 Armstrong</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mallCaps/>
          <w:sz w:val="20"/>
        </w:rPr>
      </w:pPr>
      <w:bookmarkStart w:id="23" w:name="ex_630436.htm"/>
      <w:bookmarkStart w:id="24" w:name="ksex_630436"/>
      <w:bookmarkEnd w:id="23"/>
      <w:bookmarkEnd w:id="24"/>
      <w:r>
        <w:rPr>
          <w:rFonts w:ascii="Times New Roman" w:hAnsi="Times New Roman"/>
          <w:b/>
          <w:smallCaps/>
          <w:sz w:val="20"/>
        </w:rPr>
        <w:t>Exhibit 31.2</w:t>
      </w:r>
      <w:r>
        <w:br w:type="page"/>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Certification of Principal Financial Officer</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 Christopher Uchida, certify that:</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Palomar Holdings,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535"/>
        <w:gridCol w:w="2060"/>
      </w:tblGrid>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408018F20234241684899413341"/>
            <w:bookmarkEnd w:id="25"/>
            <w:r>
              <w:rPr>
                <w:rFonts w:ascii="Times New Roman" w:hAnsi="Times New Roman"/>
                <w:caps w:val="false"/>
                <w:smallCaps w:val="false"/>
                <w:sz w:val="20"/>
              </w:rPr>
              <w:t>May 3, 2024</w:t>
            </w:r>
          </w:p>
        </w:tc>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 Christopher Uchida</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 Christopher Uchida</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630437.htm"/>
      <w:bookmarkStart w:id="27" w:name="ksex_630437"/>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PURSUANT TO 18 U.S.C. SECTION 1350, AS ADOPTED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on Form 10-Q of Palomar Holdings, Inc. (the “Company”) for the quarter ended </w:t>
      </w:r>
      <w:bookmarkStart w:id="28" w:name="led408018F20234241684899535316"/>
      <w:bookmarkEnd w:id="28"/>
      <w:r>
        <w:rPr>
          <w:rFonts w:ascii="Times New Roman" w:hAnsi="Times New Roman"/>
          <w:caps w:val="false"/>
          <w:smallCaps w:val="false"/>
          <w:sz w:val="20"/>
        </w:rPr>
        <w:t>March 31, 2024,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as applicable,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1535"/>
        <w:gridCol w:w="545"/>
        <w:gridCol w:w="4175"/>
      </w:tblGrid>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9" w:name="led408018F20234241684899496773"/>
            <w:bookmarkEnd w:id="29"/>
            <w:r>
              <w:rPr>
                <w:rFonts w:ascii="Times New Roman" w:hAnsi="Times New Roman"/>
                <w:caps w:val="false"/>
                <w:smallCaps w:val="false"/>
                <w:sz w:val="20"/>
              </w:rPr>
              <w:t>May 3, 2024</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Mac Armstrong</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 Armstrong</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 Chief Executive Officer</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30" w:name="led408018F202342416848994967731"/>
            <w:bookmarkEnd w:id="30"/>
            <w:r>
              <w:rPr>
                <w:rFonts w:ascii="Times New Roman" w:hAnsi="Times New Roman"/>
                <w:caps w:val="false"/>
                <w:smallCaps w:val="false"/>
                <w:sz w:val="20"/>
              </w:rPr>
              <w:t>May 3, 2024</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 Christopher Uchida</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 Christopher Uchida</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34774</Words>
  <Characters>192991</Characters>
  <CharactersWithSpaces>230123</CharactersWithSpaces>
  <Paragraphs>8829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