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26.xml.htm"/>
      <w:bookmarkStart w:id="1" w:name="ksmarketforms73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Armstrong Mac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144"/>
        <w:gridCol w:w="96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160,068</w:t>
            </w:r>
            <w:r>
              <w:rPr>
                <w:rFonts w:ascii="Times;serif" w:hAnsi="Times;serif"/>
                <w:color w:val="008000"/>
                <w:position w:val="7"/>
                <w:sz w:val="16"/>
                <w:sz w:val="20"/>
                <w:shd w:fill="FFFFFF" w:val="clear"/>
              </w:rPr>
              <w:t>(1)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136.6983</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327,285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137.7382</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326,348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138.4658</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326,088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139.43</w:t>
            </w:r>
            <w:r>
              <w:rPr>
                <w:rFonts w:ascii="Times;serif" w:hAnsi="Times;serif"/>
                <w:color w:val="008000"/>
                <w:position w:val="7"/>
                <w:sz w:val="16"/>
                <w:sz w:val="20"/>
                <w:shd w:fill="FFFFFF" w:val="clear"/>
              </w:rPr>
              <w:t>(2)</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325,888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2,754 shares purchased pursuant to the Palomar Holdings, Inc. 2019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$136.18 to $137.17 (weighted average of $136.6983), inclusive; $137.18 to $138.16 (weighted average of $137.7382), inclusive; $138.41 to $138.52 (weighted average of $138.4658), inclusive; $139.43 to $139.43 (weighted average of $139.4300). The Reporting Person undertakes to provide to Palomar Holdings, Inc., any security holder of Palomar Holdings, Inc.,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2383"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4021</Characters>
  <CharactersWithSpaces>4656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