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911860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980440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6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960" w:right="339" w:hanging="650"/>
        <w:spacing w:after="0" w:line="269" w:lineRule="auto"/>
        <w:tabs>
          <w:tab w:leader="none" w:pos="90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5"/>
          <w:szCs w:val="15"/>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March 31,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960" w:right="299" w:hanging="650"/>
        <w:spacing w:after="0" w:line="305" w:lineRule="auto"/>
        <w:tabs>
          <w:tab w:leader="none" w:pos="94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5"/>
          <w:szCs w:val="15"/>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 to ___________</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001-38873</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Palomar Holdings, Inc.</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215"/>
        </w:trPr>
        <w:tc>
          <w:tcPr>
            <w:tcW w:w="47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140" w:type="dxa"/>
            <w:vAlign w:val="bottom"/>
          </w:tcPr>
          <w:p>
            <w:pPr>
              <w:jc w:val="right"/>
              <w:ind w:right="1599"/>
              <w:spacing w:after="0"/>
              <w:rPr>
                <w:sz w:val="20"/>
                <w:szCs w:val="20"/>
                <w:color w:val="auto"/>
              </w:rPr>
            </w:pPr>
            <w:r>
              <w:rPr>
                <w:rFonts w:ascii="Times New Roman" w:cs="Times New Roman" w:eastAsia="Times New Roman" w:hAnsi="Times New Roman"/>
                <w:sz w:val="16"/>
                <w:szCs w:val="16"/>
                <w:b w:val="1"/>
                <w:bCs w:val="1"/>
                <w:color w:val="auto"/>
              </w:rPr>
              <w:t>83-3972551</w:t>
            </w:r>
          </w:p>
        </w:tc>
      </w:tr>
      <w:tr>
        <w:trPr>
          <w:trHeight w:val="199"/>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640" w:type="dxa"/>
            <w:vAlign w:val="bottom"/>
          </w:tcPr>
          <w:p>
            <w:pPr>
              <w:spacing w:after="0"/>
              <w:rPr>
                <w:sz w:val="17"/>
                <w:szCs w:val="17"/>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47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140" w:type="dxa"/>
            <w:vAlign w:val="bottom"/>
          </w:tcPr>
          <w:p>
            <w:pPr>
              <w:spacing w:after="0"/>
              <w:rPr>
                <w:sz w:val="18"/>
                <w:szCs w:val="18"/>
                <w:color w:val="auto"/>
              </w:rPr>
            </w:pPr>
          </w:p>
        </w:tc>
      </w:tr>
      <w:tr>
        <w:trPr>
          <w:trHeight w:val="436"/>
        </w:trPr>
        <w:tc>
          <w:tcPr>
            <w:tcW w:w="47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7979 Ivanhoe Avenue, Suite 500</w:t>
            </w:r>
          </w:p>
        </w:tc>
        <w:tc>
          <w:tcPr>
            <w:tcW w:w="4140" w:type="dxa"/>
            <w:vAlign w:val="bottom"/>
          </w:tcPr>
          <w:p>
            <w:pPr>
              <w:spacing w:after="0"/>
              <w:rPr>
                <w:sz w:val="24"/>
                <w:szCs w:val="24"/>
                <w:color w:val="auto"/>
              </w:rPr>
            </w:pPr>
          </w:p>
        </w:tc>
      </w:tr>
      <w:tr>
        <w:trPr>
          <w:trHeight w:val="215"/>
        </w:trPr>
        <w:tc>
          <w:tcPr>
            <w:tcW w:w="476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La Jolla, California</w:t>
            </w:r>
          </w:p>
        </w:tc>
        <w:tc>
          <w:tcPr>
            <w:tcW w:w="4140" w:type="dxa"/>
            <w:vAlign w:val="bottom"/>
          </w:tcPr>
          <w:p>
            <w:pPr>
              <w:jc w:val="right"/>
              <w:ind w:right="1799"/>
              <w:spacing w:after="0"/>
              <w:rPr>
                <w:sz w:val="20"/>
                <w:szCs w:val="20"/>
                <w:color w:val="auto"/>
              </w:rPr>
            </w:pPr>
            <w:r>
              <w:rPr>
                <w:rFonts w:ascii="Times New Roman" w:cs="Times New Roman" w:eastAsia="Times New Roman" w:hAnsi="Times New Roman"/>
                <w:sz w:val="16"/>
                <w:szCs w:val="16"/>
                <w:b w:val="1"/>
                <w:bCs w:val="1"/>
                <w:color w:val="auto"/>
              </w:rPr>
              <w:t>92037</w:t>
            </w:r>
          </w:p>
        </w:tc>
      </w:tr>
      <w:tr>
        <w:trPr>
          <w:trHeight w:val="207"/>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640" w:type="dxa"/>
            <w:vAlign w:val="bottom"/>
          </w:tcPr>
          <w:p>
            <w:pPr>
              <w:spacing w:after="0"/>
              <w:rPr>
                <w:sz w:val="17"/>
                <w:szCs w:val="17"/>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41" w:lineRule="exact"/>
        <w:rPr>
          <w:sz w:val="24"/>
          <w:szCs w:val="24"/>
          <w:color w:val="auto"/>
        </w:rPr>
      </w:pPr>
    </w:p>
    <w:p>
      <w:pPr>
        <w:ind w:left="4180" w:hanging="648"/>
        <w:spacing w:after="0"/>
        <w:tabs>
          <w:tab w:leader="none" w:pos="41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(619) 567-5290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-3175</wp:posOffset>
            </wp:positionV>
            <wp:extent cx="411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-3175</wp:posOffset>
            </wp:positionV>
            <wp:extent cx="179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4" w:lineRule="exact"/>
        <w:rPr>
          <w:sz w:val="24"/>
          <w:szCs w:val="24"/>
          <w:color w:val="auto"/>
        </w:rPr>
      </w:pPr>
    </w:p>
    <w:tbl>
      <w:tblPr>
        <w:tblLayout w:type="fixed"/>
        <w:tblInd w:w="50" w:type="dxa"/>
        <w:tblCellMar>
          <w:top w:w="0" w:type="dxa"/>
          <w:left w:w="0" w:type="dxa"/>
          <w:bottom w:w="0" w:type="dxa"/>
          <w:right w:w="0" w:type="dxa"/>
        </w:tblCellMar>
      </w:tblPr>
      <w:tr>
        <w:trPr>
          <w:trHeight w:val="224"/>
        </w:trPr>
        <w:tc>
          <w:tcPr>
            <w:tcW w:w="33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r>
        <w:trPr>
          <w:trHeight w:val="204"/>
        </w:trPr>
        <w:tc>
          <w:tcPr>
            <w:tcW w:w="3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PLMR</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bl>
    <w:p>
      <w:pPr>
        <w:spacing w:after="0" w:line="26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w:t>
      </w:r>
    </w:p>
    <w:p>
      <w:pPr>
        <w:spacing w:after="0" w:line="4" w:lineRule="exact"/>
        <w:rPr>
          <w:sz w:val="24"/>
          <w:szCs w:val="24"/>
          <w:color w:val="auto"/>
        </w:rPr>
      </w:pPr>
    </w:p>
    <w:p>
      <w:pPr>
        <w:jc w:val="both"/>
        <w:ind w:left="60" w:right="79"/>
        <w:spacing w:after="0" w:line="174" w:lineRule="exact"/>
        <w:rPr>
          <w:sz w:val="20"/>
          <w:szCs w:val="20"/>
          <w:color w:val="auto"/>
        </w:rPr>
      </w:pPr>
      <w:r>
        <w:rPr>
          <w:rFonts w:ascii="Times New Roman" w:cs="Times New Roman" w:eastAsia="Times New Roman" w:hAnsi="Times New Roman"/>
          <w:sz w:val="14"/>
          <w:szCs w:val="14"/>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ind w:left="60"/>
        <w:spacing w:after="0" w:line="161" w:lineRule="exact"/>
        <w:tabs>
          <w:tab w:leader="none" w:pos="960" w:val="left"/>
        </w:tabs>
        <w:rPr>
          <w:sz w:val="20"/>
          <w:szCs w:val="20"/>
          <w:color w:val="auto"/>
        </w:rPr>
      </w:pPr>
      <w:r>
        <w:rPr>
          <w:rFonts w:ascii="Times New Roman" w:cs="Times New Roman" w:eastAsia="Times New Roman" w:hAnsi="Times New Roman"/>
          <w:sz w:val="14"/>
          <w:szCs w:val="14"/>
          <w:color w:val="auto"/>
        </w:rPr>
        <w:t xml:space="preserve">files).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8" w:lineRule="exact"/>
        <w:rPr>
          <w:sz w:val="24"/>
          <w:szCs w:val="24"/>
          <w:color w:val="auto"/>
        </w:rPr>
      </w:pPr>
    </w:p>
    <w:p>
      <w:pPr>
        <w:jc w:val="both"/>
        <w:ind w:left="60" w:right="59"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440" w:right="1440" w:bottom="1440" w:gutter="0" w:footer="0" w:header="0"/>
        </w:sectPr>
      </w:pPr>
    </w:p>
    <w:p>
      <w:pPr>
        <w:spacing w:after="0" w:line="140" w:lineRule="exact"/>
        <w:rPr>
          <w:sz w:val="24"/>
          <w:szCs w:val="24"/>
          <w:color w:val="auto"/>
        </w:rPr>
      </w:pPr>
    </w:p>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2" w:lineRule="exact"/>
        <w:rPr>
          <w:sz w:val="24"/>
          <w:szCs w:val="24"/>
          <w:color w:val="auto"/>
        </w:rPr>
      </w:pPr>
    </w:p>
    <w:p>
      <w:pPr>
        <w:sectPr>
          <w:pgSz w:w="11900" w:h="16838" w:orient="portrait"/>
          <w:cols w:equalWidth="0" w:num="2">
            <w:col w:w="4400" w:space="720"/>
            <w:col w:w="3899"/>
          </w:cols>
          <w:pgMar w:left="1440" w:top="1440" w:right="1440" w:bottom="1440" w:gutter="0" w:footer="0" w:header="0"/>
          <w:type w:val="continuous"/>
        </w:sectPr>
      </w:pPr>
    </w:p>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82" w:lineRule="exact"/>
        <w:rPr>
          <w:sz w:val="24"/>
          <w:szCs w:val="24"/>
          <w:color w:val="auto"/>
        </w:rPr>
      </w:pPr>
    </w:p>
    <w:p>
      <w:pPr>
        <w:sectPr>
          <w:pgSz w:w="11900" w:h="16838" w:orient="portrait"/>
          <w:cols w:equalWidth="0" w:num="2">
            <w:col w:w="4400" w:space="720"/>
            <w:col w:w="3899"/>
          </w:cols>
          <w:pgMar w:left="1440" w:top="1440" w:right="1440" w:bottom="1440" w:gutter="0" w:footer="0" w:header="0"/>
          <w:type w:val="continuous"/>
        </w:sectPr>
      </w:pPr>
    </w:p>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019"/>
          </w:cols>
          <w:pgMar w:left="1440" w:top="1440" w:right="1440" w:bottom="1440" w:gutter="0" w:footer="0" w:header="0"/>
          <w:type w:val="continuous"/>
        </w:sectPr>
      </w:pPr>
    </w:p>
    <w:p>
      <w:pPr>
        <w:spacing w:after="0" w:line="240" w:lineRule="exact"/>
        <w:rPr>
          <w:sz w:val="24"/>
          <w:szCs w:val="24"/>
          <w:color w:val="auto"/>
        </w:rPr>
      </w:pPr>
    </w:p>
    <w:p>
      <w:pPr>
        <w:ind w:left="60" w:right="79"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380" w:right="1779"/>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Number of shares of the registrant’s common shares outstanding at May 3, 2022: 25,179,959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417830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-1270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40640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20" w:type="dxa"/>
            <w:vAlign w:val="bottom"/>
            <w:gridSpan w:val="2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7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March 31, 2022 (Unaudited) and December 31, 2021</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Income (Loss) and Comprehensive Income (Loss) (Unaudited) for</w:t>
            </w:r>
          </w:p>
        </w:tc>
        <w:tc>
          <w:tcPr>
            <w:tcW w:w="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70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Three Months Ended March 31, 2022 and 2021</w:t>
            </w: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2022 and 2021</w:t>
            </w:r>
          </w:p>
        </w:tc>
        <w:tc>
          <w:tcPr>
            <w:tcW w:w="56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5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Three Months Ended March 31,</w:t>
            </w: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2021</w:t>
            </w:r>
          </w:p>
        </w:tc>
        <w:tc>
          <w:tcPr>
            <w:tcW w:w="6620" w:type="dxa"/>
            <w:vAlign w:val="bottom"/>
            <w:tcBorders>
              <w:bottom w:val="single" w:sz="8" w:color="CCEEFF"/>
            </w:tcBorders>
            <w:gridSpan w:val="18"/>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7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7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70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 and par value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Fixed maturity securities available for sale, at fair value (amortized cost: $461,206 in 2022;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$426,122 in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444,320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432,682</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Equity securities, at fair value (cost: $41,836 in 2022; $31,834 in 2021)</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41,983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33,261</w:t>
            </w: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486,303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465,943</w:t>
            </w: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46,876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50,284</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 receivable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94,615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88,012</w:t>
            </w: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54,977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55,953</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Reinsurance recoverable on unpaid losses and loss adjustment expenses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127,947</w:t>
            </w: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 on paid losses and loss adjustment expenses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29,368</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Ceded unearned premiums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84,975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58,315</w:t>
            </w: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31,479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37,072</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Intangible assets, net</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9,501</w:t>
            </w: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957,428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925,734</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other accrued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26,561</w:t>
            </w:r>
          </w:p>
        </w:tc>
        <w:tc>
          <w:tcPr>
            <w:tcW w:w="2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21,284</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losses and loss adjustment expenses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165,112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173,366</w:t>
            </w: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316,675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284,665</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Ceded premium payable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37,460</w:t>
            </w: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Funds held under reinsurance treaty</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10,882</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Borrowings from credit agreements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577,028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531,565</w:t>
            </w:r>
          </w:p>
        </w:tc>
        <w:tc>
          <w:tcPr>
            <w:tcW w:w="0" w:type="dxa"/>
            <w:vAlign w:val="bottom"/>
          </w:tcPr>
          <w:p>
            <w:pPr>
              <w:spacing w:after="0"/>
              <w:rPr>
                <w:sz w:val="1"/>
                <w:szCs w:val="1"/>
                <w:color w:val="auto"/>
              </w:rPr>
            </w:pPr>
          </w:p>
        </w:tc>
      </w:tr>
      <w:tr>
        <w:trPr>
          <w:trHeight w:val="20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Preferred stock, $0.0001 par value, 5,000,000 shares authorized, 0 shares issued and</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outstanding as of March 31, 2022 and December 31, 2021</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6840" w:type="dxa"/>
            <w:vAlign w:val="bottom"/>
          </w:tcPr>
          <w:p>
            <w:pPr>
              <w:ind w:left="220"/>
              <w:spacing w:after="0" w:line="181" w:lineRule="exact"/>
              <w:rPr>
                <w:sz w:val="20"/>
                <w:szCs w:val="20"/>
                <w:color w:val="auto"/>
              </w:rPr>
            </w:pPr>
            <w:r>
              <w:rPr>
                <w:rFonts w:ascii="Times New Roman" w:cs="Times New Roman" w:eastAsia="Times New Roman" w:hAnsi="Times New Roman"/>
                <w:sz w:val="17"/>
                <w:szCs w:val="17"/>
                <w:color w:val="auto"/>
              </w:rPr>
              <w:t>Common stock, $0.0001 par value, 500,000,000 shares authorized, 25,231,571 and</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25,428,929 shares issued and outstanding as of March 31, 2022 and December 31, 2021,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318,902</w:t>
            </w:r>
          </w:p>
        </w:tc>
        <w:tc>
          <w:tcPr>
            <w:tcW w:w="0" w:type="dxa"/>
            <w:vAlign w:val="bottom"/>
          </w:tcPr>
          <w:p>
            <w:pPr>
              <w:spacing w:after="0"/>
              <w:rPr>
                <w:sz w:val="1"/>
                <w:szCs w:val="1"/>
                <w:color w:val="auto"/>
              </w:rPr>
            </w:pP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(13,151)</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5,312</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71,500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69,952</w:t>
            </w: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380,400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394,169</w:t>
            </w: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957,428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925,734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 ) and Comprehensive Income (Loss)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3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170,934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(89,552)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(43,364)</w:t>
            </w:r>
          </w:p>
        </w:tc>
        <w:tc>
          <w:tcPr>
            <w:tcW w:w="0" w:type="dxa"/>
            <w:vAlign w:val="bottom"/>
          </w:tcPr>
          <w:p>
            <w:pPr>
              <w:spacing w:after="0"/>
              <w:rPr>
                <w:sz w:val="1"/>
                <w:szCs w:val="1"/>
                <w:color w:val="auto"/>
              </w:rPr>
            </w:pPr>
          </w:p>
        </w:tc>
      </w:tr>
      <w:tr>
        <w:trPr>
          <w:trHeight w:val="20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0" w:type="dxa"/>
            <w:vAlign w:val="bottom"/>
          </w:tcPr>
          <w:p>
            <w:pPr>
              <w:spacing w:after="0"/>
              <w:rPr>
                <w:sz w:val="1"/>
                <w:szCs w:val="1"/>
                <w:color w:val="auto"/>
              </w:rPr>
            </w:pPr>
          </w:p>
        </w:tc>
      </w:tr>
      <w:tr>
        <w:trPr>
          <w:trHeight w:val="20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earned premiums</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0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expenses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70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color w:val="auto"/>
              </w:rPr>
              <w:t>Net unrealized losses on securities available for sale for the three months ended March</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2022 and 2021, respectively</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(18,463)</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25,362,179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25,552,629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26,256,281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60" w:type="dxa"/>
            <w:vAlign w:val="bottom"/>
          </w:tcPr>
          <w:p>
            <w:pPr>
              <w:spacing w:after="0"/>
              <w:rPr>
                <w:sz w:val="15"/>
                <w:szCs w:val="15"/>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25,525,796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$ 310,507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363,713</w:t>
            </w:r>
          </w:p>
        </w:tc>
        <w:tc>
          <w:tcPr>
            <w:tcW w:w="0" w:type="dxa"/>
            <w:vAlign w:val="bottom"/>
          </w:tcPr>
          <w:p>
            <w:pPr>
              <w:spacing w:after="0"/>
              <w:rPr>
                <w:sz w:val="1"/>
                <w:szCs w:val="1"/>
                <w:color w:val="auto"/>
              </w:rPr>
            </w:pPr>
          </w:p>
        </w:tc>
      </w:tr>
      <w:tr>
        <w:trPr>
          <w:trHeight w:val="209"/>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198"/>
        </w:trPr>
        <w:tc>
          <w:tcPr>
            <w:tcW w:w="3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via</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incentive plan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25,589,750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$ 312,745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376,382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25,428,929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$ 318,902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394,169</w:t>
            </w:r>
          </w:p>
        </w:tc>
        <w:tc>
          <w:tcPr>
            <w:tcW w:w="0" w:type="dxa"/>
            <w:vAlign w:val="bottom"/>
          </w:tcPr>
          <w:p>
            <w:pPr>
              <w:spacing w:after="0"/>
              <w:rPr>
                <w:sz w:val="1"/>
                <w:szCs w:val="1"/>
                <w:color w:val="auto"/>
              </w:rPr>
            </w:pPr>
          </w:p>
        </w:tc>
      </w:tr>
      <w:tr>
        <w:trPr>
          <w:trHeight w:val="209"/>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198"/>
        </w:trPr>
        <w:tc>
          <w:tcPr>
            <w:tcW w:w="3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via</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incentive plan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(219,061)</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(12,989)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25,231,571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$ 322,048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(73,921)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31,099</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securities receivable or payable, net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(7,843)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additional costs associated with purchase of policy renewal rights</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7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common stock issued via employee stock purchase plan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common stock issued via stock option exercises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(12,989)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10"/>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33,786</w:t>
            </w:r>
          </w:p>
        </w:tc>
      </w:tr>
      <w:tr>
        <w:trPr>
          <w:trHeight w:val="25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46,939</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23,848</w:t>
            </w:r>
          </w:p>
        </w:tc>
      </w:tr>
      <w:tr>
        <w:trPr>
          <w:trHeight w:val="197"/>
        </w:trPr>
        <w:tc>
          <w:tcPr>
            <w:tcW w:w="7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Supplementary cash flow information:</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restricted cash and cash equivalents within the condensed consolidated balance sheets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7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04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r>
      <w:tr>
        <w:trPr>
          <w:trHeight w:val="216"/>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50,371</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right="4939" w:hanging="10"/>
        <w:spacing w:after="0" w:line="503" w:lineRule="auto"/>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Basis of Presentation Summary of Operations</w:t>
      </w: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and a California domiciled property and casualty insurance agency, Palomar Insurance Agency, DBA Palomar General Insurance Agency (“PGIA”).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for interim financial information and include the accounts of the Company and its wholly-owned subsidiaries. These condensed consolidated financial statements do not contain all information and footnotes required by U.S.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2021, filed with the SEC on February 24, 2022 (the “2021 Annual Report on Form 10-K”)</w:t>
      </w:r>
    </w:p>
    <w:p>
      <w:pPr>
        <w:spacing w:after="0" w:line="19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not adopted any new accounting guidance during the three months ended March 31, 2022.</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There are not currently any recent accounting pronouncements or pending accounting guidance that have significance, or potential significance, to the Company’s consolidated financial statements.</w:t>
      </w:r>
    </w:p>
    <w:p>
      <w:pPr>
        <w:sectPr>
          <w:pgSz w:w="11900" w:h="16838" w:orient="portrait"/>
          <w:cols w:equalWidth="0" w:num="1">
            <w:col w:w="9019"/>
          </w:cols>
          <w:pgMar w:left="1440" w:top="1265"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7" w:name="page8"/>
    <w:bookmarkEnd w:id="7"/>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available-for-sale investments are summarized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9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 or Cost</w:t>
            </w:r>
          </w:p>
        </w:tc>
        <w:tc>
          <w:tcPr>
            <w:tcW w:w="2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6"/>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33,436</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237,136</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122,023</w:t>
            </w:r>
          </w:p>
        </w:tc>
        <w:tc>
          <w:tcPr>
            <w:tcW w:w="0" w:type="dxa"/>
            <w:vAlign w:val="bottom"/>
          </w:tcPr>
          <w:p>
            <w:pPr>
              <w:spacing w:after="0"/>
              <w:rPr>
                <w:sz w:val="1"/>
                <w:szCs w:val="1"/>
                <w:color w:val="auto"/>
              </w:rPr>
            </w:pPr>
          </w:p>
        </w:tc>
      </w:tr>
      <w:tr>
        <w:trPr>
          <w:trHeight w:val="21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$ 461,206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444,320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9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Cost or Cost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7"/>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111,874</w:t>
            </w:r>
          </w:p>
        </w:tc>
        <w:tc>
          <w:tcPr>
            <w:tcW w:w="0" w:type="dxa"/>
            <w:vAlign w:val="bottom"/>
          </w:tcPr>
          <w:p>
            <w:pPr>
              <w:spacing w:after="0"/>
              <w:rPr>
                <w:sz w:val="1"/>
                <w:szCs w:val="1"/>
                <w:color w:val="auto"/>
              </w:rPr>
            </w:pPr>
          </w:p>
        </w:tc>
      </w:tr>
      <w:tr>
        <w:trPr>
          <w:trHeight w:val="20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$ 426,122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Security holdings in an unrealized loss position</w:t>
      </w:r>
    </w:p>
    <w:p>
      <w:pPr>
        <w:spacing w:after="0" w:line="22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held 534 fixed maturity securities in an unrealized loss position with a total estimated fair value of $346.7 million and total gross unrealized losses of $18.3 million. As of December 31, 2021, the Company held 231 fixed maturity securities in an unrealized loss position with a total estimated fair value of $170.1 million and total gross unrealized losses of $2.7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and gross unrealized losses of the Company’s investments aggregated by investment category and the length of time these individual securities have been in a continuous unrealized loss position as of March 31, 2022 and December 31, 2021, are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0" w:type="dxa"/>
            <w:vAlign w:val="bottom"/>
          </w:tcPr>
          <w:p>
            <w:pPr>
              <w:spacing w:after="0"/>
              <w:rPr>
                <w:sz w:val="15"/>
                <w:szCs w:val="15"/>
                <w:color w:val="auto"/>
              </w:rPr>
            </w:pPr>
          </w:p>
        </w:tc>
        <w:tc>
          <w:tcPr>
            <w:tcW w:w="160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More Than 12 Months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41"/>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20,842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5,667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Special revenue excluding mortgage/asset-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backed securities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36,289</w:t>
            </w:r>
          </w:p>
        </w:tc>
        <w:tc>
          <w:tcPr>
            <w:tcW w:w="12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149,315</w:t>
            </w: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172,404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97,596</w:t>
            </w: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103,800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$ 310,052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(14,733)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$ 36,627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 (3,600)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346,679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 (18,333)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More Than 12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4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6"/>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Governments</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5,968</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$ 1,457</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Political subdivisions</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5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Special revenue excluding mortgage/asset-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backed securities</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6,280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94,020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$ 160,773</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(2,188)</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$ 9,346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170,119</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 necessitates the recognition of an allowance for credit losses. The Company considers numerous factors in its review as described in Footnote 1 of the Notes to the Consolidated Financial Statements in the 2021 Annual Report on Form 10-K.</w:t>
      </w:r>
    </w:p>
    <w:p>
      <w:pPr>
        <w:spacing w:after="0" w:line="7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has recorded an immaterial allowance for credit losses pertaining to one investment security. Based on the Company’s review as of March 31, 2022, for the remainder of securities,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i w:val="1"/>
          <w:iCs w:val="1"/>
          <w:color w:val="auto"/>
        </w:rPr>
        <w:t>Contractual maturities of available-for-sale fixed maturity securities</w:t>
      </w:r>
    </w:p>
    <w:p>
      <w:pPr>
        <w:spacing w:after="0" w:line="227"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at March 31, 2022, by contractual maturity, are shown below.</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7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28"/>
        </w:trPr>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jc w:val="right"/>
              <w:ind w:right="4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21,261</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142,553</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111,966</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46,517</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122,023</w:t>
            </w:r>
          </w:p>
        </w:tc>
      </w:tr>
      <w:tr>
        <w:trPr>
          <w:trHeight w:val="209"/>
        </w:trPr>
        <w:tc>
          <w:tcPr>
            <w:tcW w:w="70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461,206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444,320</w:t>
            </w:r>
          </w:p>
        </w:tc>
      </w:tr>
      <w:tr>
        <w:trPr>
          <w:trHeight w:val="20"/>
        </w:trPr>
        <w:tc>
          <w:tcPr>
            <w:tcW w:w="7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investment income summary</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investment income is summarized as follows:</w:t>
      </w:r>
    </w:p>
    <w:p>
      <w:pPr>
        <w:spacing w:after="0" w:line="23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7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4"/>
          </w:tcPr>
          <w:p>
            <w:pPr>
              <w:jc w:val="right"/>
              <w:ind w:right="39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 w:type="dxa"/>
            <w:vAlign w:val="bottom"/>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realized and unrealized investment gains and losses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and losses:</w:t>
      </w:r>
    </w:p>
    <w:p>
      <w:pPr>
        <w:spacing w:after="0" w:line="23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7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0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29"/>
        </w:trPr>
        <w:tc>
          <w:tcPr>
            <w:tcW w:w="7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tcPr>
          <w:p>
            <w:pPr>
              <w:jc w:val="right"/>
              <w:ind w:right="3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sales of fixed maturity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sales of equity securities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tcPr>
          <w:p>
            <w:pPr>
              <w:spacing w:after="0"/>
              <w:rPr>
                <w:sz w:val="18"/>
                <w:szCs w:val="18"/>
                <w:color w:val="auto"/>
              </w:rPr>
            </w:pPr>
          </w:p>
        </w:tc>
      </w:tr>
      <w:tr>
        <w:trPr>
          <w:trHeight w:val="21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realized gains</w:t>
            </w: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Pr>
          <w:p>
            <w:pPr>
              <w:spacing w:after="0"/>
              <w:rPr>
                <w:sz w:val="18"/>
                <w:szCs w:val="18"/>
                <w:color w:val="auto"/>
              </w:rPr>
            </w:pPr>
          </w:p>
        </w:tc>
      </w:tr>
      <w:tr>
        <w:trPr>
          <w:trHeight w:val="20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sales of fixed maturity securities</w:t>
            </w: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sales of equity securities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realized losses</w:t>
            </w: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 w:type="dxa"/>
            <w:vAlign w:val="bottom"/>
          </w:tcPr>
          <w:p>
            <w:pPr>
              <w:spacing w:after="0"/>
              <w:rPr>
                <w:sz w:val="18"/>
                <w:szCs w:val="18"/>
                <w:color w:val="auto"/>
              </w:rPr>
            </w:pPr>
          </w:p>
        </w:tc>
      </w:tr>
      <w:tr>
        <w:trPr>
          <w:trHeight w:val="20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equity securities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0" w:type="dxa"/>
            <w:vAlign w:val="bottom"/>
          </w:tcPr>
          <w:p>
            <w:pPr>
              <w:spacing w:after="0"/>
              <w:rPr>
                <w:sz w:val="18"/>
                <w:szCs w:val="18"/>
                <w:color w:val="auto"/>
              </w:rPr>
            </w:pPr>
          </w:p>
        </w:tc>
      </w:tr>
      <w:tr>
        <w:trPr>
          <w:trHeight w:val="21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Realized gains and losses on disposition of investments are based on specific identification of the investments sold on the settlement date.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10" w:name="page11"/>
    <w:bookmarkEnd w:id="10"/>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fixed maturity securities were $4.8 million and $6.2 million for the three months ended March 31, 2022 and 2021, respectively.</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places securities on statutory deposit with certain state agencies to retain the right to do business in those states. These securities are included in available-for-sale investments on the balance sheet. As of March 31, 2022, the carrying value of securities on deposit with state regulatory authorities was $8.2 million. As of December 31, 2021, the carrying value of securities on deposit with state regulatory authorities was $7.5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the Company would receive upon selling an investment in an orderly transaction to an independent buyer in the principal or most advantageous market of the investment.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three-tier hierarchy of inputs is summarized in the three broad levels listed below:</w:t>
      </w:r>
    </w:p>
    <w:p>
      <w:pPr>
        <w:spacing w:after="0" w:line="225" w:lineRule="exact"/>
        <w:rPr>
          <w:sz w:val="20"/>
          <w:szCs w:val="20"/>
          <w:color w:val="auto"/>
        </w:rPr>
      </w:pPr>
    </w:p>
    <w:p>
      <w:pPr>
        <w:ind w:left="700" w:right="359"/>
        <w:spacing w:after="0" w:line="282" w:lineRule="auto"/>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162" w:lineRule="exact"/>
        <w:rPr>
          <w:sz w:val="20"/>
          <w:szCs w:val="20"/>
          <w:color w:val="auto"/>
        </w:rPr>
      </w:pPr>
    </w:p>
    <w:p>
      <w:pPr>
        <w:jc w:val="both"/>
        <w:ind w:left="700" w:right="99"/>
        <w:spacing w:after="0" w:line="266"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76" w:lineRule="exact"/>
        <w:rPr>
          <w:sz w:val="20"/>
          <w:szCs w:val="20"/>
          <w:color w:val="auto"/>
        </w:rPr>
      </w:pPr>
    </w:p>
    <w:p>
      <w:pPr>
        <w:ind w:left="700" w:right="659"/>
        <w:spacing w:after="0" w:line="282"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62"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80"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18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hierarchy for financial assets and liabilities measured at fair value on a recurring basis as of March 31, 2022 and December 31,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9" w:right="1440" w:bottom="1440" w:gutter="0" w:footer="0" w:header="0"/>
        </w:sectPr>
      </w:pPr>
    </w:p>
    <w:bookmarkStart w:id="11" w:name="page12"/>
    <w:bookmarkEnd w:id="11"/>
    <w:p>
      <w:pPr>
        <w:spacing w:after="0" w:line="5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w:t>
            </w: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44,498</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249,046</w:t>
            </w: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111,874</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w:t>
            </w:r>
          </w:p>
        </w:tc>
      </w:tr>
      <w:tr>
        <w:trPr>
          <w:trHeight w:val="216"/>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50,371</w:t>
            </w: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431,182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516,314</w:t>
            </w:r>
          </w:p>
        </w:tc>
      </w:tr>
      <w:tr>
        <w:trPr>
          <w:trHeight w:val="20"/>
        </w:trPr>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term-maturity. The carrying amount of the Company’s borrowings under the Federal Home Loan Bank (“FHLB”) line of credit approximates fair value as the Company is currently borrowing at the overnight rate.</w:t>
      </w:r>
    </w:p>
    <w:p>
      <w:pPr>
        <w:spacing w:after="0" w:line="18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Transfers between Level 3 and Level 2 securities result from changes in the availability of observable market inputs and are recorded at the beginning of the reporting period. As of March 31, 2022, the Company had no fixed income securities classified as Level 3. As of December 31, 2021, the Company had $1.5 million of fixed income securities classified as Level 3 due to the availability of observable market inputs for recently purchased securities.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Reserve for Losses and Loss Adjustment Expenses</w:t>
      </w:r>
    </w:p>
    <w:p>
      <w:pPr>
        <w:spacing w:after="0" w:line="22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reconciliation of changes in the ending reserve balances for losses and loss adjustment expenses (“LAE”):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8"/>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losses and LAE net of reinsurance recoverables at beginning of period</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34,470</w:t>
            </w: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Incurred losses and LAE, net of reinsurance, related to: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incurred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 Loss and LAE payments, net of reinsurance, related to:</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payments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losses and LAE net of reinsurance recoverables at end of period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Reinsurance recoverables on unpaid losses and LAE at end of period</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188,448</w:t>
            </w:r>
          </w:p>
        </w:tc>
        <w:tc>
          <w:tcPr>
            <w:tcW w:w="0" w:type="dxa"/>
            <w:vAlign w:val="bottom"/>
          </w:tcPr>
          <w:p>
            <w:pPr>
              <w:spacing w:after="0"/>
              <w:rPr>
                <w:sz w:val="1"/>
                <w:szCs w:val="1"/>
                <w:color w:val="auto"/>
              </w:rPr>
            </w:pPr>
          </w:p>
        </w:tc>
      </w:tr>
      <w:tr>
        <w:trPr>
          <w:trHeight w:val="178"/>
        </w:trPr>
        <w:tc>
          <w:tcPr>
            <w:tcW w:w="65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Reserve for losses and LAE gross of reinsurance recoverables on unpaid losses and LAE</w:t>
            </w:r>
          </w:p>
        </w:tc>
        <w:tc>
          <w:tcPr>
            <w:tcW w:w="3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165,112</w:t>
            </w:r>
          </w:p>
        </w:tc>
        <w:tc>
          <w:tcPr>
            <w:tcW w:w="180" w:type="dxa"/>
            <w:vAlign w:val="bottom"/>
          </w:tcPr>
          <w:p>
            <w:pPr>
              <w:spacing w:after="0"/>
              <w:rPr>
                <w:sz w:val="15"/>
                <w:szCs w:val="15"/>
                <w:color w:val="auto"/>
              </w:rPr>
            </w:pPr>
          </w:p>
        </w:tc>
        <w:tc>
          <w:tcPr>
            <w:tcW w:w="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207,464</w:t>
            </w:r>
          </w:p>
        </w:tc>
        <w:tc>
          <w:tcPr>
            <w:tcW w:w="0" w:type="dxa"/>
            <w:vAlign w:val="bottom"/>
          </w:tcPr>
          <w:p>
            <w:pPr>
              <w:spacing w:after="0"/>
              <w:rPr>
                <w:sz w:val="1"/>
                <w:szCs w:val="1"/>
                <w:color w:val="auto"/>
              </w:rPr>
            </w:pPr>
          </w:p>
        </w:tc>
      </w:tr>
      <w:tr>
        <w:trPr>
          <w:trHeight w:val="221"/>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at end of period</w:t>
            </w:r>
          </w:p>
        </w:tc>
        <w:tc>
          <w:tcPr>
            <w:tcW w:w="36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ind w:left="60" w:right="199" w:firstLine="648"/>
        <w:spacing w:after="0" w:line="274" w:lineRule="auto"/>
        <w:rPr>
          <w:sz w:val="20"/>
          <w:szCs w:val="20"/>
          <w:color w:val="auto"/>
        </w:rPr>
      </w:pPr>
      <w:r>
        <w:rPr>
          <w:rFonts w:ascii="Times New Roman" w:cs="Times New Roman" w:eastAsia="Times New Roman" w:hAnsi="Times New Roman"/>
          <w:sz w:val="17"/>
          <w:szCs w:val="17"/>
          <w:color w:val="auto"/>
        </w:rPr>
        <w:t>The Company experienced adverse prior year development of $1.5 million during the three months ended March 31, 2022 and favorable prior year development of $2.7 million in the three months ended March 31, 2021. Adverse prior year development during the three months ended March 31, 2022 was primarily due to higher than anticipated severity of attritional losses from prior years. Favorable prior year development during the three months ended March 31, 2021 was primarily due to lower than anticipated severity of catastrophe losses associated with certain hurricanes which occurred during the second half of 2020 primarily in the Company’s Specialty Homeowners line of business.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Common stock reserved for future issuance consists of the following as of March 31, 2022:</w:t>
      </w:r>
    </w:p>
    <w:p>
      <w:pPr>
        <w:sectPr>
          <w:pgSz w:w="11900" w:h="16838" w:orient="portrait"/>
          <w:cols w:equalWidth="0" w:num="1">
            <w:col w:w="9019"/>
          </w:cols>
          <w:pgMar w:left="1440" w:top="1269" w:right="1440" w:bottom="1440" w:gutter="0" w:footer="0" w:header="0"/>
        </w:sect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stock units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Performance stock units outstanding under 2019 Equity Incentive Plan, at target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authorized for future issuance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Shares authorized for future issuance under 2019 Employee Stock Purchase Plan</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1,032,960</w:t>
      </w:r>
    </w:p>
    <w:p>
      <w:pPr>
        <w:spacing w:after="0" w:line="2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313,009</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383,379</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2,593,247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915,762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5715</wp:posOffset>
            </wp:positionV>
            <wp:extent cx="1491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5,238,357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14605</wp:posOffset>
            </wp:positionV>
            <wp:extent cx="1491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31750</wp:posOffset>
            </wp:positionV>
            <wp:extent cx="1491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460" w:space="720"/>
            <w:col w:w="839"/>
          </w:cols>
          <w:pgMar w:left="1440" w:top="1269" w:right="1440" w:bottom="1440" w:gutter="0" w:footer="0" w:header="0"/>
          <w:type w:val="continuous"/>
        </w:sect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below table summarizes the Company’s stock-based compensation expense for each period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9"/>
        </w:trPr>
        <w:tc>
          <w:tcPr>
            <w:tcW w:w="6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3"/>
          </w:tcPr>
          <w:p>
            <w:pPr>
              <w:jc w:val="center"/>
              <w:ind w:left="52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1"/>
                <w:szCs w:val="1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bl>
    <w:p>
      <w:pPr>
        <w:spacing w:after="0" w:line="19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80"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Recipients of stock options can purchase shares of the Company’s common stock at a price equal to the stock's fair market value on the grant date, determined by the closing price of the Company's common stock on the grant date.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3" w:name="page14"/>
    <w:bookmarkEnd w:id="13"/>
    <w:p>
      <w:pPr>
        <w:ind w:left="60" w:right="139"/>
        <w:spacing w:after="0" w:line="266" w:lineRule="auto"/>
        <w:rPr>
          <w:sz w:val="20"/>
          <w:szCs w:val="20"/>
          <w:color w:val="auto"/>
        </w:rPr>
      </w:pPr>
      <w:r>
        <w:rPr>
          <w:rFonts w:ascii="Times New Roman" w:cs="Times New Roman" w:eastAsia="Times New Roman" w:hAnsi="Times New Roman"/>
          <w:sz w:val="18"/>
          <w:szCs w:val="18"/>
          <w:color w:val="auto"/>
        </w:rPr>
        <w:t>Stock options vest over a two to four-year period with a portion vesting on the first anniversary of the grant date and the remainder vesting monthly over the remaining period, subject to continued service. Stock options expire ten years after the grant date.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three months ended March 31,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1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933,051</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36,679</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(7,054)</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(4,955)</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37,135</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2022</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120" w:type="dxa"/>
            <w:vAlign w:val="bottom"/>
            <w:vMerge w:val="continue"/>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681,784</w:t>
            </w:r>
          </w:p>
        </w:tc>
        <w:tc>
          <w:tcPr>
            <w:tcW w:w="100" w:type="dxa"/>
            <w:vAlign w:val="bottom"/>
            <w:vMerge w:val="continue"/>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vMerge w:val="continue"/>
          </w:tcPr>
          <w:p>
            <w:pPr>
              <w:spacing w:after="0"/>
              <w:rPr>
                <w:sz w:val="18"/>
                <w:szCs w:val="18"/>
                <w:color w:val="auto"/>
              </w:rPr>
            </w:pPr>
          </w:p>
        </w:tc>
        <w:tc>
          <w:tcPr>
            <w:tcW w:w="13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As of March 31, 2022, the Company had approximately $5.1 million of total unrecognized stock-based compensation expense related to stock options expected to be recognized over a weighted-average period of 1.98 years.</w:t>
      </w:r>
    </w:p>
    <w:p>
      <w:pPr>
        <w:spacing w:after="0" w:line="140"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granted during the three months ended March 31, 2022 was estimated on the grant date using the Black-Scholes option pricing model with the following assumptions: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 of return (1)</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- 2.41%</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 (2)</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 - 40.53%</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 (3)</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years</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(4)</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60" w:right="119" w:hanging="10"/>
        <w:spacing w:after="0" w:line="261"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based on the U.S. Treasury yield in effect at the time of the grant for zero-coupon U.S. Treasury notes with remaining terms similar to the expected term of the options.</w:t>
      </w:r>
    </w:p>
    <w:p>
      <w:pPr>
        <w:ind w:left="60" w:right="199" w:hanging="10"/>
        <w:spacing w:after="0" w:line="25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based on a blend of the Company’s historic stock price volatility and the historic volatility of a peer group of publicly traded companies.</w:t>
      </w:r>
    </w:p>
    <w:p>
      <w:pPr>
        <w:ind w:left="60" w:right="79" w:hanging="10"/>
        <w:spacing w:after="0" w:line="25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using the “simplified method” for estimating the expected option life, which is the average of the weighted-average vesting period and contractual term of the option as the Company does not have sufficient historical exercise data to provide a reasonable basis upon which to estimate expected term due to the limited period of time its common stock has been publicly traded.</w:t>
      </w:r>
    </w:p>
    <w:p>
      <w:pPr>
        <w:spacing w:after="0" w:line="1" w:lineRule="exact"/>
        <w:rPr>
          <w:rFonts w:ascii="Times New Roman" w:cs="Times New Roman" w:eastAsia="Times New Roman" w:hAnsi="Times New Roman"/>
          <w:sz w:val="18"/>
          <w:szCs w:val="18"/>
          <w:color w:val="auto"/>
        </w:rPr>
      </w:pPr>
    </w:p>
    <w:p>
      <w:pPr>
        <w:ind w:left="300" w:hanging="250"/>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to be zero as the Company has not historically issued dividends.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RSUs are valued using the closing price of the Company’s common stock on their grant date. The Company has issued RSUs with vesting periods of one to five years. All vesting is subject to continued service.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4" w:name="page15"/>
    <w:bookmarkEnd w:id="14"/>
    <w:p>
      <w:pPr>
        <w:ind w:left="700"/>
        <w:spacing w:after="0"/>
        <w:rPr>
          <w:sz w:val="20"/>
          <w:szCs w:val="20"/>
          <w:color w:val="auto"/>
        </w:rPr>
      </w:pPr>
      <w:r>
        <w:rPr>
          <w:rFonts w:ascii="Times New Roman" w:cs="Times New Roman" w:eastAsia="Times New Roman" w:hAnsi="Times New Roman"/>
          <w:sz w:val="18"/>
          <w:szCs w:val="18"/>
          <w:color w:val="auto"/>
        </w:rPr>
        <w:t>The following table summarizes RSU transactions for the three months ended March 31,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Weighted-average grant date fair value</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r>
      <w:tr>
        <w:trPr>
          <w:trHeight w:val="209"/>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vested outstanding at March 31, 2022</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0"/>
        </w:trPr>
        <w:tc>
          <w:tcPr>
            <w:tcW w:w="35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819" w:firstLine="648"/>
        <w:spacing w:after="0" w:line="312" w:lineRule="auto"/>
        <w:rPr>
          <w:sz w:val="20"/>
          <w:szCs w:val="20"/>
          <w:color w:val="auto"/>
        </w:rPr>
      </w:pPr>
      <w:r>
        <w:rPr>
          <w:rFonts w:ascii="Times New Roman" w:cs="Times New Roman" w:eastAsia="Times New Roman" w:hAnsi="Times New Roman"/>
          <w:sz w:val="17"/>
          <w:szCs w:val="17"/>
          <w:color w:val="auto"/>
        </w:rPr>
        <w:t>As of March 31, 2022, the Company had approximately $19.4 million of total unrecognized stock-based compensation expense related to RSUs expected to be recognized over a weighted-average period of 3.58 years.</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issues PSUs with a combination of service, performance, and market conditions.</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March 31, 2022, none of the stock price milestones have been achieved.</w:t>
      </w:r>
    </w:p>
    <w:p>
      <w:pPr>
        <w:spacing w:after="0" w:line="183" w:lineRule="exact"/>
        <w:rPr>
          <w:sz w:val="20"/>
          <w:szCs w:val="20"/>
          <w:color w:val="auto"/>
        </w:rPr>
      </w:pPr>
    </w:p>
    <w:p>
      <w:pPr>
        <w:ind w:left="60" w:right="139" w:firstLine="693"/>
        <w:spacing w:after="0" w:line="256" w:lineRule="auto"/>
        <w:rPr>
          <w:sz w:val="20"/>
          <w:szCs w:val="20"/>
          <w:color w:val="auto"/>
        </w:rPr>
      </w:pPr>
      <w:r>
        <w:rPr>
          <w:rFonts w:ascii="Times New Roman" w:cs="Times New Roman" w:eastAsia="Times New Roman" w:hAnsi="Times New Roman"/>
          <w:sz w:val="18"/>
          <w:szCs w:val="18"/>
          <w:color w:val="auto"/>
        </w:rPr>
        <w:t>For other PSU grants, vesting of PSUs requires a period of future service and the number of shares that vest depends on performance relative to predetermined targets of the Company’s Gross Written Premiums and Adjusted Return on Equity as set by the Compensation Committee. The PSU’s performance period is the fiscal year of the grant. At the end of the performance period, the actual results are measured against the predetermined targets to determine the number of PSUs to be earned as compensation. The earned PSUs are then subject to a required service period of approximately three years from the grant date before vesting and being issued as common stock.</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PSU transactions for the three months ended March 31, 2022:</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580" w:type="dxa"/>
            <w:vAlign w:val="bottom"/>
            <w:tcBorders>
              <w:bottom w:val="single" w:sz="8" w:color="CCEEFF"/>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Weighted-average grant date fair value</w:t>
            </w: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r>
      <w:tr>
        <w:trPr>
          <w:trHeight w:val="210"/>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 vested outstanding at March 31, 2022</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0"/>
        </w:trPr>
        <w:tc>
          <w:tcPr>
            <w:tcW w:w="35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PSU grants above represent the number of shares that would vest based on achievement of all stock price milestones in the 2021 executive stock grants and the 100% achievement of the predetermined performance and market conditions for the other PSU grants. The actual number of PSUs which will vest is subject to adjustment based on the Company’s actual stock price performance and financial performance relative to the predetermined targets. As of March 31, 2022, the Company had approximately $13.0 million of total unrecognized stock-based compensation expense related to PSUs expected to be recognized over a weighted-average period of 4.28 years.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22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5" w:name="page16"/>
    <w:bookmarkEnd w:id="15"/>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6,078 shares pursuant to the ESPP during the three months ended March 31, 2022.</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Company’s Board of Directors authorized a $40 million share repurchase program and the Company repurchased $15.9 million of shares under this program in 2021. Subsequent to December 31, 2021, the Board of Directors approved a new share repurchase program, replacing the existing program and authorizing the repurchase by the Company of up to $100 million of its outstanding shares of common stock over the period ending on March 31, 2024.</w:t>
      </w:r>
    </w:p>
    <w:p>
      <w:pPr>
        <w:spacing w:after="0" w:line="183"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Company purchased 219,061 shares for $13.0 million during the three months ended March 31, 2022. The Company accounts for share repurchases by charging the excess of repurchase price over the common stock’s par value entirely to retained earnings. All repurchased shares are retired and become authorized but unissued shares.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Changes in accumulated other comprehensive income (“AOCI”)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4"/>
          </w:tcPr>
          <w:p>
            <w:pPr>
              <w:jc w:val="right"/>
              <w:ind w:right="45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 net of tax</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AOCI, net of tax</w:t>
            </w:r>
          </w:p>
        </w:tc>
        <w:tc>
          <w:tcPr>
            <w:tcW w:w="1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4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8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9"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b w:val="1"/>
          <w:bCs w:val="1"/>
          <w:color w:val="auto"/>
        </w:rPr>
        <w:t>7. Underwriting Information</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Company has a single reportable segment and offers primarily earthquake, wind, inland marine, and flood insurance products. Gross written premiums (“GWP”) by product are presented below:</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gridSpan w:val="8"/>
          </w:tcPr>
          <w:p>
            <w:pPr>
              <w:ind w:left="260"/>
              <w:spacing w:after="0" w:line="104"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2"/>
                <w:szCs w:val="12"/>
                <w:color w:val="auto"/>
              </w:rPr>
            </w:pPr>
          </w:p>
        </w:tc>
        <w:tc>
          <w:tcPr>
            <w:tcW w:w="8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GWP</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GWP</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Earthquake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46,336</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Fronting Premiums</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Earthquake</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Inland Marine</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w:t>
            </w: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Specialty Homeowners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All Risk</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Hawaii Hurricane</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Flood</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$ 103,577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Gross written premiums by state are as follows:</w:t>
            </w: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0"/>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gridSpan w:val="8"/>
          </w:tcPr>
          <w:p>
            <w:pPr>
              <w:ind w:left="280"/>
              <w:spacing w:after="0" w:line="104"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8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GWP</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GWP</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California</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68,718</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50,502</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Texas</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Hawaii</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Washington</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Florida</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Oregon</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Illinois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Carolina</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6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$ 103,577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Gross written premiums by insurance subsidiary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3"/>
          </w:tcPr>
          <w:p>
            <w:pPr>
              <w:jc w:val="right"/>
              <w:spacing w:after="0" w:line="104"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80" w:type="dxa"/>
            <w:vAlign w:val="bottom"/>
            <w:gridSpan w:val="2"/>
          </w:tcPr>
          <w:p>
            <w:pPr>
              <w:jc w:val="right"/>
              <w:ind w:right="45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2"/>
                <w:szCs w:val="12"/>
                <w:color w:val="auto"/>
              </w:rPr>
            </w:pPr>
          </w:p>
        </w:tc>
        <w:tc>
          <w:tcPr>
            <w:tcW w:w="11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GWP</w:t>
            </w:r>
          </w:p>
        </w:tc>
        <w:tc>
          <w:tcPr>
            <w:tcW w:w="3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GWP</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104,004</w:t>
            </w:r>
          </w:p>
        </w:tc>
        <w:tc>
          <w:tcPr>
            <w:tcW w:w="180" w:type="dxa"/>
            <w:vAlign w:val="bottom"/>
          </w:tcPr>
          <w:p>
            <w:pPr>
              <w:spacing w:after="0"/>
              <w:rPr>
                <w:sz w:val="18"/>
                <w:szCs w:val="18"/>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60.8 %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PESIC</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66,930</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39.2 %</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103,577</w:t>
            </w: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5"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calculates its tax provision in interim periods using its best estimate of the effective tax rate expected for the full year. During the three months ended March 31, 2022, the Company’s income tax rate of 23.8% was higher than the statutory rate of 21% due primarily to non-deductible executive compensation expense. For the three months ended March 31, 2021 the income tax rate of 17.3% was lower than the statutory rate due primarily to the tax impact of the permanent component of employee stock option exercises.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out earnings per share of common stock:</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25,362,179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Share equivalents</w:t>
            </w:r>
          </w:p>
        </w:tc>
        <w:tc>
          <w:tcPr>
            <w:tcW w:w="1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537,111</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25,899,290</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26,256,281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Reinsurance</w:t>
      </w:r>
    </w:p>
    <w:p>
      <w:pPr>
        <w:spacing w:after="0" w:line="229" w:lineRule="exact"/>
        <w:rPr>
          <w:sz w:val="20"/>
          <w:szCs w:val="20"/>
          <w:color w:val="auto"/>
        </w:rPr>
      </w:pPr>
    </w:p>
    <w:p>
      <w:pPr>
        <w:jc w:val="both"/>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4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the Company’s catastrophe event retention is $12.5 million for all perils. As of March 31, 2022, the Company’s XOL reinsurance structure provides protection up to $1.71 billion for earthquake events and $700 million for hurricane events.</w:t>
      </w:r>
    </w:p>
    <w:p>
      <w:pPr>
        <w:spacing w:after="0" w:line="17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has historically incorporated collateralized protection from the insurance linked securities (“ILS”) market via catastrophe bonds. During the first quarter of 2021, the Company closed a $400 million 144A catastrophe bond which became effective June 1, 2021. The catastrophe bond was completed through Torrey Pines Re Pte. Ltd. (“Torrey Pines Re”). Torrey Pines Re. is a special purpose insurer established in Singapore whereby Torrey Pines Re provides Palomar with indemnity-based reinsurance covering earthquake events.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Credit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 Bank Credit Agreement</w:t>
      </w:r>
    </w:p>
    <w:p>
      <w:pPr>
        <w:spacing w:after="0" w:line="227" w:lineRule="exact"/>
        <w:rPr>
          <w:sz w:val="20"/>
          <w:szCs w:val="20"/>
          <w:color w:val="auto"/>
        </w:rPr>
      </w:pPr>
    </w:p>
    <w:p>
      <w:pPr>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18" w:name="page19"/>
    <w:bookmarkEnd w:id="18"/>
    <w:p>
      <w:pPr>
        <w:ind w:left="60" w:right="159"/>
        <w:spacing w:after="0" w:line="261" w:lineRule="auto"/>
        <w:rPr>
          <w:sz w:val="20"/>
          <w:szCs w:val="20"/>
          <w:color w:val="auto"/>
        </w:rPr>
      </w:pPr>
      <w:r>
        <w:rPr>
          <w:rFonts w:ascii="Times New Roman" w:cs="Times New Roman" w:eastAsia="Times New Roman" w:hAnsi="Times New Roman"/>
          <w:sz w:val="18"/>
          <w:szCs w:val="18"/>
          <w:color w:val="auto"/>
        </w:rPr>
        <w:t>A loan may be either a SOFR 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spacing w:after="0" w:line="180" w:lineRule="exact"/>
        <w:rPr>
          <w:sz w:val="20"/>
          <w:szCs w:val="20"/>
          <w:color w:val="auto"/>
        </w:rPr>
      </w:pPr>
    </w:p>
    <w:p>
      <w:pPr>
        <w:ind w:left="60" w:right="339" w:firstLine="441"/>
        <w:spacing w:after="0" w:line="273"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 based capital ratio and minimum A.M Best financial strength rating. The Credit Agreement also contains customary events of default, such as non-compliance with financial covenants. If an event of default occurs, any debt may be declared immediately due and payable. As of March 31, 2022, the Company was in compliance with all debt covenants.</w:t>
      </w:r>
    </w:p>
    <w:p>
      <w:pPr>
        <w:spacing w:after="0" w:line="171" w:lineRule="exact"/>
        <w:rPr>
          <w:sz w:val="20"/>
          <w:szCs w:val="20"/>
          <w:color w:val="auto"/>
        </w:rPr>
      </w:pPr>
    </w:p>
    <w:p>
      <w:pPr>
        <w:ind w:left="60" w:right="419" w:firstLine="441"/>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did not have any outstanding borrowings under the Credit Agreement.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FHLB Line of Credit</w:t>
      </w:r>
    </w:p>
    <w:p>
      <w:pPr>
        <w:spacing w:after="0" w:line="227"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5% of PSIC’s statutory admitted assets. All advances have a predetermined term and the interest rate varies based on the term of the advance.</w:t>
      </w:r>
    </w:p>
    <w:p>
      <w:pPr>
        <w:spacing w:after="0" w:line="183"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$15 million of borrowings outstanding through the FHLB at the current overnight rate of 0.35%. There were no borrowings outstanding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6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includes certain forward-looking statements that are subject to risks, uncertainties and other factors described in part II, item 1A of this Quarterly Report. Our actual results could differ materially from those anticipated in these forward-looking statements as a result of many factors.</w:t>
      </w:r>
    </w:p>
    <w:p>
      <w:pPr>
        <w:spacing w:after="0" w:line="173" w:lineRule="exact"/>
        <w:rPr>
          <w:sz w:val="20"/>
          <w:szCs w:val="20"/>
          <w:color w:val="auto"/>
        </w:rPr>
      </w:pPr>
    </w:p>
    <w:p>
      <w:pPr>
        <w:ind w:left="60" w:right="239"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The results of operations for the three months ended March 31, 2022 are not necessarily indicative of the results that may be expected for the full year ended December 31, 2022,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24, 2022.</w:t>
      </w:r>
    </w:p>
    <w:p>
      <w:pPr>
        <w:spacing w:after="0" w:line="168" w:lineRule="exact"/>
        <w:rPr>
          <w:sz w:val="20"/>
          <w:szCs w:val="20"/>
          <w:color w:val="auto"/>
        </w:rPr>
      </w:pPr>
    </w:p>
    <w:p>
      <w:pPr>
        <w:ind w:left="60" w:right="9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the "Company," "Palomar," "we," "us," and "our" are to Palomar Holdings, Inc. and its subsidiaries, unless the context otherwise requires.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We are a rapidly growing and innovative insurer focused on providing specialty insurance to residential and commercial customers. Our underwriting and analytical expertise allow us to concentrate on certain markets that we believe are underserved by other insurance companies, such as the markets for earthquake, hurricane, inland marine, and flood insurance. We use proprietary data analytics and a modern technology platform to offer our customers flexible products with customized and granular pricing for both the admitted and excess and surplus lines (“E&amp;S”) markets.</w:t>
      </w:r>
    </w:p>
    <w:p>
      <w:pPr>
        <w:spacing w:after="0" w:line="16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provide admitted insurance products through our Oregon domiciled insurance company, Palomar Specialty Insurance Company (“PSIC”), and non-admitted insurance products through our Arizona domiciled surplus lines insurance company, Palomar Excess and Surplus Insurance Company (“PESIC”). 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92" w:lineRule="exact"/>
        <w:rPr>
          <w:sz w:val="20"/>
          <w:szCs w:val="20"/>
          <w:color w:val="auto"/>
        </w:rPr>
      </w:pPr>
    </w:p>
    <w:p>
      <w:pPr>
        <w:ind w:left="60" w:right="319" w:firstLine="648"/>
        <w:spacing w:after="0" w:line="255"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$535.2 million for the year ended December 31, 2021, which reflects a compound annual growth rate of approximately 64%. For the three months ended March 31, 2022, 46% of our gross written premiums were generated by our Residential Earthquake, Commercial Earthquake and Hawaii Hurricane lines of business, all of which are not subject to attritional losses. We experienced average monthly premium retention rates above 91% overall for these lines of business, providing strong visibility into future revenue.</w:t>
      </w:r>
    </w:p>
    <w:p>
      <w:pPr>
        <w:spacing w:after="0" w:line="18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February 2014, PSIC was awarded an “A−” rating from A.M. Best Company (“A.M. Best”), a leading rating agency for the insurance industry. An “A−” rating is categorized by A.M. Best as an excellent rating and indicates a stable outlook. In July 2020, PESIC was also awarded an “A−” rating by A.M. Best. In May 2021, A.M. Best affirmed the “A−” rating of PSIC and PESIC. These ratings reflect A.M. Best’s opinion of our subsidiaries’ financial strength, operating performance, and ability to meet obligations to policyholders and are not an evaluation directed towards the protection of investors.</w:t>
      </w:r>
    </w:p>
    <w:p>
      <w:pPr>
        <w:spacing w:after="0" w:line="187"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market opportunity, distinctive products, and differentiated business model position us to grow our business profitably.</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0" w:name="page21"/>
    <w:bookmarkEnd w:id="20"/>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The COVID-19 Pandemic (the “Pandemic") continues to impact businesses, households, communities, and financial markets.</w:t>
      </w:r>
    </w:p>
    <w:p>
      <w:pPr>
        <w:spacing w:after="0" w:line="16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Since the beginning of the Pandemic, our focus has been to protect the health of the public and our employees while serving our policyholders and ensuring business continuity. We recently began allowing all employees to return to our offices on a voluntary basis, with established protocols designed to ensure operational reliability and employee safety. In addition, we have taken extra physical security and cybersecurity measures to safeguard our systems to serve the operational needs of our workforce and ensure uninterrupted service to our brokers and policyholders.</w:t>
      </w:r>
    </w:p>
    <w:p>
      <w:pPr>
        <w:spacing w:after="0" w:line="18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have experienced business interruption claims related to the Pandemic. Our All Risk and Commercial Earthquake (Difference in Conditions or “DIC”) policies offer business interruption coverage for insureds for a loss in business income caused by physical damage to the structure. Each of our All Risk policies has a virus and/or communicable disease exclusion. Our DIC policies require physical damage to the structure caused by the covered peril, whether it be an earthquake or flood. We do not expect additional business interruption claims from the Pandemic and have acknowledged and adjusted each claim received.</w:t>
      </w:r>
    </w:p>
    <w:p>
      <w:pPr>
        <w:spacing w:after="0" w:line="18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Pandemic’s ultimate impact on our results of operations remains uncertain. Since the onset of the Pandemic, we have experienced volatility in the fair value of our investment portfolio due to unrealized losses and gains on our fixed income securities. Additional financial volatility caused by the Pandemic may have a negative impact on our investment portfolio and results of operations. Inflationary pressures caused by the Pandemic may increase our operating expenses and the average size of our loss claims. We have not seen a significant impact on the growth rate of our gross written premiums since the beginning of the Pandemic. However, the Pandemic continues to impact many aspects of the economy and society and the macroeconomic effects of the Pandemic may persist for an indefinite period, even after the Pandemic has subsided. We cannot anticipate all the ways in which the Pandemic or other similar global health crises could adversely impact our business in the future.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68" w:lineRule="exact"/>
        <w:rPr>
          <w:sz w:val="20"/>
          <w:szCs w:val="20"/>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new business submissions in existing products or partnerships;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of new business submissions in existing products or partnerships into policies;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new partnerships or the offering of new types of insurance products;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rates of existing policies;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size and premium rate of bound policies.</w:t>
      </w:r>
    </w:p>
    <w:p>
      <w:pPr>
        <w:spacing w:after="0" w:line="117"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1" w:name="page22"/>
    <w:bookmarkEnd w:id="21"/>
    <w:p>
      <w:pPr>
        <w:ind w:left="60" w:right="519"/>
        <w:spacing w:after="0" w:line="282" w:lineRule="auto"/>
        <w:rPr>
          <w:sz w:val="20"/>
          <w:szCs w:val="20"/>
          <w:color w:val="auto"/>
        </w:rPr>
      </w:pPr>
      <w:r>
        <w:rPr>
          <w:rFonts w:ascii="Times New Roman" w:cs="Times New Roman" w:eastAsia="Times New Roman" w:hAnsi="Times New Roman"/>
          <w:sz w:val="18"/>
          <w:szCs w:val="18"/>
          <w:color w:val="auto"/>
        </w:rPr>
        <w:t>agreements and co-participation levels in our quota share agreements. The volume of ceded written premiums is also impacted by the amount of premium we write under fronting agreements.</w:t>
      </w:r>
    </w:p>
    <w:p>
      <w:pPr>
        <w:spacing w:after="0" w:line="162"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of premium in-force during the XOL contract period or due to acceleration of XOL charges or the need to purchase additional reinsurance due to losses. In addition, the volume of premiums ceded in fronting agreements each period may vary due to the timing of entering new fronting partnerships and terminations of fronting partnerships.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Net earned premiums represent the earned portion of our gross written premiums, less the earned portion that is ceded to third-party reinsurers under our reinsurance agreements. Our insurance policies generally have a term of one year and premiums are earned pro rata over the terms of the policies.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left="60" w:right="779" w:firstLine="648"/>
        <w:spacing w:after="0" w:line="289" w:lineRule="auto"/>
        <w:rPr>
          <w:sz w:val="20"/>
          <w:szCs w:val="20"/>
          <w:color w:val="auto"/>
        </w:rPr>
      </w:pPr>
      <w:r>
        <w:rPr>
          <w:rFonts w:ascii="Times New Roman" w:cs="Times New Roman" w:eastAsia="Times New Roman" w:hAnsi="Times New Roman"/>
          <w:sz w:val="17"/>
          <w:szCs w:val="17"/>
          <w:color w:val="auto"/>
        </w:rPr>
        <w:t>Commission and other income consist of commissions earned on policies written on behalf of third party insurance companies where we have no exposure to the insured risk and certain fees earned in conjunction with underwriting policies. Commission and other income are earned on the effective date of the underlying policy.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spacing w:after="0" w:line="79" w:lineRule="exact"/>
        <w:rPr>
          <w:sz w:val="20"/>
          <w:szCs w:val="20"/>
          <w:color w:val="auto"/>
        </w:rPr>
      </w:pPr>
    </w:p>
    <w:p>
      <w:pPr>
        <w:ind w:left="1040" w:right="49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catastrophe events in the areas where we underwrite policies relating to these perils;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non-catastrophe attritional losses;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and characteristics of the policies we underwrite;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housing and construction costs.</w:t>
      </w:r>
    </w:p>
    <w:p>
      <w:pPr>
        <w:spacing w:after="0" w:line="225"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Acquisition expenses are principally comprised of the commissions we pay retail agents, program administrators and wholesale brokers, net of ceding commissions and fronting fees we receive on business ceded under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2" w:name="page23"/>
    <w:bookmarkEnd w:id="22"/>
    <w:p>
      <w:pPr>
        <w:ind w:left="60" w:right="79"/>
        <w:spacing w:after="0" w:line="261" w:lineRule="auto"/>
        <w:rPr>
          <w:sz w:val="20"/>
          <w:szCs w:val="20"/>
          <w:color w:val="auto"/>
        </w:rPr>
      </w:pPr>
      <w:r>
        <w:rPr>
          <w:rFonts w:ascii="Times New Roman" w:cs="Times New Roman" w:eastAsia="Times New Roman" w:hAnsi="Times New Roman"/>
          <w:sz w:val="18"/>
          <w:szCs w:val="18"/>
          <w:color w:val="auto"/>
        </w:rPr>
        <w:t>quota share and fronting reinsurance agreements. In addition, acquisition expenses include premium-related taxes and other fees. Acquisition expenses related to each policy we write are deferred and expensed pro rata over the term of the policy. We earn fronting fees in a manner consistent with the recognition of the earned premiums on the underlying insurance policies, on a pro rata basis over the terms of the policies.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the unused line fee and amortization of the commitment fee on our credit agreement with U.S. Bank National Association and interest accrued on borrowings from our FHLB loan.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earn investment income on our portfolio of invested assets. Our invested assets are primarily comprised of fixed maturity securities, and may also include cash and cash equivalents, and equity securities. The principal factors that influence net investment income are the size of our investment portfolio, the yield on that portfolio, and investment management expenses. As measured by amortized cost, which excludes changes in fair value, caused by changes in interest rates, the size of our investment portfolio is mainly a function of our invested capital along with premium we receive from our insureds, less payments on policyholder claims and other operating expenses. Our balance of invested capital may be impacted in the future by repurchases of shares of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 on Investments</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Net realized and unrealized gains and losses on investments are a function of the difference between the amount received by us on the sale of a security and the security’s cost-basis, mark-to-market adjustments, and credit losses recognized in earnings.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Currently our income tax expense consists mainly of federal income taxes imposed on our operations. Our effective tax rates are dependent upon the </w:t>
      </w:r>
      <w:r>
        <w:rPr>
          <w:rFonts w:ascii="Times New Roman" w:cs="Times New Roman" w:eastAsia="Times New Roman" w:hAnsi="Times New Roman"/>
          <w:sz w:val="18"/>
          <w:szCs w:val="18"/>
          <w:color w:val="212529"/>
        </w:rPr>
        <w:t>components of pretax earnings and the related tax effects.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We discuss certain key financial and operating metrics, described below, which provide useful information about our business and the operational factors underlying our financial performance.</w:t>
      </w:r>
    </w:p>
    <w:p>
      <w:pPr>
        <w:spacing w:after="0" w:line="160" w:lineRule="exact"/>
        <w:rPr>
          <w:sz w:val="20"/>
          <w:szCs w:val="20"/>
          <w:color w:val="auto"/>
        </w:rPr>
      </w:pPr>
    </w:p>
    <w:p>
      <w:pPr>
        <w:ind w:left="60" w:right="4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Underwriting revenue </w:t>
      </w:r>
      <w:r>
        <w:rPr>
          <w:rFonts w:ascii="Times New Roman" w:cs="Times New Roman" w:eastAsia="Times New Roman" w:hAnsi="Times New Roman"/>
          <w:sz w:val="17"/>
          <w:szCs w:val="17"/>
          <w:color w:val="auto"/>
        </w:rPr>
        <w:t>is a non-GAAP financial measure defined as total revenue, excluding net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and net realized and unrealized gains and losses on investments. See “Reconciliation of Non-GAAP Financial Measures” for a reconciliation of total revenue calculated in accordance with GAAP to underwriting revenue.</w:t>
      </w:r>
    </w:p>
    <w:p>
      <w:pPr>
        <w:spacing w:after="0" w:line="155"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Underwriting income </w:t>
      </w:r>
      <w:r>
        <w:rPr>
          <w:rFonts w:ascii="Times New Roman" w:cs="Times New Roman" w:eastAsia="Times New Roman" w:hAnsi="Times New Roman"/>
          <w:sz w:val="18"/>
          <w:szCs w:val="18"/>
          <w:color w:val="auto"/>
        </w:rPr>
        <w:t>is a non-GAAP financial measure defined as income before income taxes excluding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income and net realized and unrealized gains and losses on investments. See “Reconciliation of Non-GAAP Financial Measures” for a reconciliation of income before income taxes calculated in accordance with GAAP to underwriting income.</w:t>
      </w:r>
    </w:p>
    <w:p>
      <w:pPr>
        <w:spacing w:after="0" w:line="180" w:lineRule="exact"/>
        <w:rPr>
          <w:sz w:val="20"/>
          <w:szCs w:val="20"/>
          <w:color w:val="auto"/>
        </w:rPr>
      </w:pPr>
    </w:p>
    <w:p>
      <w:pPr>
        <w:ind w:left="60" w:right="2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Adjusted net income </w:t>
      </w:r>
      <w:r>
        <w:rPr>
          <w:rFonts w:ascii="Times New Roman" w:cs="Times New Roman" w:eastAsia="Times New Roman" w:hAnsi="Times New Roman"/>
          <w:sz w:val="17"/>
          <w:szCs w:val="17"/>
          <w:color w:val="auto"/>
        </w:rPr>
        <w:t>is a non-GAAP financial measure defined as net income excluding the impact of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items that may not be indicative of underlying business trends, operating results, or future outlook, net of tax impact. We calculate the tax impact only on adjustments which would be included in calculating our income tax expense using the</w:t>
      </w:r>
    </w:p>
    <w:p>
      <w:pPr>
        <w:sectPr>
          <w:pgSz w:w="11900" w:h="16838" w:orient="portrait"/>
          <w:cols w:equalWidth="0" w:num="1">
            <w:col w:w="9019"/>
          </w:cols>
          <w:pgMar w:left="1440" w:top="1269"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3" w:name="page24"/>
    <w:bookmarkEnd w:id="23"/>
    <w:p>
      <w:pPr>
        <w:ind w:left="60" w:right="339"/>
        <w:spacing w:after="0" w:line="312" w:lineRule="auto"/>
        <w:rPr>
          <w:sz w:val="20"/>
          <w:szCs w:val="20"/>
          <w:color w:val="auto"/>
        </w:rPr>
      </w:pPr>
      <w:r>
        <w:rPr>
          <w:rFonts w:ascii="Times New Roman" w:cs="Times New Roman" w:eastAsia="Times New Roman" w:hAnsi="Times New Roman"/>
          <w:sz w:val="17"/>
          <w:szCs w:val="17"/>
          <w:color w:val="auto"/>
        </w:rPr>
        <w:t>estimated tax rate at which the company received a deduction for these adjustments. See “Reconciliation of Non-GAAP Financial Measures” for a reconciliation of net income calculated in accordance with GAAP to adjusted net income.</w:t>
      </w:r>
    </w:p>
    <w:p>
      <w:pPr>
        <w:spacing w:after="0" w:line="138" w:lineRule="exact"/>
        <w:rPr>
          <w:sz w:val="20"/>
          <w:szCs w:val="20"/>
          <w:color w:val="auto"/>
        </w:rPr>
      </w:pPr>
    </w:p>
    <w:p>
      <w:pPr>
        <w:ind w:left="60" w:right="13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Return on equity </w:t>
      </w:r>
      <w:r>
        <w:rPr>
          <w:rFonts w:ascii="Times New Roman" w:cs="Times New Roman" w:eastAsia="Times New Roman" w:hAnsi="Times New Roman"/>
          <w:sz w:val="18"/>
          <w:szCs w:val="18"/>
          <w:color w:val="auto"/>
        </w:rPr>
        <w:t>is net income expressed on an annualized basis as a percentage of average beginning and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equity during the period.</w:t>
      </w:r>
    </w:p>
    <w:p>
      <w:pPr>
        <w:spacing w:after="0" w:line="158"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return on equity </w:t>
      </w:r>
      <w:r>
        <w:rPr>
          <w:rFonts w:ascii="Times New Roman" w:cs="Times New Roman" w:eastAsia="Times New Roman" w:hAnsi="Times New Roman"/>
          <w:sz w:val="18"/>
          <w:szCs w:val="18"/>
          <w:color w:val="auto"/>
        </w:rPr>
        <w:t>is a non-GAAP financial measure defined as adjusted net income expressed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annualized basis as a percentage of average beginning and ending stockholders’ equity during the period. See “Reconciliation of Non-GAAP Financial Measures” for a reconciliation of return on equity calculated using unadjusted GAAP numbers to adjusted return on equity.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225" w:lineRule="exact"/>
        <w:rPr>
          <w:sz w:val="20"/>
          <w:szCs w:val="20"/>
          <w:color w:val="auto"/>
        </w:rPr>
      </w:pPr>
    </w:p>
    <w:p>
      <w:pPr>
        <w:ind w:left="60" w:right="6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expressed as a percentage, is the ratio of acquisition and other underwriting expenses,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and other income to net earned premiums.</w:t>
      </w:r>
    </w:p>
    <w:p>
      <w:pPr>
        <w:spacing w:after="0" w:line="158" w:lineRule="exact"/>
        <w:rPr>
          <w:sz w:val="20"/>
          <w:szCs w:val="20"/>
          <w:color w:val="auto"/>
        </w:rPr>
      </w:pPr>
    </w:p>
    <w:p>
      <w:pPr>
        <w:ind w:left="60" w:right="63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Combined ratio </w:t>
      </w:r>
      <w:r>
        <w:rPr>
          <w:rFonts w:ascii="Times New Roman" w:cs="Times New Roman" w:eastAsia="Times New Roman" w:hAnsi="Times New Roman"/>
          <w:sz w:val="17"/>
          <w:szCs w:val="17"/>
          <w:color w:val="auto"/>
        </w:rPr>
        <w:t>is defined as the sum of the loss ratio and the expense ratio. A combined ratio under 100%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indicates an underwriting profit. A combined ratio over 100% generally indicates an underwriting loss.</w:t>
      </w:r>
    </w:p>
    <w:p>
      <w:pPr>
        <w:spacing w:after="0" w:line="135" w:lineRule="exact"/>
        <w:rPr>
          <w:sz w:val="20"/>
          <w:szCs w:val="20"/>
          <w:color w:val="auto"/>
        </w:rPr>
      </w:pPr>
    </w:p>
    <w:p>
      <w:pPr>
        <w:jc w:val="both"/>
        <w:ind w:left="60" w:right="2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combined ratio </w:t>
      </w:r>
      <w:r>
        <w:rPr>
          <w:rFonts w:ascii="Times New Roman" w:cs="Times New Roman" w:eastAsia="Times New Roman" w:hAnsi="Times New Roman"/>
          <w:sz w:val="18"/>
          <w:szCs w:val="18"/>
          <w:color w:val="auto"/>
        </w:rPr>
        <w:t>is a non-GAAP financial measure defined as the sum of the loss ratio and the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calculated excluding the impact of certain items that may not be indicative of underlying business trends, operating results, or future outlook. See “Reconciliation of Non-GAAP Financial Measures” for a reconciliation of combined ratio calculated using unadjusted GAAP numbers to adjusted combined ratio.</w:t>
      </w:r>
    </w:p>
    <w:p>
      <w:pPr>
        <w:spacing w:after="0" w:line="180" w:lineRule="exact"/>
        <w:rPr>
          <w:sz w:val="20"/>
          <w:szCs w:val="20"/>
          <w:color w:val="auto"/>
        </w:rPr>
      </w:pPr>
    </w:p>
    <w:p>
      <w:pPr>
        <w:jc w:val="both"/>
        <w:ind w:left="6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Diluted adjusted earnings per share </w:t>
      </w:r>
      <w:r>
        <w:rPr>
          <w:rFonts w:ascii="Times New Roman" w:cs="Times New Roman" w:eastAsia="Times New Roman" w:hAnsi="Times New Roman"/>
          <w:sz w:val="18"/>
          <w:szCs w:val="18"/>
          <w:color w:val="auto"/>
        </w:rPr>
        <w:t>is a non-GAAP financial measure defined as adjusted net income divided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weighted-average common shares outstanding for the period, reflecting the dilution which could occur if equity-based awards are converted into common share equivalents as calculated using the treasury stock method. See “Reconciliation of Non-GAAP Financial Measures” for a reconciliation of diluted earnings per share calculated in accordance with GAAP to diluted adjusted earnings per share.</w:t>
      </w:r>
    </w:p>
    <w:p>
      <w:pPr>
        <w:spacing w:after="0" w:line="183" w:lineRule="exact"/>
        <w:rPr>
          <w:sz w:val="20"/>
          <w:szCs w:val="20"/>
          <w:color w:val="auto"/>
        </w:rPr>
      </w:pPr>
    </w:p>
    <w:p>
      <w:pPr>
        <w:ind w:left="60" w:right="3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Catastrophe loss ratio </w:t>
      </w:r>
      <w:r>
        <w:rPr>
          <w:rFonts w:ascii="Times New Roman" w:cs="Times New Roman" w:eastAsia="Times New Roman" w:hAnsi="Times New Roman"/>
          <w:sz w:val="18"/>
          <w:szCs w:val="18"/>
          <w:color w:val="auto"/>
        </w:rPr>
        <w:t>is a non-GAAP financial measure defined as the ratio of catastrophe losses to net earned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See “Reconciliation of Non-GAAP Financial Measures” for a reconciliation of loss ratio calculated using unadjusted GAAP numbers to catastrophe loss ratio.</w:t>
      </w:r>
    </w:p>
    <w:p>
      <w:pPr>
        <w:spacing w:after="0" w:line="173"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combined ratio excluding catastrophe losses </w:t>
      </w:r>
      <w:r>
        <w:rPr>
          <w:rFonts w:ascii="Times New Roman" w:cs="Times New Roman" w:eastAsia="Times New Roman" w:hAnsi="Times New Roman"/>
          <w:sz w:val="18"/>
          <w:szCs w:val="18"/>
          <w:color w:val="auto"/>
        </w:rPr>
        <w:t>is a non-GAAP financial measure defined as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ratio excluding the impact of catastrophe losses. See “Reconciliation of Non-GAAP Financial Measures” for a reconciliation of combined ratio calculated using unadjusted GAAP numbers to adjusted combined ratio excluding catastrophe losses.</w:t>
      </w:r>
    </w:p>
    <w:p>
      <w:pPr>
        <w:spacing w:after="0" w:line="180" w:lineRule="exact"/>
        <w:rPr>
          <w:sz w:val="20"/>
          <w:szCs w:val="20"/>
          <w:color w:val="auto"/>
        </w:rPr>
      </w:pPr>
    </w:p>
    <w:p>
      <w:pPr>
        <w:jc w:val="both"/>
        <w:ind w:left="60" w:right="3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Tangible stockholders’ equity </w:t>
      </w:r>
      <w:r>
        <w:rPr>
          <w:rFonts w:ascii="Times New Roman" w:cs="Times New Roman" w:eastAsia="Times New Roman" w:hAnsi="Times New Roman"/>
          <w:sz w:val="18"/>
          <w:szCs w:val="18"/>
          <w:color w:val="auto"/>
        </w:rPr>
        <w:t>is a non-GAAP financial measure defined as stockholders’ equity less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See “Reconciliation of Non-GAAP Financial Measures” for a reconciliation of stockholders’ equity calculated in accordance with GAAP to tangible stockholders’ equity.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compared to three months ended March 31, 2021</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March 31, 2022 and 2021: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continue"/>
          </w:tcPr>
          <w:p>
            <w:pPr>
              <w:spacing w:after="0"/>
              <w:rPr>
                <w:sz w:val="11"/>
                <w:szCs w:val="11"/>
                <w:color w:val="auto"/>
              </w:rPr>
            </w:pPr>
          </w:p>
        </w:tc>
        <w:tc>
          <w:tcPr>
            <w:tcW w:w="102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 except</w:t>
            </w:r>
          </w:p>
        </w:tc>
        <w:tc>
          <w:tcPr>
            <w:tcW w:w="9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per share data)</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$ 170,934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103,577</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(43,364)</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(46,188)</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106.5 %</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underwriting revenue (1)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income (1)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0" w:type="dxa"/>
            <w:vAlign w:val="bottom"/>
          </w:tcPr>
          <w:p>
            <w:pPr>
              <w:spacing w:after="0"/>
              <w:rPr>
                <w:sz w:val="1"/>
                <w:szCs w:val="1"/>
                <w:color w:val="auto"/>
              </w:rPr>
            </w:pP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transactions and stock offerings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194.2 %</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catastrophe bond, net of rebate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impact</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Adjusted net income (1)</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Key Financial and Operating Metrics</w:t>
            </w: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Annualized adjusted return on equity (1)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Adjusted combined ratio (1)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Diluted adjusted earnings per share (1)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 ratio (1)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combined ratio excluding catastrophe losses (1)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73.7 %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20" w:right="9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Non-GAAP Financial Measures” for a reconciliation of the non-GAAP financial measures to their most directly comparable financial measures prepared in accordance with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Gross written premiums increased $67.3 million, or 65.0% to $170.9 million for the three months ended March 31, 2022 compared to $103.6 million for the three months ended March 31, 2021.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of</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GWP</w:t>
            </w:r>
          </w:p>
        </w:tc>
        <w:tc>
          <w:tcPr>
            <w:tcW w:w="2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GWP</w:t>
            </w: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Earthquake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46,336</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35,898</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$ 10,438</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Fronting Premiums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4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Earthquake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Inland Marine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18,237</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132.8 %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Specialty Homeowners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All Risk</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Hurricane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Flood</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75.6 %</w:t>
            </w:r>
          </w:p>
        </w:tc>
        <w:tc>
          <w:tcPr>
            <w:tcW w:w="0" w:type="dxa"/>
            <w:vAlign w:val="bottom"/>
          </w:tcPr>
          <w:p>
            <w:pPr>
              <w:spacing w:after="0"/>
              <w:rPr>
                <w:sz w:val="1"/>
                <w:szCs w:val="1"/>
                <w:color w:val="auto"/>
              </w:rPr>
            </w:pP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170,934</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$ 103,577</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100.0 %</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$ 67,357</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57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00" w:lineRule="exact"/>
        <w:rPr>
          <w:sz w:val="20"/>
          <w:szCs w:val="20"/>
          <w:color w:val="auto"/>
        </w:rPr>
      </w:pPr>
    </w:p>
    <w:p>
      <w:pPr>
        <w:spacing w:after="0" w:line="24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2021, we launched our fronting business, known as PLMR-FRONT. In a fronting agreement, we write the premium and then cede the majority of the premium and risk in exchange for a fronting fee, which is our primary source of profit in the arrangement. We expect to continue to write fronting premiums for the foreseeable future. The volume of fronting premiums written each period may vary due to the timing of entering new fronting partnerships and terminations of fronting partnerships.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78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60" w:type="dxa"/>
            <w:vAlign w:val="bottom"/>
          </w:tcPr>
          <w:p>
            <w:pPr>
              <w:spacing w:after="0"/>
              <w:rPr>
                <w:sz w:val="5"/>
                <w:szCs w:val="5"/>
                <w:color w:val="auto"/>
              </w:rPr>
            </w:pPr>
          </w:p>
        </w:tc>
        <w:tc>
          <w:tcPr>
            <w:tcW w:w="78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GWP</w:t>
            </w:r>
          </w:p>
        </w:tc>
        <w:tc>
          <w:tcPr>
            <w:tcW w:w="2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GWP</w:t>
            </w: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PSIC</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$ 104,004</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79,845</w:t>
            </w:r>
          </w:p>
        </w:tc>
        <w:tc>
          <w:tcPr>
            <w:tcW w:w="140" w:type="dxa"/>
            <w:vAlign w:val="bottom"/>
            <w:tcBorders>
              <w:right w:val="single" w:sz="8" w:color="CCEEFF"/>
            </w:tcBorders>
            <w:shd w:val="clear" w:color="auto" w:fill="CCEEFF"/>
          </w:tcPr>
          <w:p>
            <w:pPr>
              <w:spacing w:after="0"/>
              <w:rPr>
                <w:sz w:val="19"/>
                <w:szCs w:val="19"/>
                <w:color w:val="auto"/>
              </w:rPr>
            </w:pPr>
          </w:p>
        </w:tc>
        <w:tc>
          <w:tcPr>
            <w:tcW w:w="1400" w:type="dxa"/>
            <w:vAlign w:val="bottom"/>
            <w:tcBorders>
              <w:right w:val="single" w:sz="8" w:color="CCEEFF"/>
            </w:tcBorders>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77.1 %$ 24,159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PESIC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66,930</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23,732</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22.9 %</w:t>
            </w: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43,198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182.0 %</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6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$ 170,934</w:t>
            </w:r>
          </w:p>
        </w:tc>
        <w:tc>
          <w:tcPr>
            <w:tcW w:w="140" w:type="dxa"/>
            <w:vAlign w:val="bottom"/>
            <w:vMerge w:val="restart"/>
            <w:shd w:val="clear" w:color="auto" w:fill="CCEEFF"/>
          </w:tcPr>
          <w:p>
            <w:pPr>
              <w:spacing w:after="0"/>
              <w:rPr>
                <w:sz w:val="18"/>
                <w:szCs w:val="18"/>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$ 103,577</w:t>
            </w:r>
          </w:p>
        </w:tc>
        <w:tc>
          <w:tcPr>
            <w:tcW w:w="14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gridSpan w:val="4"/>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100.0 %$ 67,357</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gridSpan w:val="4"/>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Ceded written premiums increased $46.2 million, or 106.5%, to $89.6 million for the three months ended March 31, 2022 from $43.4 million for the three months ended March 31, 2021. The increase was primarily due to increased premium ceded under quota share arrangements due to growth in the volume of written premiums subject to quota shares and due to increased ceding under fronting agreements. In addition, we incurred increased excess of loss (“XOL”) reinsurance expense due to growth in exposure. During the three months ended March 31, 2021, our XOL</w:t>
      </w:r>
    </w:p>
    <w:p>
      <w:pPr>
        <w:sectPr>
          <w:pgSz w:w="11900" w:h="16838" w:orient="portrait"/>
          <w:cols w:equalWidth="0" w:num="1">
            <w:col w:w="9019"/>
          </w:cols>
          <w:pgMar w:left="1440" w:top="1265"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26" w:name="page27"/>
    <w:bookmarkEnd w:id="26"/>
    <w:p>
      <w:pPr>
        <w:ind w:left="60" w:right="139"/>
        <w:spacing w:after="0" w:line="266" w:lineRule="auto"/>
        <w:rPr>
          <w:sz w:val="20"/>
          <w:szCs w:val="20"/>
          <w:color w:val="auto"/>
        </w:rPr>
      </w:pPr>
      <w:r>
        <w:rPr>
          <w:rFonts w:ascii="Times New Roman" w:cs="Times New Roman" w:eastAsia="Times New Roman" w:hAnsi="Times New Roman"/>
          <w:sz w:val="18"/>
          <w:szCs w:val="18"/>
          <w:color w:val="auto"/>
        </w:rPr>
        <w:t>reinsurance expense was impacted by Winter Storm Uri (“Uri”). Catastrophe losses from Uri caused us to utilize certain layers of our XOL program causing us to incur approximately $4.0 million of expense associated with the reinstatement of our reinsurance program in the prior year.</w:t>
      </w:r>
    </w:p>
    <w:p>
      <w:pPr>
        <w:spacing w:after="0" w:line="176"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Ceded written premiums as a percentage of gross written premiums increased to 52.4% for the three months ended March 31, 2022 from 41.9% for the three months ended March 31, 2021. This increase was primarily due increased quota share and fronting cessions as previously described.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Net written premiums increased $21.2 million, or 35.2%, to $81.4 million for the three months ended March 31, 2022 from $60.2 million for the three months ended March 31, 2021. The increase was primarily due to an increase in gross written premiums, primarily in our Fronting, Residential Earthquake and Inland Marine lines partially offset by increased ceded written premiums.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Net earned premiums increased $28.9 million, or 61.6%, to $76.0 million for the three months ended March 31, 2022 from $47.1 million for the three months ended March 31, 2021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5"/>
                <w:szCs w:val="15"/>
                <w:color w:val="auto"/>
              </w:rPr>
            </w:pPr>
          </w:p>
        </w:tc>
        <w:tc>
          <w:tcPr>
            <w:tcW w:w="8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4"/>
          </w:tcPr>
          <w:p>
            <w:pPr>
              <w:jc w:val="right"/>
              <w:ind w:right="535"/>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earned premiums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earned premiums</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(62,892)</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(44,240)</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(18,652)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 ratio</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Commission and other income increased by $0.1 million, or 9.3%, to $0.8 million for the three months ended March 31, 2022, from $0.7 million for the three months ended March 31, 2021. This was due to an increase in policy related fees associated with an increased volume of premiums written.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increased $19.4 million, or 438.1% to $15.0 million for the three months ended March 31, 2022 from negative $4.4 million for the three months ended March 31, 2021. Losses and loss adjustment expenses consisted of the following elements during the respective periods: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4"/>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 losses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Non-catastrophe losses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177.9 %</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losses and loss adjustment expenses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7" w:name="page28"/>
    <w:bookmarkEnd w:id="27"/>
    <w:p>
      <w:pPr>
        <w:ind w:left="60" w:right="439" w:firstLine="693"/>
        <w:spacing w:after="0" w:line="282" w:lineRule="auto"/>
        <w:rPr>
          <w:sz w:val="20"/>
          <w:szCs w:val="20"/>
          <w:color w:val="auto"/>
        </w:rPr>
      </w:pPr>
      <w:r>
        <w:rPr>
          <w:rFonts w:ascii="Times New Roman" w:cs="Times New Roman" w:eastAsia="Times New Roman" w:hAnsi="Times New Roman"/>
          <w:sz w:val="18"/>
          <w:szCs w:val="18"/>
          <w:color w:val="auto"/>
        </w:rPr>
        <w:t>Our catastrophe loss ratio was 0.6% during the three months ended March 31, 2022. Catastrophe losses were related to unfavorable development on prior year catastrophe events.</w:t>
      </w:r>
    </w:p>
    <w:p>
      <w:pPr>
        <w:spacing w:after="0" w:line="16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catastrophe loss ratio was negative 20.5% during the three months ended March 31, 2021. The negative catastrophe loss ratio was due to favorable development on catastrophe losses from 2020 Hurricanes and due to reinsurance recoveries.</w:t>
      </w:r>
    </w:p>
    <w:p>
      <w:pPr>
        <w:spacing w:after="0" w:line="176"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non-catastrophe loss ratio was 19.1% for the three months ended March 31, 2022 compared to 11.1% during the three months ended March 31, 2021. Non-catastrophe losses increased due mainly to higher attritional losses on lines of business subject to attritional losses such as Commercial All Risk, Specialty Homeowners, Flood, and Inland Marine.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Acquisition expenses increased $8.7 million, or 45.3%, to $28.0 million for the three months ended March 31, 2022 from $19.3 million for the three months ended March 31, 2021. The increase was primarily due to higher earned premiums which resulted in higher commissions and premium-related taxes. The higher commissions and premium-related taxes were partially offset by higher earned ceding commissions and fronting fees due to an increase in premiums subject to a quota share or fronting agreement. Acquisition expenses as a percentage of gross earned premiums were 20.2% for the three months ended March 31, 2022 compared to 21.2% for the three months ended March 31, 2021. Acquisition expenses as a percentage of gross earned premiums decreased due to the recognition of higher ceding commission and fronting fee income as a percentage of gross earned premiums resulting from changes in mix of business produced.</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Other underwriting expenses increased $1.7 million, or 11.8%, to $15.9 million for the three months ended March 31, 2022 from $14.2 million for the three months ended March 31, 2021. The increase was primarily due to the Company incurring higher payroll, technology, stock-based compensation, and professional fees expenses associated with growth of the Company.</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11.5% for the three months ended March 31, 2022 compared to 15.6% for the three months ended March 31, 2021. Excluding the impact of expenses relating to transactions, stock-based compensation, amortization of intangibles, and catastrophe bonds other underwriting expenses as a percentage of gross earned premiums were 9.0% for the three months ended March 31, 2022 compared to 11.9% for the three months ended March 31, 2021.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229"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Net investment income increased $0.4 million, or 16.2%, to $2.6 million for the three months ended March 31, 2022 from $2.2 million for the three months ended March 31, 2021. The increase was primarily due to a higher average balance of investments during the three months ended March 31,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8" w:name="page29"/>
    <w:bookmarkEnd w:id="28"/>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incurred $1.3 million of net realized and unrealized losses on investments for the three months ended March 31, 2022 compared to $0.7 million of net realized and unrealized losses for the three months ended March 31, 2021 due to higher unrealized losses on our equity securities during the period ended March 31, 2022. Currently, we invest in investment grade fixed maturity securities, including U.S. government issues, state government issues, mortgage and asset-backed obligations, and corporate bonds with a small portion of our portfolio in equity securities. The following table summarizes the components of our investment income for each period presented: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4"/>
          </w:tcPr>
          <w:p>
            <w:pPr>
              <w:jc w:val="right"/>
              <w:ind w:right="333"/>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management fees and expenses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Borders>
              <w:bottom w:val="single" w:sz="8" w:color="auto"/>
            </w:tcBorders>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increased $1.0 million or 30.8% to $4.5 million for the three months ended March 31, 2022 from $3.5 million for the three months ended March 31, 2021 due to a higher effective tax rate during the three months ended March 31, 2022. During the three months ended March 31, 2022, our income tax rate of 23.8% was higher than the statutory rate of 21% due primarily to non-deductible executive compensation expense. For the three months ended March 31, 2021 our income tax rate of 17.3% was lower than the statutory rate due primarily to the tax impact of the permanent component of employee stock option exercises.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Financial Measures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Underwriting Revenue</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Total revenue calculated in accordance with GAAP reconciles to underwriting revenue as follows:</w:t>
      </w:r>
    </w:p>
    <w:p>
      <w:pPr>
        <w:spacing w:after="0" w:line="23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0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29"/>
        </w:trPr>
        <w:tc>
          <w:tcPr>
            <w:tcW w:w="7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4"/>
          </w:tcPr>
          <w:p>
            <w:pPr>
              <w:jc w:val="right"/>
              <w:ind w:right="41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49,244</w:t>
            </w:r>
          </w:p>
        </w:tc>
        <w:tc>
          <w:tcPr>
            <w:tcW w:w="20" w:type="dxa"/>
            <w:vAlign w:val="bottom"/>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 w:type="dxa"/>
            <w:vAlign w:val="bottom"/>
          </w:tcPr>
          <w:p>
            <w:pPr>
              <w:spacing w:after="0"/>
              <w:rPr>
                <w:sz w:val="18"/>
                <w:szCs w:val="18"/>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8"/>
                <w:szCs w:val="18"/>
                <w:color w:val="auto"/>
              </w:rPr>
            </w:pP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76,809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2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Underwriting Income</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define underwriting income as income before income taxes excluding net investment income and net realized and unrealized gains and losses on investments. Underwriting income represents the pre-tax profitability of our underwriting operations and allows us to evaluate our underwriting performance without regard to investment results. We use this metric as we believe it gives our management and other users of our financial information useful insight into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9" w:name="page30"/>
    <w:bookmarkEnd w:id="29"/>
    <w:p>
      <w:pPr>
        <w:ind w:left="60" w:right="639"/>
        <w:spacing w:after="0" w:line="282" w:lineRule="auto"/>
        <w:rPr>
          <w:sz w:val="20"/>
          <w:szCs w:val="20"/>
          <w:color w:val="auto"/>
        </w:rPr>
      </w:pPr>
      <w:r>
        <w:rPr>
          <w:rFonts w:ascii="Times New Roman" w:cs="Times New Roman" w:eastAsia="Times New Roman" w:hAnsi="Times New Roman"/>
          <w:sz w:val="18"/>
          <w:szCs w:val="18"/>
          <w:color w:val="auto"/>
        </w:rPr>
        <w:t>our underlying business performance. Underwriting income should not be viewed as a substitute for pre-tax income calculated in accordance with GAAP, and other companies may define underwriting income differently.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before income taxes calculated in accordance with GAAP reconciles to underwriting income as follows:</w:t>
      </w:r>
    </w:p>
    <w:p>
      <w:pPr>
        <w:spacing w:after="0" w:line="23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55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5"/>
          </w:tcPr>
          <w:p>
            <w:pPr>
              <w:jc w:val="right"/>
              <w:ind w:right="41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income</w:t>
            </w:r>
          </w:p>
        </w:tc>
        <w:tc>
          <w:tcPr>
            <w:tcW w:w="1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w:t>
            </w:r>
          </w:p>
        </w:tc>
      </w:tr>
      <w:tr>
        <w:trPr>
          <w:trHeight w:val="20"/>
        </w:trPr>
        <w:tc>
          <w:tcPr>
            <w:tcW w:w="5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income calculated in accordance with GAAP reconciles to adjusted net income as follows:</w:t>
      </w:r>
    </w:p>
    <w:p>
      <w:pPr>
        <w:spacing w:after="0" w:line="23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55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5"/>
          </w:tcPr>
          <w:p>
            <w:pPr>
              <w:jc w:val="right"/>
              <w:ind w:right="4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 and stock offerings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catastrophe bond, net of rebate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19,286</w:t>
            </w:r>
          </w:p>
        </w:tc>
      </w:tr>
      <w:tr>
        <w:trPr>
          <w:trHeight w:val="20"/>
        </w:trPr>
        <w:tc>
          <w:tcPr>
            <w:tcW w:w="5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Annualized Adjusted Return on Equity</w:t>
      </w:r>
    </w:p>
    <w:p>
      <w:pPr>
        <w:spacing w:after="0" w:line="22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We define adjusted return on equity as adjusted net income expressed on an annualized basis as a percentage of average beginning and ending stockholders’ equity during the period. We use adjusted return on equity as an internal performance measure in the management of our operations because we believe it gives our management and financial statement users useful insight into our results of operations and our underlying business performance. Adjusted return on equity should not be viewed as a substitute for return on equity calculated using unadjusted GAAP numbers, and other companies may define adjusted return on equity differently.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0" w:name="page31"/>
    <w:bookmarkEnd w:id="30"/>
    <w:p>
      <w:pPr>
        <w:ind w:left="700"/>
        <w:spacing w:after="0"/>
        <w:rPr>
          <w:sz w:val="20"/>
          <w:szCs w:val="20"/>
          <w:color w:val="auto"/>
        </w:rPr>
      </w:pPr>
      <w:r>
        <w:rPr>
          <w:rFonts w:ascii="Times New Roman" w:cs="Times New Roman" w:eastAsia="Times New Roman" w:hAnsi="Times New Roman"/>
          <w:sz w:val="18"/>
          <w:szCs w:val="18"/>
          <w:color w:val="auto"/>
        </w:rPr>
        <w:t>Annualized adjusted return on equity is calculated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6"/>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4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net income</w:t>
            </w:r>
          </w:p>
        </w:tc>
        <w:tc>
          <w:tcPr>
            <w:tcW w:w="2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Average stockholders' equity</w:t>
            </w:r>
          </w:p>
        </w:tc>
        <w:tc>
          <w:tcPr>
            <w:tcW w:w="20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387,284</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370,048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2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Adjusted combined ratio is calculated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6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37"/>
        </w:trPr>
        <w:tc>
          <w:tcPr>
            <w:tcW w:w="6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20"/>
                <w:szCs w:val="20"/>
                <w:color w:val="auto"/>
              </w:rPr>
            </w:pPr>
          </w:p>
        </w:tc>
      </w:tr>
      <w:tr>
        <w:trPr>
          <w:trHeight w:val="223"/>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198"/>
        </w:trPr>
        <w:tc>
          <w:tcPr>
            <w:tcW w:w="6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 and other</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4"/>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 net of commission and other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58,156</w:t>
            </w:r>
          </w:p>
        </w:tc>
        <w:tc>
          <w:tcPr>
            <w:tcW w:w="2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240" w:type="dxa"/>
            <w:vAlign w:val="bottom"/>
            <w:shd w:val="clear" w:color="auto" w:fill="CCEEFF"/>
          </w:tcPr>
          <w:p>
            <w:pPr>
              <w:spacing w:after="0"/>
              <w:rPr>
                <w:sz w:val="20"/>
                <w:szCs w:val="20"/>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76,032</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240" w:type="dxa"/>
            <w:vAlign w:val="bottom"/>
            <w:tcBorders>
              <w:bottom w:val="single" w:sz="8" w:color="CCEEFF"/>
            </w:tcBorders>
          </w:tcPr>
          <w:p>
            <w:pPr>
              <w:spacing w:after="0"/>
              <w:rPr>
                <w:sz w:val="19"/>
                <w:szCs w:val="19"/>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numerator:</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associated with transactions and stock offerings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(410)</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(2,760)</w:t>
            </w:r>
          </w:p>
        </w:tc>
        <w:tc>
          <w:tcPr>
            <w:tcW w:w="16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(938)</w:t>
            </w: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(337)</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associated with catastrophe bond, net of rebate</w:t>
            </w:r>
          </w:p>
        </w:tc>
        <w:tc>
          <w:tcPr>
            <w:tcW w:w="16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(1,683)</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combined ratio</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Diluted Adjusted Earnings Per share</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1" w:name="page32"/>
    <w:bookmarkEnd w:id="31"/>
    <w:p>
      <w:pPr>
        <w:ind w:left="700"/>
        <w:spacing w:after="0"/>
        <w:rPr>
          <w:sz w:val="20"/>
          <w:szCs w:val="20"/>
          <w:color w:val="auto"/>
        </w:rPr>
      </w:pPr>
      <w:r>
        <w:rPr>
          <w:rFonts w:ascii="Times New Roman" w:cs="Times New Roman" w:eastAsia="Times New Roman" w:hAnsi="Times New Roman"/>
          <w:sz w:val="18"/>
          <w:szCs w:val="18"/>
          <w:color w:val="auto"/>
        </w:rPr>
        <w:t>Diluted adjusted earnings per share is calculated as follows:</w:t>
      </w:r>
    </w:p>
    <w:p>
      <w:pPr>
        <w:spacing w:after="0" w:line="23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 thousands, except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5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25,899,290</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26,256,281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earnings per share</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 Ratio</w:t>
      </w:r>
    </w:p>
    <w:p>
      <w:pPr>
        <w:spacing w:after="0" w:line="229"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Catastrophe loss ratio is calculated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6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Losses and loss adjustment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(4,423)</w:t>
            </w: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76,032</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260" w:type="dxa"/>
            <w:vAlign w:val="bottom"/>
            <w:tcBorders>
              <w:bottom w:val="single" w:sz="8" w:color="CCEEFF"/>
            </w:tcBorders>
          </w:tcPr>
          <w:p>
            <w:pPr>
              <w:spacing w:after="0"/>
              <w:rPr>
                <w:sz w:val="19"/>
                <w:szCs w:val="19"/>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68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Catastrophe losses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(9,631)</w:t>
            </w: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76,032</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260" w:type="dxa"/>
            <w:vAlign w:val="bottom"/>
            <w:tcBorders>
              <w:bottom w:val="single" w:sz="8" w:color="CCEEFF"/>
            </w:tcBorders>
          </w:tcPr>
          <w:p>
            <w:pPr>
              <w:spacing w:after="0"/>
              <w:rPr>
                <w:sz w:val="19"/>
                <w:szCs w:val="19"/>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 loss ratio</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6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 Excluding Catastrophe Losses</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2" w:name="page33"/>
    <w:bookmarkEnd w:id="32"/>
    <w:p>
      <w:pPr>
        <w:ind w:left="700"/>
        <w:spacing w:after="0"/>
        <w:rPr>
          <w:sz w:val="20"/>
          <w:szCs w:val="20"/>
          <w:color w:val="auto"/>
        </w:rPr>
      </w:pPr>
      <w:r>
        <w:rPr>
          <w:rFonts w:ascii="Times New Roman" w:cs="Times New Roman" w:eastAsia="Times New Roman" w:hAnsi="Times New Roman"/>
          <w:sz w:val="18"/>
          <w:szCs w:val="18"/>
          <w:color w:val="auto"/>
        </w:rPr>
        <w:t>Adjusted combined ratio excluding catastrophe losses is calculated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6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5"/>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198"/>
        </w:trPr>
        <w:tc>
          <w:tcPr>
            <w:tcW w:w="68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 and other</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 net of commission and other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58,156</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260" w:type="dxa"/>
            <w:vAlign w:val="bottom"/>
            <w:shd w:val="clear" w:color="auto" w:fill="CCEEFF"/>
          </w:tcPr>
          <w:p>
            <w:pPr>
              <w:spacing w:after="0"/>
              <w:rPr>
                <w:sz w:val="20"/>
                <w:szCs w:val="20"/>
                <w:color w:val="auto"/>
              </w:rPr>
            </w:pP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260" w:type="dxa"/>
            <w:vAlign w:val="bottom"/>
            <w:tcBorders>
              <w:bottom w:val="single" w:sz="8" w:color="CCEEFF"/>
            </w:tcBorders>
          </w:tcPr>
          <w:p>
            <w:pPr>
              <w:spacing w:after="0"/>
              <w:rPr>
                <w:sz w:val="19"/>
                <w:szCs w:val="19"/>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numerator:</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associated with transactions and stock offerings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(410)</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21"/>
                <w:szCs w:val="21"/>
                <w:color w:val="auto"/>
              </w:rPr>
            </w:pP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(2,760)</w:t>
            </w:r>
          </w:p>
        </w:tc>
        <w:tc>
          <w:tcPr>
            <w:tcW w:w="220" w:type="dxa"/>
            <w:vAlign w:val="bottom"/>
          </w:tcPr>
          <w:p>
            <w:pPr>
              <w:spacing w:after="0"/>
              <w:rPr>
                <w:sz w:val="21"/>
                <w:szCs w:val="21"/>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(938)</w:t>
            </w: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(337)</w:t>
            </w: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associated with catastrophe bond, net of rebate</w:t>
            </w:r>
          </w:p>
        </w:tc>
        <w:tc>
          <w:tcPr>
            <w:tcW w:w="180" w:type="dxa"/>
            <w:vAlign w:val="bottom"/>
          </w:tcPr>
          <w:p>
            <w:pPr>
              <w:spacing w:after="0"/>
              <w:rPr>
                <w:sz w:val="21"/>
                <w:szCs w:val="21"/>
                <w:color w:val="auto"/>
              </w:rPr>
            </w:pP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21"/>
                <w:szCs w:val="21"/>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(1,683)</w:t>
            </w: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 losses</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260" w:type="dxa"/>
            <w:vAlign w:val="bottom"/>
            <w:shd w:val="clear" w:color="auto" w:fill="CCEEFF"/>
          </w:tcPr>
          <w:p>
            <w:pPr>
              <w:spacing w:after="0"/>
              <w:rPr>
                <w:sz w:val="21"/>
                <w:szCs w:val="21"/>
                <w:color w:val="auto"/>
              </w:rPr>
            </w:pP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combined ratio excluding catastrophe losses</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Tangible Stockholders’ Equity</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Stockholders’ equity calculated in accordance with GAAP reconciles to tangible stockholders’ equity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45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4"/>
          </w:tcPr>
          <w:p>
            <w:pPr>
              <w:jc w:val="right"/>
              <w:ind w:right="4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380,400</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394,169</w:t>
            </w: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w:t>
            </w:r>
          </w:p>
        </w:tc>
      </w:tr>
      <w:tr>
        <w:trPr>
          <w:trHeight w:val="210"/>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2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371,199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384,668</w:t>
            </w:r>
          </w:p>
        </w:tc>
      </w:tr>
      <w:tr>
        <w:trPr>
          <w:trHeight w:val="20"/>
        </w:trPr>
        <w:tc>
          <w:tcPr>
            <w:tcW w:w="4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29" w:lineRule="exact"/>
        <w:rPr>
          <w:sz w:val="20"/>
          <w:szCs w:val="20"/>
          <w:color w:val="auto"/>
        </w:rPr>
      </w:pPr>
    </w:p>
    <w:p>
      <w:pPr>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76"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Company’s U.S. insurance company subsidiaries, PSIC and PESIC, are restricted by the statutes as to the amount of dividends that they may pay without prior approval by state insurance commissioners.</w:t>
      </w:r>
    </w:p>
    <w:p>
      <w:pPr>
        <w:spacing w:after="0" w:line="162"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Under California and Oregon statute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3" w:name="page34"/>
    <w:bookmarkEnd w:id="33"/>
    <w:p>
      <w:pPr>
        <w:ind w:left="60" w:right="499"/>
        <w:spacing w:after="0" w:line="282" w:lineRule="auto"/>
        <w:rPr>
          <w:sz w:val="20"/>
          <w:szCs w:val="20"/>
          <w:color w:val="auto"/>
        </w:rPr>
      </w:pPr>
      <w:r>
        <w:rPr>
          <w:rFonts w:ascii="Times New Roman" w:cs="Times New Roman" w:eastAsia="Times New Roman" w:hAnsi="Times New Roman"/>
          <w:sz w:val="18"/>
          <w:szCs w:val="18"/>
          <w:color w:val="auto"/>
        </w:rPr>
        <w:t>pay a dividend or distribution of no greater than $45.7 million in 2022 without approval by the California and Oregon Insurance Commissioners.</w:t>
      </w:r>
    </w:p>
    <w:p>
      <w:pPr>
        <w:spacing w:after="0" w:line="162"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$4.1 million in 2022 without approval of the Arizona Insurance Commissioner.</w:t>
      </w:r>
    </w:p>
    <w:p>
      <w:pPr>
        <w:spacing w:after="0" w:line="164"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80" w:lineRule="exact"/>
        <w:rPr>
          <w:sz w:val="20"/>
          <w:szCs w:val="20"/>
          <w:color w:val="auto"/>
        </w:rPr>
      </w:pPr>
    </w:p>
    <w:p>
      <w:pPr>
        <w:jc w:val="both"/>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BMA, from declaring or paying any dividends during the next</w:t>
      </w:r>
    </w:p>
    <w:p>
      <w:pPr>
        <w:spacing w:after="0" w:line="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spacing w:after="0" w:line="18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1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2022 is calculated to be approximately $4.2 million. However, this dividend amount is subject to annual enhanced solvency requirement calculations.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cash flow are written premiums, investment income, reinsurance recoveries, sales and redemptions of investments, and proceeds from offerings of equity securities. We use our cash flows primarily to pay reinsurance premiums, operating expenses, losses and loss adjustment expenses, and income taxes.</w:t>
      </w:r>
    </w:p>
    <w:p>
      <w:pPr>
        <w:spacing w:after="0" w:line="176"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Our cash flows from operations may differ substantially from our net income due to non-cash charges or due to changes in balance sheet accounts.</w:t>
      </w:r>
    </w:p>
    <w:p>
      <w:pPr>
        <w:spacing w:after="0" w:line="16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4" w:name="page35"/>
    <w:bookmarkEnd w:id="34"/>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2022 and 2021:</w:t>
      </w:r>
    </w:p>
    <w:p>
      <w:pPr>
        <w:spacing w:after="0" w:line="23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7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4"/>
          </w:tcPr>
          <w:p>
            <w:pPr>
              <w:jc w:val="right"/>
              <w:ind w:right="354"/>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1"/>
                <w:szCs w:val="1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2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(53,630)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0" w:type="dxa"/>
            <w:vAlign w:val="bottom"/>
          </w:tcPr>
          <w:p>
            <w:pPr>
              <w:spacing w:after="0"/>
              <w:rPr>
                <w:sz w:val="18"/>
                <w:szCs w:val="18"/>
                <w:color w:val="auto"/>
              </w:rPr>
            </w:pPr>
          </w:p>
        </w:tc>
      </w:tr>
      <w:tr>
        <w:trPr>
          <w:trHeight w:val="216"/>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8"/>
                <w:szCs w:val="18"/>
                <w:color w:val="auto"/>
              </w:rPr>
            </w:pPr>
          </w:p>
        </w:tc>
      </w:tr>
      <w:tr>
        <w:trPr>
          <w:trHeight w:val="20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2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cash flow from operating activities was positive during the three months ended March 31, 2022 due to net income and a decrease in net operating assets. Our cash flow from operating activities was negative during the three months ended March 31, 2021 due to an increase in net operating assets primarily related to payment on claims in excess of reinsurance recoveries.</w:t>
      </w:r>
    </w:p>
    <w:p>
      <w:pPr>
        <w:spacing w:after="0" w:line="180" w:lineRule="exact"/>
        <w:rPr>
          <w:sz w:val="20"/>
          <w:szCs w:val="20"/>
          <w:color w:val="auto"/>
        </w:rPr>
      </w:pPr>
    </w:p>
    <w:p>
      <w:pPr>
        <w:ind w:left="60" w:right="119" w:firstLine="693"/>
        <w:spacing w:after="0" w:line="261" w:lineRule="auto"/>
        <w:rPr>
          <w:sz w:val="20"/>
          <w:szCs w:val="20"/>
          <w:color w:val="auto"/>
        </w:rPr>
      </w:pPr>
      <w:r>
        <w:rPr>
          <w:rFonts w:ascii="Times New Roman" w:cs="Times New Roman" w:eastAsia="Times New Roman" w:hAnsi="Times New Roman"/>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80"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2022 related primarily to purchases of fixed maturity and equity securities in excess of sales and maturities. Cash provided by investing activities for the three months ended March 31, 2021 related primarily to sales and maturities of fixed maturity and equity securities in excess of purchases.</w:t>
      </w:r>
    </w:p>
    <w:p>
      <w:pPr>
        <w:spacing w:after="0" w:line="18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for three months ended March 31, 2022 was related to $15.0 million in borrowings from our FHLB line of credit, the receipt of $0.1 million in proceeds from stock option exercises and the receipt of $0.3 million in proceeds from our employee stock purchase plan, offset by the repurchase of $13.0 million of our common stock. Cash provided by financing activities for three months ended March 31, 2021 was related to the receipt of $0.3 million in proceeds from our employee stock purchase plan, and the receipt of $1.0 million in proceeds from stock option exercises.</w:t>
      </w:r>
    </w:p>
    <w:p>
      <w:pPr>
        <w:spacing w:after="0" w:line="18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$533.2 million in cash and investment securities available at March 31, 2022. We also have the ability to access additional capital through pursuing third-party borrowings, sales of our equity or debt securities or entrance into a reinsurance arrangement.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5" w:name="page36"/>
    <w:bookmarkEnd w:id="35"/>
    <w:p>
      <w:pPr>
        <w:ind w:left="60" w:right="279"/>
        <w:spacing w:after="0" w:line="282" w:lineRule="auto"/>
        <w:rPr>
          <w:sz w:val="20"/>
          <w:szCs w:val="20"/>
          <w:color w:val="auto"/>
        </w:rPr>
      </w:pPr>
      <w:r>
        <w:rPr>
          <w:rFonts w:ascii="Times New Roman" w:cs="Times New Roman" w:eastAsia="Times New Roman" w:hAnsi="Times New Roman"/>
          <w:sz w:val="18"/>
          <w:szCs w:val="18"/>
          <w:color w:val="auto"/>
        </w:rPr>
        <w:t>in accordance with federal securities laws. The Company purchased 219,061 shares for $13.0 million under this program during the three months ended March 31, 2022 and $87.0 million remains available for future repurchases.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the ability to access additional capital through multiple credit agreements.</w:t>
      </w:r>
    </w:p>
    <w:p>
      <w:pPr>
        <w:spacing w:after="0" w:line="225" w:lineRule="exact"/>
        <w:rPr>
          <w:sz w:val="20"/>
          <w:szCs w:val="20"/>
          <w:color w:val="auto"/>
        </w:rPr>
      </w:pPr>
    </w:p>
    <w:p>
      <w:pPr>
        <w:ind w:left="60" w:right="99" w:firstLine="441"/>
        <w:spacing w:after="0" w:line="260"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w:t>
      </w:r>
    </w:p>
    <w:p>
      <w:pPr>
        <w:spacing w:after="0" w:line="185" w:lineRule="exact"/>
        <w:rPr>
          <w:sz w:val="20"/>
          <w:szCs w:val="20"/>
          <w:color w:val="auto"/>
        </w:rPr>
      </w:pPr>
    </w:p>
    <w:p>
      <w:pPr>
        <w:ind w:left="60" w:right="219" w:firstLine="441"/>
        <w:spacing w:after="0" w:line="282" w:lineRule="auto"/>
        <w:rPr>
          <w:sz w:val="20"/>
          <w:szCs w:val="20"/>
          <w:color w:val="auto"/>
        </w:rPr>
      </w:pPr>
      <w:r>
        <w:rPr>
          <w:rFonts w:ascii="Times New Roman" w:cs="Times New Roman" w:eastAsia="Times New Roman" w:hAnsi="Times New Roman"/>
          <w:sz w:val="18"/>
          <w:szCs w:val="18"/>
          <w:color w:val="auto"/>
        </w:rPr>
        <w:t>As of March 31, 2022 we do not have any outstanding borrowings under the Credit Agreement, but we may seek to borrow under the Credit Agreement in the future.</w:t>
      </w:r>
    </w:p>
    <w:p>
      <w:pPr>
        <w:spacing w:after="0" w:line="162" w:lineRule="exact"/>
        <w:rPr>
          <w:sz w:val="20"/>
          <w:szCs w:val="20"/>
          <w:color w:val="auto"/>
        </w:rPr>
      </w:pPr>
    </w:p>
    <w:p>
      <w:pPr>
        <w:ind w:left="60" w:right="179" w:firstLine="441"/>
        <w:spacing w:after="0" w:line="258" w:lineRule="auto"/>
        <w:rPr>
          <w:sz w:val="20"/>
          <w:szCs w:val="20"/>
          <w:color w:val="auto"/>
        </w:rPr>
      </w:pPr>
      <w:r>
        <w:rPr>
          <w:rFonts w:ascii="Times New Roman" w:cs="Times New Roman" w:eastAsia="Times New Roman" w:hAnsi="Times New Roman"/>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5% of PSIC’s statutory admitted assets. All advances have predetermined term and the interest rate varies based on the term of the advance.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2022, the Company had $15 million of borrowings outstanding through the FHLB line of credit.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At March 31, 2022 total stockholders’ equity was $380.4 million and tangible stockholders’ equity was $371.2 million, compared to total stockholders’ equity of $394.2 million and tangible stockholders’ equity of $384.7 million as of December 31, 2021. Stockholder’s equity decreased primarily due to unrealized losses on fixed maturity securities and repurchases of shares of our common stock and was offset by the net income we earned for the period and activity related to stock-based compensation.</w:t>
      </w:r>
    </w:p>
    <w:p>
      <w:pPr>
        <w:spacing w:after="0" w:line="183"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Tangible stockholders’ equity is a non-GAAP financial measure. See “Reconciliation of Non-GAAP Financial Measures” for a reconciliation of stockholders’ equity in accordance with GAAP to tangible stockholders’ equity.</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tax-exempt fixed maturities, as well as publicly traded mutual funds and common stock of individual companies. Our cash and invested assets consist of cash and cash equivalents, fixed maturity securities, and equity securities. As of March 31, 2022, the majority of our investment portfolio, or $444.4 million, was comprised of fixed maturity securities that are classified as available-for-sale and carried at fair value with unrealized gains and losses on these securities, net of applicable taxes, reported as a separate component of accumulated other comprehensive income. Also included in our investment portfolio were $42.0 million of equity securities. In addition, we maintained a non-restricted cash and cash equivalent balance of $46.9 million at March 31, 2022. Our fixed maturity securities, including cash equivalents, had a weighted average effective duration of 4.17 and 3.99 years and an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6" w:name="page37"/>
    <w:bookmarkEnd w:id="36"/>
    <w:p>
      <w:pPr>
        <w:ind w:left="60" w:right="599"/>
        <w:spacing w:after="0" w:line="312" w:lineRule="auto"/>
        <w:rPr>
          <w:sz w:val="20"/>
          <w:szCs w:val="20"/>
          <w:color w:val="auto"/>
        </w:rPr>
      </w:pPr>
      <w:r>
        <w:rPr>
          <w:rFonts w:ascii="Times New Roman" w:cs="Times New Roman" w:eastAsia="Times New Roman" w:hAnsi="Times New Roman"/>
          <w:sz w:val="17"/>
          <w:szCs w:val="17"/>
          <w:color w:val="auto"/>
        </w:rPr>
        <w:t>average rating of “A1/A+” and “A1/A” at March 31, 2022 and December 31, 2021, respectively. Our fixed income investment portfolio had a book yield of 2.34% as of March 31, 2022, compared to 2.23% as of December 31, 2021.</w:t>
      </w:r>
    </w:p>
    <w:p>
      <w:pPr>
        <w:spacing w:after="0" w:line="14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the amortized cost and fair value on available-for-sale securities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6100" w:type="dxa"/>
            <w:vAlign w:val="bottom"/>
            <w:gridSpan w:val="2"/>
            <w:vMerge w:val="continue"/>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or Cost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246,481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237,136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126,145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$ 461,206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$ 444,320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6100" w:type="dxa"/>
            <w:vAlign w:val="bottom"/>
            <w:gridSpan w:val="2"/>
            <w:vMerge w:val="continue"/>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or Cost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Industrial and miscellaneous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245,064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110,960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$ 426,122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$ 432,682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9" w:right="1440" w:bottom="1440" w:gutter="0" w:footer="0" w:header="0"/>
        </w:sectPr>
      </w:pPr>
    </w:p>
    <w:bookmarkStart w:id="37" w:name="page38"/>
    <w:bookmarkEnd w:id="37"/>
    <w:p>
      <w:pPr>
        <w:ind w:left="700"/>
        <w:spacing w:after="0"/>
        <w:rPr>
          <w:sz w:val="20"/>
          <w:szCs w:val="20"/>
          <w:color w:val="auto"/>
        </w:rPr>
      </w:pPr>
      <w:r>
        <w:rPr>
          <w:rFonts w:ascii="Times New Roman" w:cs="Times New Roman" w:eastAsia="Times New Roman" w:hAnsi="Times New Roman"/>
          <w:sz w:val="18"/>
          <w:szCs w:val="18"/>
          <w:color w:val="auto"/>
        </w:rPr>
        <w:t>The following tables provide the credit quality of investment securities as of March 31, 2022 and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3"/>
                <w:szCs w:val="13"/>
                <w:color w:val="auto"/>
              </w:rPr>
            </w:pPr>
          </w:p>
        </w:tc>
        <w:tc>
          <w:tcPr>
            <w:tcW w:w="8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2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7"/>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$ 124,482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CCC &amp;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24"/>
                <w:szCs w:val="24"/>
                <w:color w:val="auto"/>
              </w:rPr>
            </w:pP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7"/>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CCC&amp;Below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432,788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as of March 31, 2022 were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21,261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142,553</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46,517</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126,145</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461,206</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$ 444,320</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third-party reinsurance or otherwise expand our catastrophe coverage in amounts we desire on commercially acceptable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8" w:name="page39"/>
    <w:bookmarkEnd w:id="38"/>
    <w:p>
      <w:pPr>
        <w:ind w:left="60" w:right="539"/>
        <w:spacing w:after="0" w:line="282" w:lineRule="auto"/>
        <w:rPr>
          <w:sz w:val="20"/>
          <w:szCs w:val="20"/>
          <w:color w:val="auto"/>
        </w:rPr>
      </w:pPr>
      <w:r>
        <w:rPr>
          <w:rFonts w:ascii="Times New Roman" w:cs="Times New Roman" w:eastAsia="Times New Roman" w:hAnsi="Times New Roman"/>
          <w:sz w:val="18"/>
          <w:szCs w:val="18"/>
          <w:color w:val="auto"/>
        </w:rPr>
        <w:t>terms or on terms that adequately protect us, and this inability may materially adversely affect our business, financial condition and results of operations.”</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excess of loss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9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have a robust program utilizing a mix of traditional reinsurers and insurance linked securities. We currently purchase reinsurance from over 90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83" w:lineRule="exact"/>
        <w:rPr>
          <w:sz w:val="20"/>
          <w:szCs w:val="20"/>
          <w:color w:val="auto"/>
        </w:rPr>
      </w:pPr>
    </w:p>
    <w:p>
      <w:pPr>
        <w:ind w:left="60" w:right="99" w:firstLine="693"/>
        <w:spacing w:after="0" w:line="277" w:lineRule="auto"/>
        <w:rPr>
          <w:sz w:val="20"/>
          <w:szCs w:val="20"/>
          <w:color w:val="auto"/>
        </w:rPr>
      </w:pPr>
      <w:r>
        <w:rPr>
          <w:rFonts w:ascii="Times New Roman" w:cs="Times New Roman" w:eastAsia="Times New Roman" w:hAnsi="Times New Roman"/>
          <w:sz w:val="17"/>
          <w:szCs w:val="17"/>
          <w:color w:val="auto"/>
        </w:rPr>
        <w:t>In addition to reinsurance purchased from traditional reinsurers, we have historically incorporated collateralized protection from the insurance linked securities market (e.g. catastrophe bonds). During the first quarter of 2021, the Company closed a $400 million 144A catastrophe bond which became effective June 1, 2021. The catastrophe bond was completed through Torrey Pines Re Pte. Ltd. (“Torrey Pines Re”). Torrey Pines Re. is a special purpose insurer established in Singapore whereby Torrey Pines Re provides Palomar with indemnity-based reinsurance covering earthquake events.</w:t>
      </w:r>
    </w:p>
    <w:p>
      <w:pPr>
        <w:spacing w:after="0" w:line="16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 is currently seeking to expand its catastrophe XOL coverage through a catastrophe bond offering, which is expected to close in the second quarter of 2022, and may seek similar catastrophe bond offerings in the future. There can be no assurances that the catastrophe bond offering will close in the expected timeline, on acceptable terms or at all.</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catastrophe event retention is currently $12.5 million for all perils. Our reinsurance coverage exhausts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$1.71 billion for earthquake events and $700 million for hurricane events, providing coverage in excess of our 1:250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peak zone PML and in excess of our A.M. Best requirement. In addition, we maintain reinsurance coverage equivalent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better than the 1 in 250 year PML for our other lines.</w:t>
      </w:r>
    </w:p>
    <w:p>
      <w:pPr>
        <w:spacing w:after="0" w:line="20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 In addition, to provide further coverage against the potential for frequent catastrophe events, the Company has historically obtained aggregate reinsurance coverage. Beginning April 1, 2021 and renewing on April 1, 2022, we have secured $25 million of aggregate XOL reinsurance limit. This coverage, applying within our per occurrence retention, has an attachment point of $30 million and applies across all perils including but not limited to earthquakes, hurricanes, convective storms, and floods above a qualifying level of $2.0 million in ultimate gross loss.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9" w:name="page40"/>
    <w:bookmarkEnd w:id="39"/>
    <w:p>
      <w:pPr>
        <w:ind w:left="60" w:right="59"/>
        <w:spacing w:after="0" w:line="255" w:lineRule="auto"/>
        <w:rPr>
          <w:sz w:val="20"/>
          <w:szCs w:val="20"/>
          <w:color w:val="auto"/>
        </w:rPr>
      </w:pPr>
      <w:r>
        <w:rPr>
          <w:rFonts w:ascii="Times New Roman" w:cs="Times New Roman" w:eastAsia="Times New Roman" w:hAnsi="Times New Roman"/>
          <w:sz w:val="18"/>
          <w:szCs w:val="18"/>
          <w:color w:val="auto"/>
        </w:rPr>
        <w:t>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2021 Annual Report on Form 10-K.</w:t>
      </w:r>
    </w:p>
    <w:p>
      <w:pPr>
        <w:spacing w:after="0" w:line="18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as compared to the critical accounting policies and estimates disclosed in Management’s Discussion and Analysis of Financial Condition and Operations included in our 2021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spacing w:after="0" w:line="180"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76" w:lineRule="exact"/>
        <w:rPr>
          <w:sz w:val="20"/>
          <w:szCs w:val="20"/>
          <w:color w:val="auto"/>
        </w:rPr>
      </w:pPr>
    </w:p>
    <w:p>
      <w:pPr>
        <w:jc w:val="both"/>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77.8% rated “A−” or better. At March 31, 2022, 1.8%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18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carried out an evaluation, under the supervision and with the participation of our management, including our CEO and CFO, of the effectiveness of the design and operation of our disclosure controls and procedures defined under Rules 13a-15(e) and 15d-15(e) under the Exchange Act. Based upon this evaluation, our CEO and CFO concluded that our disclosure controls and procedures were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quarter ended March 31, 2022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Additional risks and uncertainties of which we are unaware, or that we currently deem immaterial also may become important factors that affect us.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these risks include, but are not limited to, the following:</w:t>
      </w:r>
    </w:p>
    <w:p>
      <w:pPr>
        <w:spacing w:after="0" w:line="293" w:lineRule="exact"/>
        <w:rPr>
          <w:sz w:val="20"/>
          <w:szCs w:val="20"/>
          <w:color w:val="auto"/>
        </w:rPr>
      </w:pPr>
    </w:p>
    <w:p>
      <w:pPr>
        <w:ind w:left="720" w:right="25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75"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could be negatively and adversely impacted by the COVID-19 Pandemic (“The Pandemic”), which may result in a decline in demand for our products, a decrease in underwriting income and a decrease in the value of our investment portfolio.</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pay claims on a timely basis, or at all, which may materially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purchase third-party reinsurance or otherwise expand our catastrophe coverage in amounts we desire on commercially acceptable terms or on terms that adequately protect us;</w:t>
      </w:r>
    </w:p>
    <w:p>
      <w:pPr>
        <w:spacing w:after="0" w:line="161" w:lineRule="exact"/>
        <w:rPr>
          <w:rFonts w:ascii="Times New Roman" w:cs="Times New Roman" w:eastAsia="Times New Roman" w:hAnsi="Times New Roman"/>
          <w:sz w:val="18"/>
          <w:szCs w:val="18"/>
          <w:color w:val="auto"/>
        </w:rPr>
      </w:pPr>
    </w:p>
    <w:p>
      <w:pPr>
        <w:jc w:val="both"/>
        <w:ind w:left="720" w:right="65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may adversely affect the amount of business we write;</w:t>
      </w:r>
    </w:p>
    <w:p>
      <w:pPr>
        <w:spacing w:after="0" w:line="225"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reinsurance we purchase is inadequate or a reinsurer is unable or unwilling to make timely payments, our operating results and liquidity would be adversely impacted;</w:t>
      </w:r>
    </w:p>
    <w:p>
      <w:pPr>
        <w:spacing w:after="0" w:line="161"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Texas and we are exposed more significantly to California and Texas loss activity and regulatory environments;</w:t>
      </w:r>
    </w:p>
    <w:p>
      <w:pPr>
        <w:spacing w:after="0" w:line="161"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one or more key executives or an inability to attract and retain qualified personnel could adversely affect our results of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2" w:name="page43"/>
    <w:bookmarkEnd w:id="42"/>
    <w:p>
      <w:pPr>
        <w:ind w:left="720" w:right="23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brokers and program administrators to manage the distribution of a significant portion of our Residential Earthquake, Commercial Earthquake, Specialty Homeowners and Hawaii Hurricane products. Three program administrators with which we have long-standing relationships represented approximately 50% of our gross written premiums for the year ended December 31, 2021 and 54% for the three months ended March 31, 2022, and such relationships may not continue;</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intense competition for business in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and telecommunications systems could adversely affect our business;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61"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7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operating as a public company, and our management is required to devote substantial time to complying with public company regulations; and</w:t>
      </w:r>
    </w:p>
    <w:p>
      <w:pPr>
        <w:spacing w:after="0" w:line="161"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or may decline regardless of our operating performance, and holders of our common stock could lose all or part of their investment.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insurance operations expose us to claims arising from unpredictable catastrophe events, such as earthquakes, hurricanes, windstorms, floods and other severe events. Furthermore,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9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We have recently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3" w:name="page44"/>
    <w:bookmarkEnd w:id="43"/>
    <w:p>
      <w:pPr>
        <w:ind w:left="60" w:right="79"/>
        <w:spacing w:after="0" w:line="261" w:lineRule="auto"/>
        <w:rPr>
          <w:sz w:val="20"/>
          <w:szCs w:val="20"/>
          <w:color w:val="auto"/>
        </w:rPr>
      </w:pPr>
      <w:r>
        <w:rPr>
          <w:rFonts w:ascii="Times New Roman" w:cs="Times New Roman" w:eastAsia="Times New Roman" w:hAnsi="Times New Roman"/>
          <w:sz w:val="18"/>
          <w:szCs w:val="18"/>
          <w:color w:val="auto"/>
        </w:rPr>
        <w:t>experienced significant catastrophe losses including hurricane related losses during the third and fourth quarters of 2020 and third quarter of 2021.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catastrophe event retention is currently $12.5 million for all perils. Our reinsurance coverage exhausts at $1.71 billion for earthquake events and $700 million for hurricane events, with coverage in excess of our estimated peak zone 1 in 250 year PML event and in excess of our A.M. Best requirement. While we only select reinsurers whom we believe to have acceptable credit, if our reinsurers are unable to pay the claims for which they are responsible, we ultimately retain primary liability. Furthermore, our earthquake policies do not provide coverage for fire damage arising from an earthquake. While we believe this risk transfer program reduces volatility in our earnings, one or more severe catastrophe events could result in claims that substantially exceed the limits of our reinsurance coverage. Furthermore, catastrophe events which cause our reinsurers to incur losses may increase the cost of reinsurance in future periods or make it more difficult to obtain reinsurance on commercially acceptable terms.</w:t>
      </w:r>
    </w:p>
    <w:p>
      <w:pPr>
        <w:spacing w:after="0" w:line="184" w:lineRule="exact"/>
        <w:rPr>
          <w:sz w:val="20"/>
          <w:szCs w:val="20"/>
          <w:color w:val="auto"/>
        </w:rPr>
      </w:pPr>
    </w:p>
    <w:p>
      <w:pPr>
        <w:jc w:val="both"/>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and our customers could be negatively and adversely impacted by the Pandemic, which may result in a decline in demand for our products, a decrease in underwriting income and a decrease in the value of our investment portfolio.</w:t>
      </w:r>
    </w:p>
    <w:p>
      <w:pPr>
        <w:spacing w:after="0" w:line="136"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The ongoing Pandemic and response thereto has impacted and may continue to impact financial markets, businesses, households, and communities. The extent of the impact of the Pandemic on our operational and financial performance will depend on several factors, including the ultimate duration and severity of the Pandemic, the emergence and severity of variant strains, actions taken and restrictions imposed by the government and health officials in response, the effectiveness and adoption of COVID-19 vaccines and therapeutics, the ability for our customers to continue to pay premiums, contraction of the insurance and reinsurance markets, and the ability for reinsurers to satisfy claims, all of which are uncertain and cannot be predicted. In addition, the Pandemic has contributed to financial market volatility, supply chain disruptions, price inflation, and material and labor shortages, all of which may have a negative impact on our business. Continuation of the Pandemic could cause additional reduction in business activity and financial market instability and the global macroeconomic effects of the Pandemic, may persist for an indefinite period, even after the Pandemic has subsided.</w:t>
      </w:r>
    </w:p>
    <w:p>
      <w:pPr>
        <w:spacing w:after="0" w:line="17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Disruptions to the economy from the Pandemic could cause our customers to have less need for insurance coverage, cancel or cease payment on existing insurance policies, modify their coverage, or not renew the policies they hold with us. Policyholders may exaggerate or even falsify claims to obtain higher claims payments. Any of these outcomes would reduce our underwriting income. Inflationary pressures or supply chain shortages caused by the Pandemic may increase our operating expenses and the average size of our loss claims.</w:t>
      </w:r>
    </w:p>
    <w:p>
      <w:pPr>
        <w:spacing w:after="0" w:line="18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underwrite a significant amount of our commercial insurance policies for businesses such as hotels, motels, retail stores, and professional services. These businesses have been impacted by restrictions placed on them and changes in consumer behavior resulting from the Pandemic. Prolonged restrictions or ongoing changes in consumer behavior as a result of the Pandemic would have a negative adverse impact on these insureds and their revenue streams, which consequently will impact their ability to meet their financial obligations, including purchasing or renewing insurance policies.</w:t>
      </w:r>
    </w:p>
    <w:p>
      <w:pPr>
        <w:spacing w:after="0" w:line="187"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In addition, our results of operations depend, in part, on the performance of our investment portfolio. The Pandemic’s impact on the economy and financial markets could reduce our net investment income and result in realized investment losses in future periods.</w:t>
      </w:r>
    </w:p>
    <w:p>
      <w:pPr>
        <w:spacing w:after="0" w:line="17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6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Our current reinsurance program is designed to limit our risk retention to $12.5 million of risk per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4" w:name="page45"/>
    <w:bookmarkEnd w:id="44"/>
    <w:p>
      <w:pPr>
        <w:ind w:left="60" w:right="139"/>
        <w:spacing w:after="0" w:line="255" w:lineRule="auto"/>
        <w:rPr>
          <w:sz w:val="20"/>
          <w:szCs w:val="20"/>
          <w:color w:val="auto"/>
        </w:rPr>
      </w:pPr>
      <w:r>
        <w:rPr>
          <w:rFonts w:ascii="Times New Roman" w:cs="Times New Roman" w:eastAsia="Times New Roman" w:hAnsi="Times New Roman"/>
          <w:sz w:val="18"/>
          <w:szCs w:val="18"/>
          <w:color w:val="auto"/>
        </w:rPr>
        <w:t>earthquake or wind event and provide coverage up to $1.71 billion for earthquake events and $700 million for hurricane events, subject to customary exclusions. However, particularly in the event of a major catastrophe, our reinsurers may not pay claims made by us on a timely basis, or they may not pay some or all these claims. For example, the Pandemic has put financial pressure on the insurance market due to several factors, including the inability of customers to pay premiums and increased claims for business interruption. Increased claim demands for business interruption has put substantial financial pressure on the insurance and reinsurance market which may lead to court action and impact the ability of insurers and reinsurers to satisfy the liability under their policies.</w:t>
      </w:r>
    </w:p>
    <w:p>
      <w:pPr>
        <w:spacing w:after="0" w:line="94"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catastrophic event were to occur and our reinsurers were unable to satisfy their commitments to us, we may be unable to satisfy the liability to our policyholders. We evaluate each reinsurance claim based on the facts of the case, historical experience with the reinsurer on similar claims and existing case law and consider including any amounts deemed uncollectible from the reinsurer in a reserve for uncollectible reinsurance. As of March 31, 2022, we had $145.8 million of aggregate reinsurance recoverables. These risks could cause us to incur increased net losses, and, therefore, adversely affect our financial condition.</w:t>
      </w:r>
    </w:p>
    <w:p>
      <w:pPr>
        <w:spacing w:after="0" w:line="90"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 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8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primarily use treaty reinsurance, consisting of excess of loss (“XOL”) coverage. Additionally, we buy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In addition to reinsurance purchased from traditional reinsurers, we have historically incorporated collateralized protection from the insurance linked securities market through the issuance of catastrophe bonds. During the first quarter of 2021, we closed a $400 million 144A catastrophe bond which became effective June 1, 2021. The catastrophe bond was completed through Torrey Pines Re Pte. Ltd. (“Torrey Pines Re”). Torrey Pines Re. is a special purpose insurer established in Singapore whereby Torrey Pines Re provides Palomar with indemnity-based reinsurance covering earthquake events. We are currently seeking to expand our catastrophe XOL coverage through a catastrophe bond offering and may seek similar catastrophe bond offerings in the future. However, there can be no assurance that we will be able to complete such offerings on acceptable terms, if at all.</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renew our expiring reinsurance contracts on acceptable terms or expand our reinsurance coverage through traditional reinsurers, catastrophe bonds, or otherwise, our loss exposure could increase, which would increase our potential losses related to catastrophe or non-catastrophe events. If we are unwilling to bear an increase in loss exposure, we could have to reduce the level of our underwriting commitments, both of which could materially adversely affect our business, financial condition, and results of operations.</w:t>
      </w:r>
    </w:p>
    <w:p>
      <w:pPr>
        <w:spacing w:after="0" w:line="183"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In addition, as we grow our written premiums and enter new lines of business we will seek out new types of reinsurance and will need to purchase reinsurance on commercially acceptable terms in order to reduce the risk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5" w:name="page46"/>
    <w:bookmarkEnd w:id="45"/>
    <w:p>
      <w:pPr>
        <w:ind w:left="60" w:right="159"/>
        <w:spacing w:after="0" w:line="282" w:lineRule="auto"/>
        <w:rPr>
          <w:sz w:val="20"/>
          <w:szCs w:val="20"/>
          <w:color w:val="auto"/>
        </w:rPr>
      </w:pPr>
      <w:r>
        <w:rPr>
          <w:rFonts w:ascii="Times New Roman" w:cs="Times New Roman" w:eastAsia="Times New Roman" w:hAnsi="Times New Roman"/>
          <w:sz w:val="18"/>
          <w:szCs w:val="18"/>
          <w:color w:val="auto"/>
        </w:rPr>
        <w:t>associated with entering new lines of business. The inability to find and purchase appropriate reinsurance for new lines of business would have a negative impact on our ability to grow our written premiums.</w:t>
      </w:r>
    </w:p>
    <w:p>
      <w:pPr>
        <w:spacing w:after="0" w:line="16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76"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8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We manage our exposure to catastrophe losses by analyzing the probability of the occurrence of catastrophe events and their severity and overall impact on our underwriting and investment portfolio. We monitor and mitigate our exposure through a number of methods designed to minimize risk, including underwriting specialization, modeling and data systems, data quality control, strategic use of policy deductibles and regular review of aggregate exposure and probable maximum loss reports, which report the maximum amount of losses that one would expect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spacing w:after="0" w:line="18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might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19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spacing w:after="0" w:line="207" w:lineRule="exact"/>
        <w:rPr>
          <w:sz w:val="20"/>
          <w:szCs w:val="20"/>
          <w:color w:val="auto"/>
        </w:rPr>
      </w:pPr>
    </w:p>
    <w:p>
      <w:pPr>
        <w:ind w:left="1040" w:right="179" w:hanging="315"/>
        <w:spacing w:after="0" w:line="282"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do not address all the possible hazard characteristics of a catastrophe peril (e.g., the precise path and wind speed of a hurricane);</w:t>
      </w:r>
    </w:p>
    <w:p>
      <w:pPr>
        <w:spacing w:after="0" w:line="80"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true frequency of events;</w:t>
      </w:r>
    </w:p>
    <w:p>
      <w:pPr>
        <w:spacing w:after="0" w:line="130" w:lineRule="exact"/>
        <w:rPr>
          <w:rFonts w:ascii="Times New Roman" w:cs="Times New Roman" w:eastAsia="Times New Roman" w:hAnsi="Times New Roman"/>
          <w:sz w:val="18"/>
          <w:szCs w:val="18"/>
          <w:color w:val="auto"/>
        </w:rPr>
      </w:pPr>
    </w:p>
    <w:p>
      <w:pPr>
        <w:ind w:left="1020" w:right="459" w:hanging="32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a risk’s vulnerability or susceptibility to damage for a given event characteristic;</w:t>
      </w:r>
    </w:p>
    <w:p>
      <w:pPr>
        <w:spacing w:after="0" w:line="6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account for unusual or unprecedented catastrophe events;</w:t>
      </w:r>
    </w:p>
    <w:p>
      <w:pPr>
        <w:spacing w:after="0" w:line="13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adequately consider the impact of current inflation on the magnitude of modeled losses;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6" w:name="page47"/>
    <w:bookmarkEnd w:id="46"/>
    <w:p>
      <w:pPr>
        <w:ind w:left="1020" w:right="21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represent loss potential to insurance or reinsurance contract coverage limits, terms and conditions; and</w:t>
      </w:r>
    </w:p>
    <w:p>
      <w:pPr>
        <w:spacing w:after="0" w:line="67"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6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spacing w:after="0" w:line="20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 and impact compliance with our debt covenants.</w:t>
      </w:r>
    </w:p>
    <w:p>
      <w:pPr>
        <w:spacing w:after="0" w:line="19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June 30, 2021, A.M. Best has assigned a financial strength rating of “A−” (Excellent) (Outlook Stable)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97" w:lineRule="exact"/>
        <w:rPr>
          <w:sz w:val="20"/>
          <w:szCs w:val="20"/>
          <w:color w:val="auto"/>
        </w:rPr>
      </w:pPr>
    </w:p>
    <w:p>
      <w:pPr>
        <w:ind w:left="1020" w:right="9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225" w:lineRule="exact"/>
        <w:rPr>
          <w:rFonts w:ascii="Times New Roman" w:cs="Times New Roman" w:eastAsia="Times New Roman" w:hAnsi="Times New Roman"/>
          <w:sz w:val="18"/>
          <w:szCs w:val="18"/>
          <w:color w:val="auto"/>
        </w:rPr>
      </w:pPr>
    </w:p>
    <w:p>
      <w:pPr>
        <w:ind w:left="1020" w:right="17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162" w:lineRule="exact"/>
        <w:rPr>
          <w:sz w:val="20"/>
          <w:szCs w:val="20"/>
          <w:color w:val="auto"/>
        </w:rPr>
      </w:pPr>
    </w:p>
    <w:p>
      <w:pPr>
        <w:ind w:left="1020" w:right="81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w:t>
      </w:r>
    </w:p>
    <w:p>
      <w:pPr>
        <w:spacing w:after="0" w:line="6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w:t>
      </w:r>
    </w:p>
    <w:p>
      <w:pPr>
        <w:spacing w:after="0" w:line="130"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7" w:name="page48"/>
    <w:bookmarkEnd w:id="47"/>
    <w:p>
      <w:pPr>
        <w:ind w:left="1020" w:hanging="322"/>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out of compliance with the financial covenants in our credit agreement.</w:t>
      </w:r>
    </w:p>
    <w:p>
      <w:pPr>
        <w:spacing w:after="0" w:line="131"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due to the Pandemic or otherwise,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90"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Texas and, as a result, we are exposed more significantly to California and Texas loss activity and regulatory environments.</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policyholders and insurance risks are currently concentrated in California and Texas, which generated 46% and 12% of our gross written premiums, respectively, for the year ended December 31, 2021 and 40% and 11% for the three months ended March 31, 2022. We are exposed to business, economic, political, judicial and regulatory risks due to this concentration that are greater than the risks faced by insurance companies that conduct business over a more extensive geographic area. Any single, major catastrophe event, series of events or other condition causing significant losses in California or Texas could materially adversely affect our business, financial condition and results of operations. Additionally, unfavorable business, economic or regulatory conditions in these states may result in a significant reduction of our premiums or increase our loss exposure.</w:t>
      </w:r>
    </w:p>
    <w:p>
      <w:pPr>
        <w:spacing w:after="0" w:line="19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Changes in California or Texas political climates could result in new or changed legislation affecting the property and casualty insurance industry in general which could have a negative impact on our business.</w:t>
      </w:r>
    </w:p>
    <w:p>
      <w:pPr>
        <w:spacing w:after="0" w:line="15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executives or by an inability to attract and retain qualified personnel.</w:t>
      </w:r>
    </w:p>
    <w:p>
      <w:pPr>
        <w:spacing w:after="0" w:line="15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personnel and seasoned key executives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Since the onset of the Pandemic, companies have had issues with employee turnover and finding and hiring qualified employees. These challenges may continue for the foreseeable future.</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particular, our future success is substantially dependent on the continued service of our Co-Founder,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on a select group of brokers and program administrators, and such relationships may not continue.</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Specialty Homeowners, Hawaii Hurricane, and Fronting products through longstanding relationships with three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 In total, these products accounted for $266.1 million or 50% of our gross written premiums for the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8" w:name="page49"/>
    <w:bookmarkEnd w:id="48"/>
    <w:p>
      <w:pPr>
        <w:ind w:left="60" w:right="159"/>
        <w:spacing w:after="0" w:line="256" w:lineRule="auto"/>
        <w:rPr>
          <w:sz w:val="20"/>
          <w:szCs w:val="20"/>
          <w:color w:val="auto"/>
        </w:rPr>
      </w:pPr>
      <w:r>
        <w:rPr>
          <w:rFonts w:ascii="Times New Roman" w:cs="Times New Roman" w:eastAsia="Times New Roman" w:hAnsi="Times New Roman"/>
          <w:sz w:val="18"/>
          <w:szCs w:val="18"/>
          <w:color w:val="auto"/>
        </w:rPr>
        <w:t>year ended December 31, 2021 and $92.5 million or 54% for the three months ended March 31, 2022. This amount includes our Value Select Residential Earthquake program, which represents the majority of our Residential Earthquake premium and is administered through a mutually exclusive program administrator agreement with Arrowhead General Insurance Agency for the states of California, Oregon and Washington. The termination of a relationship with one or more significant brokers or program administrators could result in lower gross written premiums and could have a material adverse effect on our results of operations or business prospects.</w:t>
      </w:r>
    </w:p>
    <w:p>
      <w:pPr>
        <w:spacing w:after="0" w:line="183"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pre-established guidelines, our results of operations could be adversely affected.</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83"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including impacts related to the Pandemic, could have a material adverse effect on our business, financial condition, and results of operations.</w:t>
      </w:r>
    </w:p>
    <w:p>
      <w:pPr>
        <w:spacing w:after="0" w:line="19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as-needed basis. If we are unable to collect premiums from our brokers in the future, our underwriting profits may decline, and our financial condition and results of operations could be materially and adversely affected.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spacing w:after="0" w:line="188"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w:t>
      </w:r>
    </w:p>
    <w:p>
      <w:pPr>
        <w:sectPr>
          <w:pgSz w:w="11900" w:h="16838" w:orient="portrait"/>
          <w:cols w:equalWidth="0" w:num="1">
            <w:col w:w="9019"/>
          </w:cols>
          <w:pgMar w:left="1440" w:top="1269"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9" w:name="page50"/>
    <w:bookmarkEnd w:id="49"/>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members of our underwriting team in the particular lines of insurance and reinsurance we seek to underwrite. In recent years, the insurance industry has undergone increasing consolidation, which may further increase competition.</w:t>
      </w:r>
    </w:p>
    <w:p>
      <w:pPr>
        <w:spacing w:after="0" w:line="16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Certain new, proposed or potential industry or legislative developments could further increase competition in our industry. These developments include:</w:t>
      </w:r>
    </w:p>
    <w:p>
      <w:pPr>
        <w:spacing w:after="0" w:line="162" w:lineRule="exact"/>
        <w:rPr>
          <w:sz w:val="20"/>
          <w:szCs w:val="20"/>
          <w:color w:val="auto"/>
        </w:rPr>
      </w:pPr>
    </w:p>
    <w:p>
      <w:pPr>
        <w:ind w:left="1020" w:right="99" w:hanging="322"/>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capital-raising by companies in our lines of business, which could result in new entrants to our markets and an excess of capital in the industry; and</w:t>
      </w:r>
    </w:p>
    <w:p>
      <w:pPr>
        <w:spacing w:after="0" w:line="161" w:lineRule="exact"/>
        <w:rPr>
          <w:rFonts w:ascii="Times New Roman" w:cs="Times New Roman" w:eastAsia="Times New Roman" w:hAnsi="Times New Roman"/>
          <w:sz w:val="18"/>
          <w:szCs w:val="18"/>
          <w:color w:val="auto"/>
        </w:rPr>
      </w:pPr>
    </w:p>
    <w:p>
      <w:pPr>
        <w:ind w:left="1020" w:right="519" w:hanging="322"/>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deregulation of commercial insurance lines in certain states and the possibility of federal regulatory reform of the insurance industry, which could increase competition from standard carriers.</w:t>
      </w:r>
    </w:p>
    <w:p>
      <w:pPr>
        <w:spacing w:after="0" w:line="16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176"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15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Most of our insurance policies are written for a one-year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w:t>
      </w:r>
    </w:p>
    <w:p>
      <w:pPr>
        <w:spacing w:after="0" w:line="179"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5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pay claims accurately and timely, including the training and experience of our claims representatives, including our third party claims administrators (“TPAs”), the effectiveness of our management, and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89"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act based on inaccurate or incomplete information regarding the accounts we underwrite.</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pacing w:after="0" w:line="190"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would be subject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systems development, and skilled personnel. However, we must be able to meet our capital needs, expand our systems and our internal controls effectively, allocate our human resources optimally, identify and hire qualified employees, and effectively incorporate the components of any businesses we may acquire in our effort to achieve growth. The failure to manage our growth effectively could have a material adverse effect on our business, financial condition and results of operations.</w:t>
      </w:r>
    </w:p>
    <w:p>
      <w:pPr>
        <w:spacing w:after="0" w:line="179"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scale our excess and surplus insurance company, our business and future prospects may be harmed.</w:t>
      </w:r>
    </w:p>
    <w:p>
      <w:pPr>
        <w:spacing w:after="0" w:line="15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During the third quarter of 2020, we launched our excess and surplus lines (E&amp;S) insurance product offerings via our surplus lines subsidiary, Palomar Excess and Surplus Insurance Company (‘‘PESIC’’). The E&amp;S market is highly competitive and many of our competitors are better capitalized and have a longer history in the market. While we believe that the underwriting acumen and market expertise we have established through our admitted insurance company, PSIC, can be applied to the surplus lines market as well, there can be no assurances that we will be successful in accurately analyzing risks and scaling a profitable operation in the E&amp;S market. If we are unable to underwrite profitably in the E&amp;S market, our business and future prospects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51" w:name="page52"/>
    <w:bookmarkEnd w:id="51"/>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long-term prospects.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and contracts, volatility in investment performance, and the cost of reinsurance coverage. Additionally, the future impact of the Pandemic on our business, operations, liquidity, financial condition, and results of operations remains uncertain.</w:t>
      </w:r>
    </w:p>
    <w:p>
      <w:pPr>
        <w:spacing w:after="0" w:line="189" w:lineRule="exact"/>
        <w:rPr>
          <w:sz w:val="20"/>
          <w:szCs w:val="20"/>
          <w:color w:val="auto"/>
        </w:rPr>
      </w:pPr>
    </w:p>
    <w:p>
      <w:pPr>
        <w:ind w:left="60" w:right="499" w:firstLine="648"/>
        <w:spacing w:after="0" w:line="258" w:lineRule="auto"/>
        <w:rPr>
          <w:sz w:val="20"/>
          <w:szCs w:val="20"/>
          <w:color w:val="auto"/>
        </w:rPr>
      </w:pPr>
      <w:r>
        <w:rPr>
          <w:rFonts w:ascii="Times New Roman" w:cs="Times New Roman" w:eastAsia="Times New Roman" w:hAnsi="Times New Roman"/>
          <w:sz w:val="18"/>
          <w:szCs w:val="18"/>
          <w:color w:val="auto"/>
        </w:rPr>
        <w:t>We seek to underwrite products and make investments to achieve favorable returns on tangible stockholders’ equity over the long term. Our opportunistic nature and focus on long-term growth in tangible equity may result in fluctuations in gross written premiums, loss expenses, and other underwriting expenses from period to period as we concentrate on underwriting contracts that we believe will generate better long-term, rather than short-term, results. Accordingly, our short-term results of operations may not be indicative of our long-term prospects.</w:t>
      </w:r>
    </w:p>
    <w:p>
      <w:pPr>
        <w:spacing w:after="0" w:line="179"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7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certain lenders which provides a revolving credit facility of up to $100.0 million. Currently, we have no borrowings under the Credit Agreement. If we make borrowings in the future, it may impact our business and financial condition by:</w:t>
      </w:r>
    </w:p>
    <w:p>
      <w:pPr>
        <w:spacing w:after="0" w:line="176" w:lineRule="exact"/>
        <w:rPr>
          <w:sz w:val="20"/>
          <w:szCs w:val="20"/>
          <w:color w:val="auto"/>
        </w:rPr>
      </w:pPr>
    </w:p>
    <w:p>
      <w:pPr>
        <w:ind w:left="1020" w:right="159" w:hanging="322"/>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the interest rate in the credit agreement is a variable rate</w:t>
      </w:r>
    </w:p>
    <w:p>
      <w:pPr>
        <w:spacing w:after="0" w:line="225" w:lineRule="exact"/>
        <w:rPr>
          <w:sz w:val="20"/>
          <w:szCs w:val="20"/>
          <w:color w:val="auto"/>
        </w:rPr>
      </w:pPr>
    </w:p>
    <w:p>
      <w:pPr>
        <w:ind w:left="60" w:right="159" w:firstLine="972"/>
        <w:spacing w:after="0" w:line="254" w:lineRule="auto"/>
        <w:rPr>
          <w:sz w:val="20"/>
          <w:szCs w:val="20"/>
          <w:color w:val="auto"/>
        </w:rPr>
      </w:pPr>
      <w:r>
        <w:rPr>
          <w:rFonts w:ascii="Times New Roman" w:cs="Times New Roman" w:eastAsia="Times New Roman" w:hAnsi="Times New Roman"/>
          <w:sz w:val="18"/>
          <w:szCs w:val="18"/>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Economic Environment</w:t>
      </w:r>
    </w:p>
    <w:p>
      <w:pPr>
        <w:spacing w:after="0" w:line="22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the Pandemic have significantly affected the global and U.S. economies and financial markets, and may further disrupt our operations and the operations of our insureds, agents, and third parties upon which we rely.</w:t>
      </w:r>
    </w:p>
    <w:p>
      <w:pPr>
        <w:spacing w:after="0" w:line="6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current Pandemic has caused significant disruption in the global and U.S. economies and financial markets. COVID-19 and its variant strains have caused illness, quarantines, cancellation of events and travel, business and school closures, reduction in business activity, increased unemployment, supply chain interruptions, and overall economic and financial market instability. There continue to be significant reported cases of infected individuals throughout the United States and globally. Impacts to our business could be widespread and material impacts may result, including but not limited to, the following:</w:t>
      </w:r>
    </w:p>
    <w:p>
      <w:pPr>
        <w:spacing w:after="0" w:line="93"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contracting COVID-19 and/or related variants;</w:t>
      </w:r>
    </w:p>
    <w:p>
      <w:pPr>
        <w:spacing w:after="0" w:line="14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operating effectiveness as certain employees work from home;</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key personnel necessary to conduct our business activities;</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financial markets that could materially affect our investment portfolio valuations and returns;</w:t>
      </w:r>
    </w:p>
    <w:p>
      <w:pPr>
        <w:spacing w:after="0" w:line="144"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mandates and/or legislative changes, including premium grace periods and presumed Pandemic compensability for all or certain insured groups;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frequency and/or severity of compensable claims;</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credit risk;</w:t>
      </w:r>
    </w:p>
    <w:p>
      <w:pPr>
        <w:spacing w:after="0" w:line="144"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 to independent insurance agents and brokers and/or our partners that market and sell our insurance products; and</w:t>
      </w:r>
    </w:p>
    <w:p>
      <w:pPr>
        <w:spacing w:after="0" w:line="67"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to third parties that we outsource certain business functions to and whose technology upon which we rely.</w:t>
      </w:r>
    </w:p>
    <w:p>
      <w:pPr>
        <w:spacing w:after="0" w:line="162" w:lineRule="exact"/>
        <w:rPr>
          <w:sz w:val="20"/>
          <w:szCs w:val="20"/>
          <w:color w:val="auto"/>
        </w:rPr>
      </w:pPr>
    </w:p>
    <w:p>
      <w:pPr>
        <w:ind w:left="60" w:right="199" w:firstLine="648"/>
        <w:spacing w:after="0" w:line="277" w:lineRule="auto"/>
        <w:rPr>
          <w:sz w:val="20"/>
          <w:szCs w:val="20"/>
          <w:color w:val="auto"/>
        </w:rPr>
      </w:pPr>
      <w:r>
        <w:rPr>
          <w:rFonts w:ascii="Times New Roman" w:cs="Times New Roman" w:eastAsia="Times New Roman" w:hAnsi="Times New Roman"/>
          <w:sz w:val="17"/>
          <w:szCs w:val="17"/>
          <w:color w:val="auto"/>
        </w:rPr>
        <w:t>Since the beginning of the Pandemic, we have taken precautions to protect the safety and well-being of our employees while providing uninterrupted service to our policyholders and claimants. However, no assurance can be given that these actions will be sufficient in the future. Furthermore, the macroeconomic effects of the Pandemic may persist for an indefinite period, even after the pandemic has subsided, which could negatively impact demand for our insurance products in the future and result in a material adverse effect on our results of operations and financial condition.</w:t>
      </w:r>
    </w:p>
    <w:p>
      <w:pPr>
        <w:spacing w:after="0" w:line="164"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53" w:name="page54"/>
    <w:bookmarkEnd w:id="53"/>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We underwrite a significant portion of our insurance in California and Texas. Any economic downturn in either state could have an adverse effect on our financial condition and results of operations.</w:t>
      </w:r>
    </w:p>
    <w:p>
      <w:pPr>
        <w:spacing w:after="0" w:line="158"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15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spacing w:after="0" w:line="18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Some fixed maturity securities have call or prepayment options, which create possible reinvestment risk in declining rate environments. Other fixed maturity securities, such as mortgage-backed and asset-backed securities, carry prepayment risk or, in a rising interest rate environment, may not prepay as quickly as expected.</w:t>
      </w:r>
    </w:p>
    <w:p>
      <w:pPr>
        <w:spacing w:after="0" w:line="187"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w:t>
      </w:r>
    </w:p>
    <w:p>
      <w:pPr>
        <w:spacing w:after="0" w:line="164"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64"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We also invest in marketable equity securities. These securities are carried on the balance sheet at fair market value and are subject to potential losses and declines in market value based on the performance of equity markets. Our equity invested assets totaled $42.0 million as of March 31, 2022.</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spacing w:after="0" w:line="18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80"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Our investment portfolio could also be adversely impacted by ratings downgrades, increased bankruptcies and credit spread widenings caused by economic downturns from pandemics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229"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We invest the premiums we receive from our insureds until they are needed to pay policyholder claims. Consequently, we seek to manage the duration of our investment portfolio based on the duration of our losses and loss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4" w:name="page55"/>
    <w:bookmarkEnd w:id="54"/>
    <w:p>
      <w:pPr>
        <w:ind w:left="60" w:right="159"/>
        <w:spacing w:after="0" w:line="258" w:lineRule="auto"/>
        <w:rPr>
          <w:sz w:val="20"/>
          <w:szCs w:val="20"/>
          <w:color w:val="auto"/>
        </w:rPr>
      </w:pPr>
      <w:r>
        <w:rPr>
          <w:rFonts w:ascii="Times New Roman" w:cs="Times New Roman" w:eastAsia="Times New Roman" w:hAnsi="Times New Roman"/>
          <w:sz w:val="18"/>
          <w:szCs w:val="18"/>
          <w:color w:val="auto"/>
        </w:rPr>
        <w:t>adjustment expense reserves to provide sufficient liquidity and avoid having to liquidate investments to fund claims. Risks such as inadequate losses and loss adjustment reserves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Technology</w:t>
      </w:r>
    </w:p>
    <w:p>
      <w:pPr>
        <w:spacing w:after="0" w:line="225" w:lineRule="exact"/>
        <w:rPr>
          <w:sz w:val="20"/>
          <w:szCs w:val="20"/>
          <w:color w:val="auto"/>
        </w:rPr>
      </w:pPr>
    </w:p>
    <w:p>
      <w:pPr>
        <w:ind w:left="60" w:right="2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employ third-party licensed software for use in our business, and the inability to maintain these licenses, problems with the software we license, or increases to the cost of software licenses could adversely affect our business.</w:t>
      </w:r>
    </w:p>
    <w:p>
      <w:pPr>
        <w:spacing w:after="0" w:line="136"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Multiple areas of our business rely on certain third-party software obtained under licenses from other companies. We anticipate that we will continue to rely on such third-party software in the future. Unforeseen issues may arise in third-party software platforms which may have an adverse impact on our operations. Integration of new third-party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third-party software cannot be eliminated, and these risks could negatively affect our business.</w:t>
      </w:r>
    </w:p>
    <w:p>
      <w:pPr>
        <w:spacing w:after="0" w:line="188" w:lineRule="exact"/>
        <w:rPr>
          <w:sz w:val="20"/>
          <w:szCs w:val="20"/>
          <w:color w:val="auto"/>
        </w:rPr>
      </w:pPr>
    </w:p>
    <w:p>
      <w:pPr>
        <w:ind w:left="60" w:right="239" w:firstLine="648"/>
        <w:spacing w:after="0" w:line="273" w:lineRule="auto"/>
        <w:rPr>
          <w:sz w:val="20"/>
          <w:szCs w:val="20"/>
          <w:color w:val="auto"/>
        </w:rPr>
      </w:pPr>
      <w:r>
        <w:rPr>
          <w:rFonts w:ascii="Times New Roman" w:cs="Times New Roman" w:eastAsia="Times New Roman" w:hAnsi="Times New Roman"/>
          <w:sz w:val="17"/>
          <w:szCs w:val="17"/>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failure of our information technology and telecommunications systems could adversely affect our business.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third-party systems not located on our premises or under our control. Events such as natural catastrophes, pandemics (including the COVID-19 Pandemic),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19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the Company to liability and damage its reputation and business.</w:t>
      </w:r>
    </w:p>
    <w:p>
      <w:pPr>
        <w:spacing w:after="0" w:line="22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cyber-attacks or other disruptions.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5" w:name="page56"/>
    <w:bookmarkEnd w:id="55"/>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9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Any cloud provider service failure or control weakness could adversely affect our business.</w:t>
      </w:r>
    </w:p>
    <w:p>
      <w:pPr>
        <w:spacing w:after="0" w:line="29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employ cloud-based services to host our applications and intend to expand our use. As we expand our use of cloud-based services, we will increasingly rely on third-party cloud providers to maintain appropriate controls and safeguards to protect confidential information we receive, including personal, personally identifiable, sensitive, confidential or proprietary data, and the integrity and continuous operation of our proprietary technology platform. While we conduct due diligence on these cloud providers with respect to their security and business controls, we may not have the visibility to effectively monitor the implementation and efficacy of these controls. Outside parties may be able to circumvent controls or exploit vulnerabilities, resulting in operational disruption, data loss, defects or a security event. Migrating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or otherwise operate our business. Any such event or failure could have a material adverse effect on our business, financial condition and results of operations.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94"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 xml:space="preserve">PSIC is subject to extensive regulation in Oregon, its state of domicile, California, where it is commercially domiciled, and to a lesser degree, the other states in which it operates. PESIC </w:t>
      </w:r>
      <w:r>
        <w:rPr>
          <w:rFonts w:ascii="Times New Roman" w:cs="Times New Roman" w:eastAsia="Times New Roman" w:hAnsi="Times New Roman"/>
          <w:sz w:val="17"/>
          <w:szCs w:val="17"/>
          <w:color w:val="212529"/>
        </w:rPr>
        <w:t>is subject to extensive regulation in Arizona,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its state of domicile, and to a lesser degree, the other states in which it writes business. </w:t>
      </w:r>
      <w:r>
        <w:rPr>
          <w:rFonts w:ascii="Times New Roman" w:cs="Times New Roman" w:eastAsia="Times New Roman" w:hAnsi="Times New Roman"/>
          <w:sz w:val="17"/>
          <w:szCs w:val="17"/>
          <w:color w:val="000000"/>
        </w:rPr>
        <w:t>Our Bermuda based reinsurance</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subsidiary, Palomar Specialty Reinsurance Company Bermuda Ltd. (“PSRE”), is subject to regulation in Bermuda.</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6" w:name="page57"/>
    <w:bookmarkEnd w:id="56"/>
    <w:p>
      <w:pPr>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92"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w:t>
      </w:r>
    </w:p>
    <w:p>
      <w:pPr>
        <w:spacing w:after="0" w:line="3"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30 days prior to engaging in the transaction and the California Department of Insurance, the Oregon Division of Financial Regulation, or the Arizona Department of Insurance, as applicable,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spacing w:after="0" w:line="188"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7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U.S. insurance subsidiaries are subject to risk-based capital requirements, based upon the “risk based capital model” adopted by the NAIC, and other minimum capital and surplus restrictions imposed under Arizona, Oregon and California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19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will be subject to the ES Requirements. As a result, our Bermuda subsidiary may be required to change or increase our business operations in Bermuda to meet the new requirements. Compliance with the ES Requirements is required with effect from July 1, 2019.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7" w:name="page58"/>
    <w:bookmarkEnd w:id="57"/>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76"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including additional regulation around cyber-attacks, which may have a material adverse impact on our business.</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business could be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pacing w:after="0" w:line="19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Any government mandates and/or legislative changes related to the ongoing Pandemic, including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8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certain jurisdictions have begun to consider new cybersecurity measures, including the adoption of cybersecurity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As we expand our insurance operations, we expect to be impacted by this legislation and be required to file compliance certifications pertaining to this legislation.</w:t>
      </w:r>
    </w:p>
    <w:p>
      <w:pPr>
        <w:spacing w:after="0" w:line="19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58" w:name="page59"/>
    <w:bookmarkEnd w:id="58"/>
    <w:p>
      <w:pPr>
        <w:jc w:val="both"/>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as a result of the enactment of tax legislation could impact our operations and profitability.</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states increase the assessments that we are required to pay, our business, financial condition and results of operations would suffer.</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PSIC is licensed to conduct insurance operations on an admitted basis in 46 states. As PSIC grows, its share of any assessments in each state in which it underwrites business on an admitted basis may increase. PSIC paid assessments of $0.1 million in 2021 and for the three months ended March 31, 2022. We cannot predict with certainty the amount of future assessments, because they depend on factors outside our control, such as insolvencies of other insurance companies as well as the occurrence of significant catastrophes. Assessments are generally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86"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7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9" w:name="page60"/>
    <w:bookmarkEnd w:id="59"/>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87"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85"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75" w:lineRule="exact"/>
        <w:rPr>
          <w:sz w:val="20"/>
          <w:szCs w:val="20"/>
          <w:color w:val="auto"/>
        </w:rPr>
      </w:pPr>
    </w:p>
    <w:p>
      <w:pPr>
        <w:ind w:left="60" w:right="219" w:firstLine="648"/>
        <w:spacing w:after="0" w:line="274" w:lineRule="auto"/>
        <w:rPr>
          <w:sz w:val="20"/>
          <w:szCs w:val="20"/>
          <w:color w:val="auto"/>
        </w:rPr>
      </w:pPr>
      <w:r>
        <w:rPr>
          <w:rFonts w:ascii="Times New Roman" w:cs="Times New Roman" w:eastAsia="Times New Roman" w:hAnsi="Times New Roman"/>
          <w:sz w:val="17"/>
          <w:szCs w:val="17"/>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69" w:lineRule="exact"/>
        <w:rPr>
          <w:sz w:val="20"/>
          <w:szCs w:val="20"/>
          <w:color w:val="auto"/>
        </w:rPr>
      </w:pPr>
    </w:p>
    <w:p>
      <w:pPr>
        <w:jc w:val="both"/>
        <w:ind w:left="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0" w:name="page61"/>
    <w:bookmarkEnd w:id="60"/>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from offering our services, or require that we comply with other unfavorable terms. Even if we were to prevail in such a dispute, any litigation could be costly and time-consuming and divert the attention of our management and key personnel from our business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to compliance with GAAP on a consolidated basis, PSIC, PESIC, and PSRE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85"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public company, and our management is required to devote substantial time to complying with public company regulations.</w:t>
      </w:r>
    </w:p>
    <w:p>
      <w:pPr>
        <w:spacing w:after="0" w:line="7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compliance with Section 404 requires that we incur substantial accounting expense and expend significant management efforts. We must maintain accounting and financial staff and consultants with appropriate public company reporting, technical accounting, and internal control knowledge to satisfy the ongoing requirements of Section 404 and provide internal audit services.</w:t>
      </w:r>
    </w:p>
    <w:p>
      <w:pPr>
        <w:spacing w:after="0" w:line="12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Sarbanes-Oxley Act and the Dodd-Frank Act, as well as new rules subsequently implemented by the SEC and Nasdaq, have increased regulation of, and imposed enhanced disclosure and corporate governance requirements on, public companies. Our efforts to comply with these evolving laws, regulations and standards increases our operating costs and divert management’s time and attention from revenue-generating activities.</w:t>
      </w:r>
    </w:p>
    <w:p>
      <w:pPr>
        <w:spacing w:after="0" w:line="112"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106" w:lineRule="exact"/>
        <w:rPr>
          <w:sz w:val="20"/>
          <w:szCs w:val="20"/>
          <w:color w:val="auto"/>
        </w:rPr>
      </w:pPr>
    </w:p>
    <w:p>
      <w:pPr>
        <w:ind w:left="1020" w:right="399" w:hanging="322"/>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periodic reports and distribute other stockholder communications, in compliance with the federal securities laws and requirements of Nasdaq;</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expand the roles and the duties of our Board of Directors and its committees;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comprehensive compliance and investor relations functions;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1" w:name="page62"/>
    <w:bookmarkEnd w:id="61"/>
    <w:p>
      <w:pPr>
        <w:ind w:left="1020" w:right="99" w:hanging="322"/>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0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183" w:lineRule="exact"/>
        <w:rPr>
          <w:sz w:val="20"/>
          <w:szCs w:val="20"/>
          <w:color w:val="auto"/>
        </w:rPr>
      </w:pPr>
    </w:p>
    <w:p>
      <w:pPr>
        <w:jc w:val="both"/>
        <w:ind w:left="60" w:right="4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5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404(b) of the Sarbanes-Oxley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2" w:name="page63"/>
    <w:bookmarkEnd w:id="62"/>
    <w:p>
      <w:pPr>
        <w:ind w:left="254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transactions where we raise capital may negatively affect our stock price.</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76"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in each case, in light of the market volatility and uncertainty as a result of the Pandemic,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38" w:lineRule="exact"/>
        <w:rPr>
          <w:sz w:val="20"/>
          <w:szCs w:val="20"/>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analysis and investors;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171" w:lineRule="exact"/>
        <w:rPr>
          <w:rFonts w:ascii="Times New Roman" w:cs="Times New Roman" w:eastAsia="Times New Roman" w:hAnsi="Times New Roman"/>
          <w:sz w:val="18"/>
          <w:szCs w:val="18"/>
          <w:color w:val="auto"/>
        </w:rPr>
      </w:pPr>
    </w:p>
    <w:p>
      <w:pPr>
        <w:ind w:left="1020" w:right="65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0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171" w:lineRule="exact"/>
        <w:rPr>
          <w:rFonts w:ascii="Times New Roman" w:cs="Times New Roman" w:eastAsia="Times New Roman" w:hAnsi="Times New Roman"/>
          <w:sz w:val="18"/>
          <w:szCs w:val="18"/>
          <w:color w:val="auto"/>
        </w:rPr>
      </w:pPr>
    </w:p>
    <w:p>
      <w:pPr>
        <w:ind w:left="1020" w:right="47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10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171" w:lineRule="exact"/>
        <w:rPr>
          <w:rFonts w:ascii="Times New Roman" w:cs="Times New Roman" w:eastAsia="Times New Roman" w:hAnsi="Times New Roman"/>
          <w:sz w:val="18"/>
          <w:szCs w:val="18"/>
          <w:color w:val="auto"/>
        </w:rPr>
      </w:pPr>
    </w:p>
    <w:p>
      <w:pPr>
        <w:ind w:left="1020" w:right="29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0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 including those caused by the Pandemic;</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63" w:name="page64"/>
    <w:bookmarkEnd w:id="63"/>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171" w:lineRule="exact"/>
        <w:rPr>
          <w:rFonts w:ascii="Times New Roman" w:cs="Times New Roman" w:eastAsia="Times New Roman" w:hAnsi="Times New Roman"/>
          <w:sz w:val="18"/>
          <w:szCs w:val="18"/>
          <w:color w:val="auto"/>
        </w:rPr>
      </w:pPr>
    </w:p>
    <w:p>
      <w:pPr>
        <w:ind w:left="1020" w:right="65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10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tax rates;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w:t>
      </w:r>
    </w:p>
    <w:p>
      <w:pPr>
        <w:spacing w:after="0" w:line="171" w:lineRule="exact"/>
        <w:rPr>
          <w:rFonts w:ascii="Times New Roman" w:cs="Times New Roman" w:eastAsia="Times New Roman" w:hAnsi="Times New Roman"/>
          <w:sz w:val="18"/>
          <w:szCs w:val="18"/>
          <w:color w:val="auto"/>
        </w:rPr>
      </w:pPr>
    </w:p>
    <w:p>
      <w:pPr>
        <w:ind w:left="1020" w:right="11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pandemics, acts of terrorism, or responses to these events.</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83"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7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a change in management and limit our share price.</w:t>
      </w:r>
    </w:p>
    <w:p>
      <w:pPr>
        <w:spacing w:after="0" w:line="15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Our charter documents contain anti-takeover provisions that will hinder takeover attempts and could reduce the market value of our common stock or prevent sale at a premium. Our anti-takeover provisions:</w:t>
      </w:r>
    </w:p>
    <w:p>
      <w:pPr>
        <w:spacing w:after="0" w:line="162" w:lineRule="exact"/>
        <w:rPr>
          <w:sz w:val="20"/>
          <w:szCs w:val="20"/>
          <w:color w:val="auto"/>
        </w:rPr>
      </w:pPr>
    </w:p>
    <w:p>
      <w:pPr>
        <w:ind w:left="1020" w:right="31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53" w:lineRule="exact"/>
        <w:rPr>
          <w:rFonts w:ascii="Times New Roman" w:cs="Times New Roman" w:eastAsia="Times New Roman" w:hAnsi="Times New Roman"/>
          <w:sz w:val="18"/>
          <w:szCs w:val="18"/>
          <w:color w:val="auto"/>
        </w:rPr>
      </w:pPr>
    </w:p>
    <w:p>
      <w:pPr>
        <w:ind w:left="1020" w:right="21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are classified into three classes with staggered, three year terms and that directors may only be removed for cause;</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020" w:right="159" w:hanging="322"/>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6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20" w:right="21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other than unanimous written consent;</w:t>
      </w:r>
    </w:p>
    <w:p>
      <w:pPr>
        <w:spacing w:after="0" w:line="117" w:lineRule="exact"/>
        <w:rPr>
          <w:rFonts w:ascii="Times New Roman" w:cs="Times New Roman" w:eastAsia="Times New Roman" w:hAnsi="Times New Roman"/>
          <w:sz w:val="18"/>
          <w:szCs w:val="18"/>
          <w:color w:val="auto"/>
        </w:rPr>
      </w:pPr>
    </w:p>
    <w:p>
      <w:pPr>
        <w:ind w:left="1020" w:right="19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4" w:name="page65"/>
    <w:bookmarkEnd w:id="64"/>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117" w:lineRule="exact"/>
        <w:rPr>
          <w:rFonts w:ascii="Times New Roman" w:cs="Times New Roman" w:eastAsia="Times New Roman" w:hAnsi="Times New Roman"/>
          <w:sz w:val="18"/>
          <w:szCs w:val="18"/>
          <w:color w:val="auto"/>
        </w:rPr>
      </w:pPr>
    </w:p>
    <w:p>
      <w:pPr>
        <w:ind w:left="1020" w:right="119" w:hanging="322"/>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72"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162" w:lineRule="exact"/>
        <w:rPr>
          <w:sz w:val="20"/>
          <w:szCs w:val="20"/>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519" w:hanging="322"/>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53" w:lineRule="exact"/>
        <w:rPr>
          <w:rFonts w:ascii="Times New Roman" w:cs="Times New Roman" w:eastAsia="Times New Roman" w:hAnsi="Times New Roman"/>
          <w:sz w:val="18"/>
          <w:szCs w:val="18"/>
          <w:color w:val="auto"/>
        </w:rPr>
      </w:pPr>
    </w:p>
    <w:p>
      <w:pPr>
        <w:ind w:left="1020" w:right="139" w:hanging="322"/>
        <w:spacing w:after="0" w:line="312"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arising pursuant to any provision of the DGCL or our certificate of incorporation or bylaws or as to which the DGCL confers jurisdiction on the Court of Chancery of the State of Delaware;</w:t>
      </w:r>
    </w:p>
    <w:p>
      <w:pPr>
        <w:spacing w:after="0" w:line="31" w:lineRule="exact"/>
        <w:rPr>
          <w:rFonts w:ascii="Times New Roman" w:cs="Times New Roman" w:eastAsia="Times New Roman" w:hAnsi="Times New Roman"/>
          <w:sz w:val="17"/>
          <w:szCs w:val="17"/>
          <w:color w:val="auto"/>
        </w:rPr>
      </w:pPr>
    </w:p>
    <w:p>
      <w:pPr>
        <w:ind w:left="1020" w:right="559" w:hanging="322"/>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11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86"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5" w:name="page66"/>
    <w:bookmarkEnd w:id="65"/>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On January 24, 2022, the Company’s Board of Directors approved the adoption of a share repurchase plan that authorizes the repurchase by the Company of up to $100 million of its outstanding shares of common stock through the period ending on March 31, 2024. The approved plan replaced the Company’s previous $40 million share repurchase program.</w:t>
      </w:r>
    </w:p>
    <w:p>
      <w:pPr>
        <w:spacing w:after="0" w:line="180" w:lineRule="exact"/>
        <w:rPr>
          <w:sz w:val="20"/>
          <w:szCs w:val="20"/>
          <w:color w:val="auto"/>
        </w:rPr>
      </w:pPr>
    </w:p>
    <w:p>
      <w:pPr>
        <w:ind w:left="60" w:right="259" w:firstLine="693"/>
        <w:spacing w:after="0" w:line="261" w:lineRule="auto"/>
        <w:rPr>
          <w:sz w:val="20"/>
          <w:szCs w:val="20"/>
          <w:color w:val="auto"/>
        </w:rPr>
      </w:pPr>
      <w:r>
        <w:rPr>
          <w:rFonts w:ascii="Times New Roman" w:cs="Times New Roman" w:eastAsia="Times New Roman" w:hAnsi="Times New Roman"/>
          <w:sz w:val="18"/>
          <w:szCs w:val="18"/>
          <w:color w:val="auto"/>
        </w:rPr>
        <w:t>Under the share repurchase program, shares may be repurchased from time to time in the open market or negotiated transactions at prevailing market rates, or by other means in accordance with federal securities laws. The Company purchased 219,061 shares for $13.0 million under this program during the three months ended March 31, 2022 and $87.0 million remains available for future repurchases.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7760" w:type="dxa"/>
            <w:vAlign w:val="bottom"/>
            <w:gridSpan w:val="4"/>
            <w:vMerge w:val="restart"/>
          </w:tcPr>
          <w:p>
            <w:pPr>
              <w:ind w:left="3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77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7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the Sarbanes-Oxley Act of 2002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7"/>
                <w:szCs w:val="17"/>
                <w:color w:val="auto"/>
              </w:rPr>
            </w:pPr>
          </w:p>
        </w:tc>
        <w:tc>
          <w:tcPr>
            <w:tcW w:w="73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 Act of 2002</w:t>
            </w:r>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7"/>
                <w:szCs w:val="17"/>
                <w:color w:val="auto"/>
              </w:rPr>
            </w:pPr>
          </w:p>
        </w:tc>
        <w:tc>
          <w:tcPr>
            <w:tcW w:w="7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Certifications pursuant to Section 906 of the Sarbanes-Oxley Act of 2002</w:t>
            </w:r>
          </w:p>
        </w:tc>
        <w:tc>
          <w:tcPr>
            <w:tcW w:w="0" w:type="dxa"/>
            <w:vAlign w:val="bottom"/>
          </w:tcPr>
          <w:p>
            <w:pPr>
              <w:spacing w:after="0"/>
              <w:rPr>
                <w:sz w:val="1"/>
                <w:szCs w:val="1"/>
                <w:color w:val="auto"/>
              </w:rPr>
            </w:pPr>
          </w:p>
        </w:tc>
      </w:tr>
      <w:tr>
        <w:trPr>
          <w:trHeight w:val="6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5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0"/>
                <w:szCs w:val="20"/>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00" w:hanging="1144"/>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6" w:name="page67"/>
    <w:bookmarkEnd w:id="66"/>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5, 2022</w:t>
            </w:r>
          </w:p>
        </w:tc>
        <w:tc>
          <w:tcPr>
            <w:tcW w:w="60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 /s/ Mac Armstrong</w:t>
            </w:r>
          </w:p>
        </w:tc>
      </w:tr>
      <w:tr>
        <w:trPr>
          <w:trHeight w:val="205"/>
        </w:trPr>
        <w:tc>
          <w:tcPr>
            <w:tcW w:w="28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Mac Armstrong</w:t>
            </w:r>
          </w:p>
        </w:tc>
      </w:tr>
      <w:tr>
        <w:trPr>
          <w:trHeight w:val="216"/>
        </w:trPr>
        <w:tc>
          <w:tcPr>
            <w:tcW w:w="2860" w:type="dxa"/>
            <w:vAlign w:val="bottom"/>
          </w:tcPr>
          <w:p>
            <w:pPr>
              <w:spacing w:after="0"/>
              <w:rPr>
                <w:sz w:val="18"/>
                <w:szCs w:val="18"/>
                <w:color w:val="auto"/>
              </w:rPr>
            </w:pPr>
          </w:p>
        </w:tc>
        <w:tc>
          <w:tcPr>
            <w:tcW w:w="6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2860" w:type="dxa"/>
            <w:vAlign w:val="bottom"/>
          </w:tcPr>
          <w:p>
            <w:pPr>
              <w:spacing w:after="0"/>
              <w:rPr>
                <w:sz w:val="20"/>
                <w:szCs w:val="20"/>
                <w:color w:val="auto"/>
              </w:rPr>
            </w:pPr>
          </w:p>
        </w:tc>
        <w:tc>
          <w:tcPr>
            <w:tcW w:w="6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4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5, 2022</w:t>
            </w:r>
          </w:p>
        </w:tc>
        <w:tc>
          <w:tcPr>
            <w:tcW w:w="60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 /s/ T. Christopher Uchida</w:t>
            </w:r>
          </w:p>
        </w:tc>
      </w:tr>
      <w:tr>
        <w:trPr>
          <w:trHeight w:val="205"/>
        </w:trPr>
        <w:tc>
          <w:tcPr>
            <w:tcW w:w="28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 Christopher Uchida</w:t>
            </w:r>
          </w:p>
        </w:tc>
      </w:tr>
      <w:tr>
        <w:trPr>
          <w:trHeight w:val="216"/>
        </w:trPr>
        <w:tc>
          <w:tcPr>
            <w:tcW w:w="2860" w:type="dxa"/>
            <w:vAlign w:val="bottom"/>
          </w:tcPr>
          <w:p>
            <w:pPr>
              <w:spacing w:after="0"/>
              <w:rPr>
                <w:sz w:val="18"/>
                <w:szCs w:val="18"/>
                <w:color w:val="auto"/>
              </w:rPr>
            </w:pPr>
          </w:p>
        </w:tc>
        <w:tc>
          <w:tcPr>
            <w:tcW w:w="6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860" w:type="dxa"/>
            <w:vAlign w:val="bottom"/>
          </w:tcPr>
          <w:p>
            <w:pPr>
              <w:spacing w:after="0"/>
              <w:rPr>
                <w:sz w:val="20"/>
                <w:szCs w:val="20"/>
                <w:color w:val="auto"/>
              </w:rPr>
            </w:pPr>
          </w:p>
        </w:tc>
        <w:tc>
          <w:tcPr>
            <w:tcW w:w="6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094"/>
        </w:trPr>
        <w:tc>
          <w:tcPr>
            <w:tcW w:w="2860" w:type="dxa"/>
            <w:vAlign w:val="bottom"/>
          </w:tcPr>
          <w:p>
            <w:pPr>
              <w:spacing w:after="0"/>
              <w:rPr>
                <w:sz w:val="24"/>
                <w:szCs w:val="24"/>
                <w:color w:val="auto"/>
              </w:rPr>
            </w:pPr>
          </w:p>
        </w:tc>
        <w:tc>
          <w:tcPr>
            <w:tcW w:w="18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67</w:t>
            </w:r>
          </w:p>
        </w:tc>
        <w:tc>
          <w:tcPr>
            <w:tcW w:w="4220" w:type="dxa"/>
            <w:vAlign w:val="bottom"/>
          </w:tcPr>
          <w:p>
            <w:pPr>
              <w:spacing w:after="0"/>
              <w:rPr>
                <w:sz w:val="24"/>
                <w:szCs w:val="24"/>
                <w:color w:val="auto"/>
              </w:rPr>
            </w:pPr>
          </w:p>
        </w:tc>
      </w:tr>
      <w:tr>
        <w:trPr>
          <w:trHeight w:val="547"/>
        </w:trPr>
        <w:tc>
          <w:tcPr>
            <w:tcW w:w="28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67" w:name="page68"/>
    <w:bookmarkEnd w:id="6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Mac Armstrong, certify that:</w:t>
      </w:r>
    </w:p>
    <w:p>
      <w:pPr>
        <w:spacing w:after="0" w:line="225" w:lineRule="exact"/>
        <w:rPr>
          <w:sz w:val="20"/>
          <w:szCs w:val="20"/>
          <w:color w:val="auto"/>
        </w:rPr>
      </w:pPr>
    </w:p>
    <w:p>
      <w:pPr>
        <w:ind w:left="860" w:hanging="327"/>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Palomar Holdings, Inc.;</w:t>
      </w:r>
    </w:p>
    <w:p>
      <w:pPr>
        <w:spacing w:after="0" w:line="225" w:lineRule="exact"/>
        <w:rPr>
          <w:rFonts w:ascii="Times New Roman" w:cs="Times New Roman" w:eastAsia="Times New Roman" w:hAnsi="Times New Roman"/>
          <w:sz w:val="18"/>
          <w:szCs w:val="18"/>
          <w:color w:val="auto"/>
        </w:rPr>
      </w:pPr>
    </w:p>
    <w:p>
      <w:pPr>
        <w:ind w:left="860" w:right="279" w:hanging="327"/>
        <w:spacing w:after="0" w:line="266"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60" w:right="599" w:hanging="327"/>
        <w:spacing w:after="0" w:line="266"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60" w:right="279" w:hanging="327"/>
        <w:spacing w:after="0" w:line="266"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239" w:hanging="319"/>
        <w:spacing w:after="0" w:line="261"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500" w:right="299" w:hanging="319"/>
        <w:spacing w:after="0" w:line="261" w:lineRule="auto"/>
        <w:tabs>
          <w:tab w:leader="none" w:pos="15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500" w:right="479" w:hanging="319"/>
        <w:spacing w:after="0" w:line="266"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00" w:right="299" w:hanging="319"/>
        <w:spacing w:after="0" w:line="261"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60" w:right="359" w:hanging="327"/>
        <w:spacing w:after="0" w:line="266"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00" w:right="519" w:hanging="319"/>
        <w:spacing w:after="0" w:line="266"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739" w:hanging="319"/>
        <w:spacing w:after="0" w:line="282" w:lineRule="auto"/>
        <w:tabs>
          <w:tab w:leader="none" w:pos="1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91"/>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3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Mac Armstrong</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803"/>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68" w:name="page69"/>
    <w:bookmarkEnd w:id="6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31.2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T. Christopher Uchida, certify that:</w:t>
      </w:r>
    </w:p>
    <w:p>
      <w:pPr>
        <w:spacing w:after="0" w:line="225" w:lineRule="exact"/>
        <w:rPr>
          <w:sz w:val="20"/>
          <w:szCs w:val="20"/>
          <w:color w:val="auto"/>
        </w:rPr>
      </w:pPr>
    </w:p>
    <w:p>
      <w:pPr>
        <w:ind w:left="860" w:hanging="327"/>
        <w:spacing w:after="0"/>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Palomar Holdings, Inc.;</w:t>
      </w:r>
    </w:p>
    <w:p>
      <w:pPr>
        <w:spacing w:after="0" w:line="225" w:lineRule="exact"/>
        <w:rPr>
          <w:rFonts w:ascii="Times New Roman" w:cs="Times New Roman" w:eastAsia="Times New Roman" w:hAnsi="Times New Roman"/>
          <w:sz w:val="18"/>
          <w:szCs w:val="18"/>
          <w:color w:val="auto"/>
        </w:rPr>
      </w:pPr>
    </w:p>
    <w:p>
      <w:pPr>
        <w:ind w:left="860" w:right="279" w:hanging="327"/>
        <w:spacing w:after="0" w:line="266" w:lineRule="auto"/>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60" w:right="599" w:hanging="327"/>
        <w:spacing w:after="0" w:line="266" w:lineRule="auto"/>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60" w:right="279" w:hanging="327"/>
        <w:spacing w:after="0" w:line="266" w:lineRule="auto"/>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239" w:hanging="319"/>
        <w:spacing w:after="0" w:line="261"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500" w:right="299" w:hanging="319"/>
        <w:spacing w:after="0" w:line="261" w:lineRule="auto"/>
        <w:tabs>
          <w:tab w:leader="none" w:pos="15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500" w:right="479" w:hanging="319"/>
        <w:spacing w:after="0" w:line="266"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00" w:right="299" w:hanging="319"/>
        <w:spacing w:after="0" w:line="261"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60" w:right="359" w:hanging="327"/>
        <w:spacing w:after="0" w:line="266" w:lineRule="auto"/>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00" w:right="519" w:hanging="319"/>
        <w:spacing w:after="0" w:line="266"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739" w:hanging="319"/>
        <w:spacing w:after="0" w:line="282" w:lineRule="auto"/>
        <w:tabs>
          <w:tab w:leader="none" w:pos="15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91"/>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3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69" w:name="page70"/>
    <w:bookmarkEnd w:id="69"/>
    <w:p>
      <w:pPr>
        <w:ind w:left="76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ind w:left="1660" w:right="600"/>
        <w:spacing w:after="0" w:line="333"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left="200" w:right="379" w:firstLine="648"/>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Palomar Holdings, Inc. (the “Company”) for the quarter ended March 31, 2022,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spacing w:after="0" w:line="183" w:lineRule="exact"/>
        <w:rPr>
          <w:sz w:val="20"/>
          <w:szCs w:val="20"/>
          <w:color w:val="auto"/>
        </w:rPr>
      </w:pPr>
    </w:p>
    <w:p>
      <w:pPr>
        <w:ind w:left="1180" w:right="299" w:hanging="323"/>
        <w:spacing w:after="0" w:line="329" w:lineRule="auto"/>
        <w:tabs>
          <w:tab w:leader="none" w:pos="11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219" w:hanging="323"/>
        <w:spacing w:after="0" w:line="329" w:lineRule="auto"/>
        <w:tabs>
          <w:tab w:leader="none" w:pos="11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19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91"/>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940" w:type="dxa"/>
            <w:vAlign w:val="bottom"/>
          </w:tcPr>
          <w:p>
            <w:pPr>
              <w:ind w:left="146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Mac Armstrong</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Title: Chairman of the Board and Chief Executive Officer</w:t>
            </w: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19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91"/>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940" w:type="dxa"/>
            <w:vAlign w:val="bottom"/>
          </w:tcPr>
          <w:p>
            <w:pPr>
              <w:ind w:left="146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03"/>
        </w:trPr>
        <w:tc>
          <w:tcPr>
            <w:tcW w:w="2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lvl w:ilvl="1">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2022-05-05T17:03:08Z</dcterms:created>
  <dcterms:modified xsi:type="dcterms:W3CDTF">2022-05-05T17:03:08Z</dcterms:modified>
</cp:coreProperties>
</file>