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945515</wp:posOffset>
            </wp:positionH>
            <wp:positionV relativeFrom="page">
              <wp:posOffset>911860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980440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6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960" w:right="339" w:hanging="650"/>
        <w:spacing w:after="0" w:line="269" w:lineRule="auto"/>
        <w:tabs>
          <w:tab w:leader="none" w:pos="90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5"/>
          <w:szCs w:val="15"/>
          <w:b w:val="1"/>
          <w:bCs w:val="1"/>
          <w:color w:val="auto"/>
        </w:rPr>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September 30,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960" w:right="299" w:hanging="650"/>
        <w:spacing w:after="0" w:line="305" w:lineRule="auto"/>
        <w:tabs>
          <w:tab w:leader="none" w:pos="946"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5"/>
          <w:szCs w:val="15"/>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 to ___________</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001-38873</w:t>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Palomar Holdings, Inc.</w:t>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87" w:lineRule="exact"/>
        <w:rPr>
          <w:sz w:val="24"/>
          <w:szCs w:val="24"/>
          <w:color w:val="auto"/>
        </w:rPr>
      </w:pPr>
    </w:p>
    <w:tbl>
      <w:tblPr>
        <w:tblLayout w:type="fixed"/>
        <w:tblInd w:w="60" w:type="dxa"/>
        <w:tblCellMar>
          <w:top w:w="0" w:type="dxa"/>
          <w:left w:w="0" w:type="dxa"/>
          <w:bottom w:w="0" w:type="dxa"/>
          <w:right w:w="0" w:type="dxa"/>
        </w:tblCellMar>
      </w:tblPr>
      <w:tr>
        <w:trPr>
          <w:trHeight w:val="215"/>
        </w:trPr>
        <w:tc>
          <w:tcPr>
            <w:tcW w:w="476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140" w:type="dxa"/>
            <w:vAlign w:val="bottom"/>
          </w:tcPr>
          <w:p>
            <w:pPr>
              <w:jc w:val="right"/>
              <w:ind w:right="1599"/>
              <w:spacing w:after="0"/>
              <w:rPr>
                <w:sz w:val="20"/>
                <w:szCs w:val="20"/>
                <w:color w:val="auto"/>
              </w:rPr>
            </w:pPr>
            <w:r>
              <w:rPr>
                <w:rFonts w:ascii="Times New Roman" w:cs="Times New Roman" w:eastAsia="Times New Roman" w:hAnsi="Times New Roman"/>
                <w:sz w:val="16"/>
                <w:szCs w:val="16"/>
                <w:b w:val="1"/>
                <w:bCs w:val="1"/>
                <w:color w:val="auto"/>
              </w:rPr>
              <w:t>83-3972551</w:t>
            </w:r>
          </w:p>
        </w:tc>
      </w:tr>
      <w:tr>
        <w:trPr>
          <w:trHeight w:val="199"/>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640" w:type="dxa"/>
            <w:vAlign w:val="bottom"/>
          </w:tcPr>
          <w:p>
            <w:pPr>
              <w:spacing w:after="0"/>
              <w:rPr>
                <w:sz w:val="17"/>
                <w:szCs w:val="17"/>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476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140" w:type="dxa"/>
            <w:vAlign w:val="bottom"/>
          </w:tcPr>
          <w:p>
            <w:pPr>
              <w:spacing w:after="0"/>
              <w:rPr>
                <w:sz w:val="18"/>
                <w:szCs w:val="18"/>
                <w:color w:val="auto"/>
              </w:rPr>
            </w:pPr>
          </w:p>
        </w:tc>
      </w:tr>
      <w:tr>
        <w:trPr>
          <w:trHeight w:val="436"/>
        </w:trPr>
        <w:tc>
          <w:tcPr>
            <w:tcW w:w="476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7979 Ivanhoe Avenue, Suite 500</w:t>
            </w:r>
          </w:p>
        </w:tc>
        <w:tc>
          <w:tcPr>
            <w:tcW w:w="4140" w:type="dxa"/>
            <w:vAlign w:val="bottom"/>
          </w:tcPr>
          <w:p>
            <w:pPr>
              <w:spacing w:after="0"/>
              <w:rPr>
                <w:sz w:val="24"/>
                <w:szCs w:val="24"/>
                <w:color w:val="auto"/>
              </w:rPr>
            </w:pPr>
          </w:p>
        </w:tc>
      </w:tr>
      <w:tr>
        <w:trPr>
          <w:trHeight w:val="215"/>
        </w:trPr>
        <w:tc>
          <w:tcPr>
            <w:tcW w:w="476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La Jolla, California</w:t>
            </w:r>
          </w:p>
        </w:tc>
        <w:tc>
          <w:tcPr>
            <w:tcW w:w="4140" w:type="dxa"/>
            <w:vAlign w:val="bottom"/>
          </w:tcPr>
          <w:p>
            <w:pPr>
              <w:jc w:val="right"/>
              <w:ind w:right="1799"/>
              <w:spacing w:after="0"/>
              <w:rPr>
                <w:sz w:val="20"/>
                <w:szCs w:val="20"/>
                <w:color w:val="auto"/>
              </w:rPr>
            </w:pPr>
            <w:r>
              <w:rPr>
                <w:rFonts w:ascii="Times New Roman" w:cs="Times New Roman" w:eastAsia="Times New Roman" w:hAnsi="Times New Roman"/>
                <w:sz w:val="16"/>
                <w:szCs w:val="16"/>
                <w:b w:val="1"/>
                <w:bCs w:val="1"/>
                <w:color w:val="auto"/>
              </w:rPr>
              <w:t>92037</w:t>
            </w:r>
          </w:p>
        </w:tc>
      </w:tr>
      <w:tr>
        <w:trPr>
          <w:trHeight w:val="207"/>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640" w:type="dxa"/>
            <w:vAlign w:val="bottom"/>
          </w:tcPr>
          <w:p>
            <w:pPr>
              <w:spacing w:after="0"/>
              <w:rPr>
                <w:sz w:val="17"/>
                <w:szCs w:val="17"/>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41" w:lineRule="exact"/>
        <w:rPr>
          <w:sz w:val="24"/>
          <w:szCs w:val="24"/>
          <w:color w:val="auto"/>
        </w:rPr>
      </w:pPr>
    </w:p>
    <w:p>
      <w:pPr>
        <w:ind w:left="4180" w:hanging="648"/>
        <w:spacing w:after="0"/>
        <w:tabs>
          <w:tab w:leader="none" w:pos="418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(619) 567-5290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-3175</wp:posOffset>
            </wp:positionV>
            <wp:extent cx="411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-3175</wp:posOffset>
            </wp:positionV>
            <wp:extent cx="179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705"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2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4" w:lineRule="exact"/>
        <w:rPr>
          <w:sz w:val="24"/>
          <w:szCs w:val="24"/>
          <w:color w:val="auto"/>
        </w:rPr>
      </w:pPr>
    </w:p>
    <w:tbl>
      <w:tblPr>
        <w:tblLayout w:type="fixed"/>
        <w:tblInd w:w="50" w:type="dxa"/>
        <w:tblCellMar>
          <w:top w:w="0" w:type="dxa"/>
          <w:left w:w="0" w:type="dxa"/>
          <w:bottom w:w="0" w:type="dxa"/>
          <w:right w:w="0" w:type="dxa"/>
        </w:tblCellMar>
      </w:tblPr>
      <w:tr>
        <w:trPr>
          <w:trHeight w:val="224"/>
        </w:trPr>
        <w:tc>
          <w:tcPr>
            <w:tcW w:w="33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r>
      <w:tr>
        <w:trPr>
          <w:trHeight w:val="204"/>
        </w:trPr>
        <w:tc>
          <w:tcPr>
            <w:tcW w:w="33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PLMR</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r>
    </w:tbl>
    <w:p>
      <w:pPr>
        <w:spacing w:after="0" w:line="26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w:t>
      </w:r>
    </w:p>
    <w:p>
      <w:pPr>
        <w:spacing w:after="0" w:line="4" w:lineRule="exact"/>
        <w:rPr>
          <w:sz w:val="24"/>
          <w:szCs w:val="24"/>
          <w:color w:val="auto"/>
        </w:rPr>
      </w:pPr>
    </w:p>
    <w:p>
      <w:pPr>
        <w:jc w:val="both"/>
        <w:ind w:left="60" w:right="79"/>
        <w:spacing w:after="0" w:line="174" w:lineRule="exact"/>
        <w:rPr>
          <w:sz w:val="20"/>
          <w:szCs w:val="20"/>
          <w:color w:val="auto"/>
        </w:rPr>
      </w:pPr>
      <w:r>
        <w:rPr>
          <w:rFonts w:ascii="Times New Roman" w:cs="Times New Roman" w:eastAsia="Times New Roman" w:hAnsi="Times New Roman"/>
          <w:sz w:val="14"/>
          <w:szCs w:val="14"/>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ind w:left="60" w:right="59"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ind w:left="60"/>
        <w:spacing w:after="0" w:line="161" w:lineRule="exact"/>
        <w:tabs>
          <w:tab w:leader="none" w:pos="960" w:val="left"/>
        </w:tabs>
        <w:rPr>
          <w:sz w:val="20"/>
          <w:szCs w:val="20"/>
          <w:color w:val="auto"/>
        </w:rPr>
      </w:pPr>
      <w:r>
        <w:rPr>
          <w:rFonts w:ascii="Times New Roman" w:cs="Times New Roman" w:eastAsia="Times New Roman" w:hAnsi="Times New Roman"/>
          <w:sz w:val="14"/>
          <w:szCs w:val="14"/>
          <w:color w:val="auto"/>
        </w:rPr>
        <w:t xml:space="preserve">files).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8" w:lineRule="exact"/>
        <w:rPr>
          <w:sz w:val="24"/>
          <w:szCs w:val="24"/>
          <w:color w:val="auto"/>
        </w:rPr>
      </w:pPr>
    </w:p>
    <w:p>
      <w:pPr>
        <w:jc w:val="both"/>
        <w:ind w:left="60" w:right="59"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440" w:right="1440" w:bottom="1440" w:gutter="0" w:footer="0" w:header="0"/>
        </w:sectPr>
      </w:pPr>
    </w:p>
    <w:p>
      <w:pPr>
        <w:spacing w:after="0" w:line="140" w:lineRule="exact"/>
        <w:rPr>
          <w:sz w:val="24"/>
          <w:szCs w:val="24"/>
          <w:color w:val="auto"/>
        </w:rPr>
      </w:pPr>
    </w:p>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2" w:lineRule="exact"/>
        <w:rPr>
          <w:sz w:val="24"/>
          <w:szCs w:val="24"/>
          <w:color w:val="auto"/>
        </w:rPr>
      </w:pPr>
    </w:p>
    <w:p>
      <w:pPr>
        <w:sectPr>
          <w:pgSz w:w="11900" w:h="16838" w:orient="portrait"/>
          <w:cols w:equalWidth="0" w:num="2">
            <w:col w:w="4400" w:space="720"/>
            <w:col w:w="3899"/>
          </w:cols>
          <w:pgMar w:left="1440" w:top="1440" w:right="1440" w:bottom="1440" w:gutter="0" w:footer="0" w:header="0"/>
          <w:type w:val="continuous"/>
        </w:sectPr>
      </w:pPr>
    </w:p>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82" w:lineRule="exact"/>
        <w:rPr>
          <w:sz w:val="24"/>
          <w:szCs w:val="24"/>
          <w:color w:val="auto"/>
        </w:rPr>
      </w:pPr>
    </w:p>
    <w:p>
      <w:pPr>
        <w:sectPr>
          <w:pgSz w:w="11900" w:h="16838" w:orient="portrait"/>
          <w:cols w:equalWidth="0" w:num="2">
            <w:col w:w="4400" w:space="720"/>
            <w:col w:w="3899"/>
          </w:cols>
          <w:pgMar w:left="1440" w:top="1440" w:right="1440" w:bottom="1440" w:gutter="0" w:footer="0" w:header="0"/>
          <w:type w:val="continuous"/>
        </w:sectPr>
      </w:pPr>
    </w:p>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9019"/>
          </w:cols>
          <w:pgMar w:left="1440" w:top="1440" w:right="1440" w:bottom="1440" w:gutter="0" w:footer="0" w:header="0"/>
          <w:type w:val="continuous"/>
        </w:sectPr>
      </w:pPr>
    </w:p>
    <w:p>
      <w:pPr>
        <w:spacing w:after="0" w:line="240" w:lineRule="exact"/>
        <w:rPr>
          <w:sz w:val="24"/>
          <w:szCs w:val="24"/>
          <w:color w:val="auto"/>
        </w:rPr>
      </w:pPr>
    </w:p>
    <w:p>
      <w:pPr>
        <w:ind w:left="60" w:right="79"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380" w:right="1779"/>
        <w:spacing w:after="0" w:line="2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Number of shares of the registrant’s common shares outstanding at November 1, 2022: 25,232,736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417830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-1270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40640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7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320" w:type="dxa"/>
            <w:vAlign w:val="bottom"/>
            <w:gridSpan w:val="2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September 30, 2022 (Unaudited) and December 31, 2021</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Income (Loss) and Comprehensive Income (Loss) (Unaudited) for</w:t>
            </w:r>
          </w:p>
        </w:tc>
        <w:tc>
          <w:tcPr>
            <w:tcW w:w="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70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Three and Nine Months Ended September 30, 2022 and 2021</w:t>
            </w:r>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 for the Nine Months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Ended September 30, 2022 and 2021</w:t>
            </w:r>
          </w:p>
        </w:tc>
        <w:tc>
          <w:tcPr>
            <w:tcW w:w="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6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Nine Months Ended September</w:t>
            </w:r>
          </w:p>
        </w:tc>
        <w:tc>
          <w:tcPr>
            <w:tcW w:w="240" w:type="dxa"/>
            <w:vAlign w:val="bottom"/>
            <w:tcBorders>
              <w:bottom w:val="single" w:sz="8" w:color="CCEEFF"/>
            </w:tcBorders>
            <w:gridSpan w:val="2"/>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70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30, 2022 and 2021</w:t>
            </w:r>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3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0000EE"/>
            </w:tcBorders>
            <w:vMerge w:val="restart"/>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Item 1A.Risk Factors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32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7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7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shares and par value data)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2"/>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1"/>
        </w:trPr>
        <w:tc>
          <w:tcPr>
            <w:tcW w:w="684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7"/>
                <w:szCs w:val="17"/>
                <w:color w:val="auto"/>
              </w:rPr>
              <w:t>Fixed maturity securities available for sale, at fair value (amortized cost: $530,992 in 2022;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$426,122 in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476,794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432,682</w:t>
            </w:r>
          </w:p>
        </w:tc>
      </w:tr>
      <w:tr>
        <w:trPr>
          <w:trHeight w:val="203"/>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Equity securities, at fair value (cost: $42,111 in 2022; $31,834 in 2021)</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35,468</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33,261</w:t>
            </w:r>
          </w:p>
        </w:tc>
      </w:tr>
      <w:tr>
        <w:trPr>
          <w:trHeight w:val="19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512,262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465,943</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50,284</w:t>
            </w: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2,725</w:t>
            </w: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 net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186,850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88,012</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 of ceding commissions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55,953</w:t>
            </w:r>
          </w:p>
        </w:tc>
      </w:tr>
      <w:tr>
        <w:trPr>
          <w:trHeight w:val="202"/>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Reinsurance recoverable on unpaid losses and loss adjustment expenses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131,575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127,947</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 on paid losses and loss adjustment expenses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45,393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29,368</w:t>
            </w: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Ceded unearned premiums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182,657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58,315</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37,072</w:t>
            </w: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assets, net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 net</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9,501</w:t>
            </w:r>
          </w:p>
        </w:tc>
      </w:tr>
      <w:tr>
        <w:trPr>
          <w:trHeight w:val="236"/>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1,216,466</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925,734</w:t>
            </w:r>
          </w:p>
        </w:tc>
      </w:tr>
      <w:tr>
        <w:trPr>
          <w:trHeight w:val="183"/>
        </w:trPr>
        <w:tc>
          <w:tcPr>
            <w:tcW w:w="68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03"/>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and other 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21,284</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Reserve for losses and loss adjustment expenses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173,366</w:t>
            </w: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443,463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284,665</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Ceded premium payable</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145,918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37,460</w:t>
            </w: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Funds held under reinsurance treaty</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10,882</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3,908</w:t>
            </w: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Borrowings from credit agreements</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848,621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531,565</w:t>
            </w:r>
          </w:p>
        </w:tc>
      </w:tr>
      <w:tr>
        <w:trPr>
          <w:trHeight w:val="20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181"/>
        </w:trPr>
        <w:tc>
          <w:tcPr>
            <w:tcW w:w="6840" w:type="dxa"/>
            <w:vAlign w:val="bottom"/>
          </w:tcPr>
          <w:p>
            <w:pPr>
              <w:ind w:left="220"/>
              <w:spacing w:after="0" w:line="181" w:lineRule="exact"/>
              <w:rPr>
                <w:sz w:val="20"/>
                <w:szCs w:val="20"/>
                <w:color w:val="auto"/>
              </w:rPr>
            </w:pPr>
            <w:r>
              <w:rPr>
                <w:rFonts w:ascii="Times New Roman" w:cs="Times New Roman" w:eastAsia="Times New Roman" w:hAnsi="Times New Roman"/>
                <w:sz w:val="17"/>
                <w:szCs w:val="17"/>
                <w:color w:val="auto"/>
              </w:rPr>
              <w:t>Preferred stock, $0.0001 par value, 5,000,000 shares authorized, 0 shares issued and</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outstanding as of September 30, 2022 and December 31, 2021</w:t>
            </w: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82"/>
        </w:trPr>
        <w:tc>
          <w:tcPr>
            <w:tcW w:w="684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7"/>
                <w:szCs w:val="17"/>
                <w:color w:val="auto"/>
              </w:rPr>
              <w:t>Common stock, $0.0001 par value, 500,000,000 shares authorized, 25,229,486 and</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25,428,929 shares issued and outstanding as of September 30, 2022 and December 31, 2021,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24"/>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respectively</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3"/>
        </w:trPr>
        <w:tc>
          <w:tcPr>
            <w:tcW w:w="6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330,381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318,902</w:t>
            </w:r>
          </w:p>
        </w:tc>
      </w:tr>
      <w:tr>
        <w:trPr>
          <w:trHeight w:val="203"/>
        </w:trPr>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(42,629)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5,312</w:t>
            </w:r>
          </w:p>
        </w:tc>
      </w:tr>
      <w:tr>
        <w:trPr>
          <w:trHeight w:val="203"/>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80,090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69,952</w:t>
            </w:r>
          </w:p>
        </w:tc>
      </w:tr>
      <w:tr>
        <w:trPr>
          <w:trHeight w:val="19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367,845</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394,169</w:t>
            </w:r>
          </w:p>
        </w:tc>
      </w:tr>
      <w:tr>
        <w:trPr>
          <w:trHeight w:val="196"/>
        </w:trPr>
        <w:tc>
          <w:tcPr>
            <w:tcW w:w="6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1,216,466</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925,734</w:t>
            </w: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 and Comprehensive Income (Loss)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data)</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4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04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253,128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152,332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642,751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385,267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(161,930)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(374,109)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(153,005)</w:t>
            </w:r>
          </w:p>
        </w:tc>
        <w:tc>
          <w:tcPr>
            <w:tcW w:w="0" w:type="dxa"/>
            <w:vAlign w:val="bottom"/>
          </w:tcPr>
          <w:p>
            <w:pPr>
              <w:spacing w:after="0"/>
              <w:rPr>
                <w:sz w:val="1"/>
                <w:szCs w:val="1"/>
                <w:color w:val="auto"/>
              </w:rPr>
            </w:pPr>
          </w:p>
        </w:tc>
      </w:tr>
      <w:tr>
        <w:trPr>
          <w:trHeight w:val="20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written premiums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268,642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232,262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(13,256)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(29,539)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(34,403)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(66,274)</w:t>
            </w:r>
          </w:p>
        </w:tc>
        <w:tc>
          <w:tcPr>
            <w:tcW w:w="0" w:type="dxa"/>
            <w:vAlign w:val="bottom"/>
          </w:tcPr>
          <w:p>
            <w:pPr>
              <w:spacing w:after="0"/>
              <w:rPr>
                <w:sz w:val="1"/>
                <w:szCs w:val="1"/>
                <w:color w:val="auto"/>
              </w:rPr>
            </w:pPr>
          </w:p>
        </w:tc>
      </w:tr>
      <w:tr>
        <w:trPr>
          <w:trHeight w:val="20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earned premiums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234,239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165,988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(8,369)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0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174,620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expenses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68,150</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75,494</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195,887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138,876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35,744</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29,215</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00" w:type="dxa"/>
            <w:vAlign w:val="bottom"/>
            <w:shd w:val="clear" w:color="auto" w:fill="CCEEFF"/>
          </w:tcPr>
          <w:p>
            <w:pPr>
              <w:ind w:left="20"/>
              <w:spacing w:after="0" w:line="200" w:lineRule="exact"/>
              <w:rPr>
                <w:sz w:val="20"/>
                <w:szCs w:val="20"/>
                <w:color w:val="auto"/>
              </w:rPr>
            </w:pPr>
            <w:r>
              <w:rPr>
                <w:rFonts w:ascii="Times New Roman" w:cs="Times New Roman" w:eastAsia="Times New Roman" w:hAnsi="Times New Roman"/>
                <w:sz w:val="18"/>
                <w:szCs w:val="18"/>
                <w:color w:val="auto"/>
              </w:rPr>
              <w:t>Net unrealized losses on securities available for sale for</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three and nine months ended September 30, 2022 and</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respectively</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(15,412)</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(1,655)</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(47,941)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(11,126)</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(14,530)</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24,071</w:t>
            </w:r>
          </w:p>
        </w:tc>
        <w:tc>
          <w:tcPr>
            <w:tcW w:w="0" w:type="dxa"/>
            <w:vAlign w:val="bottom"/>
          </w:tcPr>
          <w:p>
            <w:pPr>
              <w:spacing w:after="0"/>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25,209,368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25,388,630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25,258,333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25,473,006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25,787,625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26,043,680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25,808,387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26,133,664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160" w:type="dxa"/>
            <w:vAlign w:val="bottom"/>
          </w:tcPr>
          <w:p>
            <w:pPr>
              <w:spacing w:after="0"/>
              <w:rPr>
                <w:sz w:val="15"/>
                <w:szCs w:val="15"/>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25,525,796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$ 310,507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363,713</w:t>
            </w:r>
          </w:p>
        </w:tc>
        <w:tc>
          <w:tcPr>
            <w:tcW w:w="0" w:type="dxa"/>
            <w:vAlign w:val="bottom"/>
          </w:tcPr>
          <w:p>
            <w:pPr>
              <w:spacing w:after="0"/>
              <w:rPr>
                <w:sz w:val="1"/>
                <w:szCs w:val="1"/>
                <w:color w:val="auto"/>
              </w:rPr>
            </w:pPr>
          </w:p>
        </w:tc>
      </w:tr>
      <w:tr>
        <w:trPr>
          <w:trHeight w:val="209"/>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198"/>
        </w:trPr>
        <w:tc>
          <w:tcPr>
            <w:tcW w:w="32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common stock via</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incentive plan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(239,096)</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(15,852)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29,215</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25,415,299</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$ 316,352</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53,320</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377,777</w:t>
            </w: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25,428,929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$ 318,902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394,169</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(47,941)</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common stock via</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198"/>
        </w:trPr>
        <w:tc>
          <w:tcPr>
            <w:tcW w:w="32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incentive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(399,198)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(23,273)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(23,273)</w:t>
            </w:r>
          </w:p>
        </w:tc>
        <w:tc>
          <w:tcPr>
            <w:tcW w:w="0" w:type="dxa"/>
            <w:vAlign w:val="bottom"/>
          </w:tcPr>
          <w:p>
            <w:pPr>
              <w:spacing w:after="0"/>
              <w:rPr>
                <w:sz w:val="1"/>
                <w:szCs w:val="1"/>
                <w:color w:val="auto"/>
              </w:rPr>
            </w:pPr>
          </w:p>
        </w:tc>
      </w:tr>
      <w:tr>
        <w:trPr>
          <w:trHeight w:val="21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33,411</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25,229,486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$ 330,381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5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7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(279,064)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(10,277)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(35,675)</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maturities of fixed maturity securities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70,696</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41,553</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securities receivable or payable, net</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additional costs associated with purchase of policy renewal rights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(121,422)</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common stock issued via employee stock purchase plan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common stock issued via stock option exercises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(23,273)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33,786</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41,634</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Supplementary cash flow information:</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and restricted cash and cash equivalents within the condensed consolidated balance sheets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70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50,284</w:t>
            </w:r>
          </w:p>
        </w:tc>
      </w:tr>
      <w:tr>
        <w:trPr>
          <w:trHeight w:val="216"/>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50,371</w:t>
            </w:r>
          </w:p>
        </w:tc>
      </w:tr>
      <w:tr>
        <w:trPr>
          <w:trHeight w:val="20"/>
        </w:trPr>
        <w:tc>
          <w:tcPr>
            <w:tcW w:w="7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right="4939" w:hanging="10"/>
        <w:spacing w:after="0" w:line="503" w:lineRule="auto"/>
        <w:tabs>
          <w:tab w:leader="none" w:pos="2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Operations and Basis of Presentation Summary of Operations</w:t>
      </w: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Palomar Holdings, Inc. (the “Company”) is a Delaware incorporated insurance holding company that was founded in 2014.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and a California domiciled property and casualty insurance agency, Palomar Insurance Agency, DBA Palomar General Insurance Agency (“PGIA”).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generally accepted accounting principles (“GAAP”) for interim financial information and include the accounts of the Company and its wholly-owned subsidiaries. These condensed consolidated financial statements do not contain all information and footnotes required by U.S.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2021, filed with the SEC on February 24, 2022 (the “2021 Annual Report on Form 10-K”).</w:t>
      </w:r>
    </w:p>
    <w:p>
      <w:pPr>
        <w:spacing w:after="0" w:line="19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not necessarily indicative of results of operations for the full year.</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and the fair values of investments.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not adopted any new accounting guidance during the three months ended September 30,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27" w:lineRule="exact"/>
        <w:rPr>
          <w:sz w:val="20"/>
          <w:szCs w:val="20"/>
          <w:color w:val="auto"/>
        </w:rPr>
      </w:pPr>
    </w:p>
    <w:p>
      <w:pPr>
        <w:ind w:left="60" w:right="759" w:firstLine="648"/>
        <w:spacing w:after="0" w:line="282" w:lineRule="auto"/>
        <w:rPr>
          <w:sz w:val="20"/>
          <w:szCs w:val="20"/>
          <w:color w:val="auto"/>
        </w:rPr>
      </w:pPr>
      <w:r>
        <w:rPr>
          <w:rFonts w:ascii="Times New Roman" w:cs="Times New Roman" w:eastAsia="Times New Roman" w:hAnsi="Times New Roman"/>
          <w:sz w:val="18"/>
          <w:szCs w:val="18"/>
          <w:color w:val="auto"/>
        </w:rPr>
        <w:t>There are not currently any recent accounting pronouncements or pending accounting guidance that have significance, or potential significance, to the Company’s consolidated financial statements.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available-for-sale investments are summarized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96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Borders>
              <w:bottom w:val="single" w:sz="8" w:color="auto"/>
            </w:tcBorders>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 or Cost</w:t>
            </w:r>
          </w:p>
        </w:tc>
        <w:tc>
          <w:tcPr>
            <w:tcW w:w="2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6"/>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(2,423)</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49,598</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36,075</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240,420</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139,743</w:t>
            </w:r>
          </w:p>
        </w:tc>
        <w:tc>
          <w:tcPr>
            <w:tcW w:w="0" w:type="dxa"/>
            <w:vAlign w:val="bottom"/>
          </w:tcPr>
          <w:p>
            <w:pPr>
              <w:spacing w:after="0"/>
              <w:rPr>
                <w:sz w:val="1"/>
                <w:szCs w:val="1"/>
                <w:color w:val="auto"/>
              </w:rPr>
            </w:pPr>
          </w:p>
        </w:tc>
      </w:tr>
      <w:tr>
        <w:trPr>
          <w:trHeight w:val="20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$ 530,992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476,794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96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Borders>
              <w:bottom w:val="single" w:sz="8" w:color="auto"/>
            </w:tcBorders>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Cost or Cost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7"/>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(1,891)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249,046</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111,874</w:t>
            </w:r>
          </w:p>
        </w:tc>
        <w:tc>
          <w:tcPr>
            <w:tcW w:w="0" w:type="dxa"/>
            <w:vAlign w:val="bottom"/>
          </w:tcPr>
          <w:p>
            <w:pPr>
              <w:spacing w:after="0"/>
              <w:rPr>
                <w:sz w:val="1"/>
                <w:szCs w:val="1"/>
                <w:color w:val="auto"/>
              </w:rPr>
            </w:pPr>
          </w:p>
        </w:tc>
      </w:tr>
      <w:tr>
        <w:trPr>
          <w:trHeight w:val="210"/>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$ 426,122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432,682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Security holdings in an unrealized loss position</w:t>
      </w:r>
    </w:p>
    <w:p>
      <w:pPr>
        <w:spacing w:after="0" w:line="227"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held 380 fixed maturity securities in an unrealized loss position with a total estimated fair value of $475.8 million and total gross unrealized losses of $54.2 million. As of December 31, 2021, the Company held 231 fixed maturity securities in an unrealized loss position with a total estimated fair value of $170.1 million and total gross unrealized losses of $2.7 million.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sectPr>
      </w:pPr>
    </w:p>
    <w:bookmarkStart w:id="8" w:name="page9"/>
    <w:bookmarkEnd w:id="8"/>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The aggregate fair value and gross unrealized losses of the Company’s investments aggregated by investment category and the length of time these individual securities have been in a continuous unrealized loss position as of September 30, 2022 and December 31, 2021, are as follows: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5"/>
                <w:szCs w:val="15"/>
                <w:color w:val="auto"/>
              </w:rPr>
            </w:pPr>
          </w:p>
        </w:tc>
        <w:tc>
          <w:tcPr>
            <w:tcW w:w="1600" w:type="dxa"/>
            <w:vAlign w:val="bottom"/>
            <w:gridSpan w:val="10"/>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More Than 12 Months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86"/>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73"/>
        </w:trPr>
        <w:tc>
          <w:tcPr>
            <w:tcW w:w="3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6"/>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43,268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(1,673)</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Special revenue excluding mortgage/asset-</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backed securities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31,254</w:t>
            </w:r>
          </w:p>
        </w:tc>
        <w:tc>
          <w:tcPr>
            <w:tcW w:w="220" w:type="dxa"/>
            <w:vAlign w:val="bottom"/>
            <w:tcBorders>
              <w:right w:val="single" w:sz="8" w:color="CCEEFF"/>
            </w:tcBorders>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(1,493)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36,075</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200,092</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39,574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(7,595)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239,666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131,692</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139,505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$ 415,794</w:t>
            </w:r>
          </w:p>
        </w:tc>
        <w:tc>
          <w:tcPr>
            <w:tcW w:w="2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7"/>
              </w:rPr>
              <w:t>$ (42,947)</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$ 60,008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(11,260)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475,802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More Than 12 Months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46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7"/>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5,968</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(147)</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1,457</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Political subdivisions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44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Special revenue excluding mortgage/asset-</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backed securities</w:t>
            </w: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left w:val="single" w:sz="8" w:color="CCEEFF"/>
            </w:tcBorders>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and other</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94,020</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99,590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1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51,246</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53,565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$ 160,773</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(2,188)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9,346</w:t>
            </w:r>
          </w:p>
        </w:tc>
        <w:tc>
          <w:tcPr>
            <w:tcW w:w="16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170,119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all securities with unrealized losses on a quarterly basis to assess whether the decline in the securities fair value necessitates the recognition of an allowance for credit losses. The Company considers numerous factors in its review as described in Footnote 1 of the Notes to the Consolidated Financial Statements in the 2021 Annual Report on Form 10-K.</w:t>
      </w:r>
    </w:p>
    <w:p>
      <w:pPr>
        <w:spacing w:after="0" w:line="7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has recorded an insignificant allowance for credit losses pertaining to one investment security. Based on the Company’s review as of September 30, 2022, for the remainder of securities,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i w:val="1"/>
          <w:iCs w:val="1"/>
          <w:color w:val="auto"/>
        </w:rPr>
        <w:t>Contractual maturities of available-for-sale fixed maturity securities</w:t>
      </w:r>
    </w:p>
    <w:p>
      <w:pPr>
        <w:spacing w:after="0" w:line="227"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fixed maturity securities at September 30, 2022, by contractual maturity, are shown below.</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70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28"/>
        </w:trPr>
        <w:tc>
          <w:tcPr>
            <w:tcW w:w="7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4"/>
          </w:tcPr>
          <w:p>
            <w:pPr>
              <w:jc w:val="right"/>
              <w:ind w:right="4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36,730</w:t>
            </w: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165,172</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109,641</w:t>
            </w: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25,508</w:t>
            </w: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139,743</w:t>
            </w:r>
          </w:p>
        </w:tc>
      </w:tr>
      <w:tr>
        <w:trPr>
          <w:trHeight w:val="209"/>
        </w:trPr>
        <w:tc>
          <w:tcPr>
            <w:tcW w:w="70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530,992</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476,794</w:t>
            </w:r>
          </w:p>
        </w:tc>
      </w:tr>
      <w:tr>
        <w:trPr>
          <w:trHeight w:val="20"/>
        </w:trPr>
        <w:tc>
          <w:tcPr>
            <w:tcW w:w="7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investment income summary</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investment income is summarized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4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28"/>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4"/>
          </w:tcPr>
          <w:p>
            <w:pPr>
              <w:jc w:val="center"/>
              <w:ind w:right="1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20" w:type="dxa"/>
            <w:vAlign w:val="bottom"/>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8"/>
                <w:szCs w:val="18"/>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Pr>
          <w:p>
            <w:pPr>
              <w:spacing w:after="0"/>
              <w:rPr>
                <w:sz w:val="18"/>
                <w:szCs w:val="18"/>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realized and unrealized investment gains and losses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net realized and unrealized investment gains and losses: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4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4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29"/>
        </w:trPr>
        <w:tc>
          <w:tcPr>
            <w:tcW w:w="5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4"/>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sales of fixed maturity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sales of equity securities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 w:type="dxa"/>
            <w:vAlign w:val="bottom"/>
          </w:tcPr>
          <w:p>
            <w:pPr>
              <w:spacing w:after="0"/>
              <w:rPr>
                <w:sz w:val="18"/>
                <w:szCs w:val="18"/>
                <w:color w:val="auto"/>
              </w:rPr>
            </w:pPr>
          </w:p>
        </w:tc>
      </w:tr>
      <w:tr>
        <w:trPr>
          <w:trHeight w:val="21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realized gains</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 w:type="dxa"/>
            <w:vAlign w:val="bottom"/>
          </w:tcPr>
          <w:p>
            <w:pPr>
              <w:spacing w:after="0"/>
              <w:rPr>
                <w:sz w:val="18"/>
                <w:szCs w:val="18"/>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on sales of fixed maturity securities</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on sales of equity securities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realized losses</w:t>
            </w: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investment gains (losses)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0" w:type="dxa"/>
            <w:vAlign w:val="bottom"/>
          </w:tcPr>
          <w:p>
            <w:pPr>
              <w:spacing w:after="0"/>
              <w:rPr>
                <w:sz w:val="18"/>
                <w:szCs w:val="18"/>
                <w:color w:val="auto"/>
              </w:rPr>
            </w:pPr>
          </w:p>
        </w:tc>
      </w:tr>
      <w:tr>
        <w:trPr>
          <w:trHeight w:val="209"/>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losses on equity securities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 w:type="dxa"/>
            <w:vAlign w:val="bottom"/>
          </w:tcPr>
          <w:p>
            <w:pPr>
              <w:spacing w:after="0"/>
              <w:rPr>
                <w:sz w:val="18"/>
                <w:szCs w:val="18"/>
                <w:color w:val="auto"/>
              </w:rPr>
            </w:pPr>
          </w:p>
        </w:tc>
      </w:tr>
      <w:tr>
        <w:trPr>
          <w:trHeight w:val="21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Realized gains and losses on disposition of investments are based on specific identification of the investments sold on the settlement date.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sectPr>
      </w:pPr>
    </w:p>
    <w:bookmarkStart w:id="10" w:name="page11"/>
    <w:bookmarkEnd w:id="10"/>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fixed maturity securities were insignificant and $1.0 million for the three months ended September 30, 2022 and 2021, respectively.</w:t>
      </w:r>
    </w:p>
    <w:p>
      <w:pPr>
        <w:spacing w:after="0" w:line="162"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of fixed maturity securities were $5.8 million and $12.1 million for the nine months ended September 30, 2022 and 2021, respectively.</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places securities on statutory deposit with certain state agencies to retain the right to do business in those states. These securities are included in available-for-sale investments on the balance sheet. As of September 30, 2022 and December 31, 2022, the carrying value of securities on deposit with state regulatory authorities was $8.5 million and $7.5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the Company would receive upon selling an investment in an orderly transaction to an independent buyer in the principal or most advantageous market of the investment.</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three-tier hierarchy of inputs is summarized in the three broad levels listed below:</w:t>
      </w:r>
    </w:p>
    <w:p>
      <w:pPr>
        <w:spacing w:after="0" w:line="225" w:lineRule="exact"/>
        <w:rPr>
          <w:sz w:val="20"/>
          <w:szCs w:val="20"/>
          <w:color w:val="auto"/>
        </w:rPr>
      </w:pPr>
    </w:p>
    <w:p>
      <w:pPr>
        <w:ind w:left="700" w:right="359"/>
        <w:spacing w:after="0" w:line="282" w:lineRule="auto"/>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investments as of the reporting date.</w:t>
      </w:r>
    </w:p>
    <w:p>
      <w:pPr>
        <w:spacing w:after="0" w:line="162" w:lineRule="exact"/>
        <w:rPr>
          <w:sz w:val="20"/>
          <w:szCs w:val="20"/>
          <w:color w:val="auto"/>
        </w:rPr>
      </w:pPr>
    </w:p>
    <w:p>
      <w:pPr>
        <w:jc w:val="both"/>
        <w:ind w:left="700" w:right="99"/>
        <w:spacing w:after="0" w:line="266" w:lineRule="auto"/>
        <w:rPr>
          <w:sz w:val="20"/>
          <w:szCs w:val="20"/>
          <w:color w:val="auto"/>
        </w:rPr>
      </w:pPr>
      <w:r>
        <w:rPr>
          <w:rFonts w:ascii="Times New Roman" w:cs="Times New Roman" w:eastAsia="Times New Roman" w:hAnsi="Times New Roman"/>
          <w:sz w:val="18"/>
          <w:szCs w:val="18"/>
          <w:color w:val="auto"/>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spacing w:after="0" w:line="176" w:lineRule="exact"/>
        <w:rPr>
          <w:sz w:val="20"/>
          <w:szCs w:val="20"/>
          <w:color w:val="auto"/>
        </w:rPr>
      </w:pPr>
    </w:p>
    <w:p>
      <w:pPr>
        <w:ind w:left="700" w:right="659"/>
        <w:spacing w:after="0" w:line="282" w:lineRule="auto"/>
        <w:rPr>
          <w:sz w:val="20"/>
          <w:szCs w:val="20"/>
          <w:color w:val="auto"/>
        </w:rPr>
      </w:pPr>
      <w:r>
        <w:rPr>
          <w:rFonts w:ascii="Times New Roman" w:cs="Times New Roman" w:eastAsia="Times New Roman" w:hAnsi="Times New Roman"/>
          <w:sz w:val="18"/>
          <w:szCs w:val="18"/>
          <w:color w:val="auto"/>
        </w:rPr>
        <w:t>Level 3—Pricing inputs into models are unobservable for the investment. The unobservable inputs require significant management judgment or estimation.</w:t>
      </w:r>
    </w:p>
    <w:p>
      <w:pPr>
        <w:spacing w:after="0" w:line="162"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spacing w:after="0" w:line="180"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1" w:name="page12"/>
    <w:bookmarkEnd w:id="11"/>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hierarchy for financial assets and liabilities measured at fair value on a recurring basis as of September 30, 2022 and December 31,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6"/>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Political subdivisions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7"/>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431,182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516,314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 term-maturity. The carrying amount of the Company’s borrowings under the Federal Home Loan Bank (“FHLB”) line of credit approximates fair value as the Company is currently borrowing at the overnight rate.</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Transfers between Level 3 and Level 2 securities result from changes in the availability of observable market inputs and are recorded at the beginning of the reporting period. As of September 30, 2022, the Company had no fixed income securities classified as Level 3. As of December 31, 2021, the Company had $1.5 million of fixed income securities classified as Level 3 due to the lack of availability of observable market inputs for recently purchased securities.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b w:val="1"/>
          <w:bCs w:val="1"/>
          <w:color w:val="auto"/>
        </w:rPr>
        <w:t>4. Reserve for Losses and Loss Adjustment Expenses</w:t>
      </w:r>
    </w:p>
    <w:p>
      <w:pPr>
        <w:spacing w:after="0" w:line="229"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reconciliation of changes in the ending reserve balances for losses and loss adjustment expenses (“LAE”):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4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8"/>
        </w:trPr>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0" w:type="dxa"/>
            <w:vAlign w:val="bottom"/>
            <w:gridSpan w:val="5"/>
          </w:tcPr>
          <w:p>
            <w:pPr>
              <w:jc w:val="right"/>
              <w:ind w:right="5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Reserve for losses and LAE net of reinsurance</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recoverables at beginning of period</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55,769</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23,633</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45,419</w:t>
            </w:r>
          </w:p>
        </w:tc>
        <w:tc>
          <w:tcPr>
            <w:tcW w:w="1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34,470</w:t>
            </w:r>
          </w:p>
        </w:tc>
        <w:tc>
          <w:tcPr>
            <w:tcW w:w="0" w:type="dxa"/>
            <w:vAlign w:val="bottom"/>
          </w:tcPr>
          <w:p>
            <w:pPr>
              <w:spacing w:after="0"/>
              <w:rPr>
                <w:sz w:val="1"/>
                <w:szCs w:val="1"/>
                <w:color w:val="auto"/>
              </w:rPr>
            </w:pPr>
          </w:p>
        </w:tc>
      </w:tr>
      <w:tr>
        <w:trPr>
          <w:trHeight w:val="198"/>
        </w:trPr>
        <w:tc>
          <w:tcPr>
            <w:tcW w:w="42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Add: Incurred losses and LAE, net of reinsurance,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to:</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34,202</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Prior years</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incurred</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31,288</w:t>
            </w:r>
          </w:p>
        </w:tc>
        <w:tc>
          <w:tcPr>
            <w:tcW w:w="0" w:type="dxa"/>
            <w:vAlign w:val="bottom"/>
          </w:tcPr>
          <w:p>
            <w:pPr>
              <w:spacing w:after="0"/>
              <w:rPr>
                <w:sz w:val="1"/>
                <w:szCs w:val="1"/>
                <w:color w:val="auto"/>
              </w:rPr>
            </w:pPr>
          </w:p>
        </w:tc>
      </w:tr>
      <w:tr>
        <w:trPr>
          <w:trHeight w:val="198"/>
        </w:trPr>
        <w:tc>
          <w:tcPr>
            <w:tcW w:w="42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Deduct: Loss and LAE payments, net of reinsurance,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to:</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Prior years</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payments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Reserve for losses and LAE net of reinsurance</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recoverables at end of period</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46,643</w:t>
            </w: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Reinsurance recoverables on unpaid losses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LAE at end of period</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131,575</w:t>
            </w:r>
          </w:p>
        </w:tc>
        <w:tc>
          <w:tcPr>
            <w:tcW w:w="2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129,044</w:t>
            </w:r>
          </w:p>
        </w:tc>
        <w:tc>
          <w:tcPr>
            <w:tcW w:w="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131,575</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129,044</w:t>
            </w:r>
          </w:p>
        </w:tc>
        <w:tc>
          <w:tcPr>
            <w:tcW w:w="0" w:type="dxa"/>
            <w:vAlign w:val="bottom"/>
          </w:tcPr>
          <w:p>
            <w:pPr>
              <w:spacing w:after="0"/>
              <w:rPr>
                <w:sz w:val="1"/>
                <w:szCs w:val="1"/>
                <w:color w:val="auto"/>
              </w:rPr>
            </w:pPr>
          </w:p>
        </w:tc>
      </w:tr>
      <w:tr>
        <w:trPr>
          <w:trHeight w:val="178"/>
        </w:trPr>
        <w:tc>
          <w:tcPr>
            <w:tcW w:w="42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Reserve for losses and LAE gross of reinsurance</w:t>
            </w:r>
          </w:p>
        </w:tc>
        <w:tc>
          <w:tcPr>
            <w:tcW w:w="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205,823</w:t>
            </w:r>
          </w:p>
        </w:tc>
        <w:tc>
          <w:tcPr>
            <w:tcW w:w="5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175,687</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205,823</w:t>
            </w:r>
          </w:p>
        </w:tc>
        <w:tc>
          <w:tcPr>
            <w:tcW w:w="180" w:type="dxa"/>
            <w:vAlign w:val="bottom"/>
          </w:tcPr>
          <w:p>
            <w:pPr>
              <w:spacing w:after="0"/>
              <w:rPr>
                <w:sz w:val="15"/>
                <w:szCs w:val="15"/>
                <w:color w:val="auto"/>
              </w:rPr>
            </w:pPr>
          </w:p>
        </w:tc>
        <w:tc>
          <w:tcPr>
            <w:tcW w:w="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175,687</w:t>
            </w:r>
          </w:p>
        </w:tc>
        <w:tc>
          <w:tcPr>
            <w:tcW w:w="0" w:type="dxa"/>
            <w:vAlign w:val="bottom"/>
          </w:tcPr>
          <w:p>
            <w:pPr>
              <w:spacing w:after="0"/>
              <w:rPr>
                <w:sz w:val="1"/>
                <w:szCs w:val="1"/>
                <w:color w:val="auto"/>
              </w:rPr>
            </w:pPr>
          </w:p>
        </w:tc>
      </w:tr>
      <w:tr>
        <w:trPr>
          <w:trHeight w:val="22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recoverables on unpaid losses and LAE at end of period</w:t>
            </w:r>
          </w:p>
        </w:tc>
        <w:tc>
          <w:tcPr>
            <w:tcW w:w="42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w:t>
      </w:r>
    </w:p>
    <w:p>
      <w:pPr>
        <w:spacing w:after="0" w:line="176"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Company experienced insignificant prior year development during the three months ended September 30, 2022 and September 30, 2021.</w:t>
      </w:r>
    </w:p>
    <w:p>
      <w:pPr>
        <w:spacing w:after="0" w:line="162" w:lineRule="exact"/>
        <w:rPr>
          <w:sz w:val="20"/>
          <w:szCs w:val="20"/>
          <w:color w:val="auto"/>
        </w:rPr>
      </w:pPr>
    </w:p>
    <w:p>
      <w:pPr>
        <w:ind w:left="60" w:right="259" w:firstLine="648"/>
        <w:spacing w:after="0" w:line="312" w:lineRule="auto"/>
        <w:rPr>
          <w:sz w:val="20"/>
          <w:szCs w:val="20"/>
          <w:color w:val="auto"/>
        </w:rPr>
      </w:pPr>
      <w:r>
        <w:rPr>
          <w:rFonts w:ascii="Times New Roman" w:cs="Times New Roman" w:eastAsia="Times New Roman" w:hAnsi="Times New Roman"/>
          <w:sz w:val="17"/>
          <w:szCs w:val="17"/>
          <w:color w:val="auto"/>
        </w:rPr>
        <w:t>The Company experienced adverse prior year development of $1.5 million during the nine months ended September 30, 2022 and favorable prior year development of $2.9 million in the nine months ended September 30, 2021.</w:t>
      </w:r>
    </w:p>
    <w:p>
      <w:pPr>
        <w:spacing w:after="0" w:line="140"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Adverse prior year development during the nine months ended September 30, 2022 was primarily due to higher than anticipated severity of attritional and catastrophe losses. Favorable prior year development during the nine months ended September 30, 2021 was primarily due to lower than anticipated severity of catastrophe losses associated with certain hurricanes which occurred during the second half of 2020 in the Company’s Commercial All Risk and Specialty Homeowners line of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Common stock reserved for future issuance consists of the following as of September 30, 2022:</w:t>
      </w:r>
    </w:p>
    <w:p>
      <w:pPr>
        <w:sectPr>
          <w:pgSz w:w="11900" w:h="16838" w:orient="portrait"/>
          <w:cols w:equalWidth="0" w:num="1">
            <w:col w:w="9019"/>
          </w:cols>
          <w:pgMar w:left="1440" w:top="1265" w:right="1440" w:bottom="1440" w:gutter="0" w:footer="0" w:header="0"/>
        </w:sect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options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-119380</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Restricted stock units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Performance stock units outstanding under 2019 Equity Incentive Plan, at target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 authorized for future issuance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Shares authorized for future issuance under 2019 Employee Stock Purchase Plan</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890,672</w:t>
      </w:r>
    </w:p>
    <w:p>
      <w:pPr>
        <w:spacing w:after="0" w:line="2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283,470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383,103</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2,595,486</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907,850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5715</wp:posOffset>
            </wp:positionV>
            <wp:extent cx="1491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5,060,581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-996315</wp:posOffset>
            </wp:positionH>
            <wp:positionV relativeFrom="paragraph">
              <wp:posOffset>14605</wp:posOffset>
            </wp:positionV>
            <wp:extent cx="14916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91615" cy="8255"/>
                    </a:xfrm>
                    <a:prstGeom prst="rect">
                      <a:avLst/>
                    </a:prstGeom>
                    <a:noFill/>
                  </pic:spPr>
                </pic:pic>
              </a:graphicData>
            </a:graphic>
          </wp:anchor>
        </w:drawing>
        <w:drawing>
          <wp:anchor simplePos="0" relativeHeight="251657728" behindDoc="1" locked="0" layoutInCell="0" allowOverlap="1">
            <wp:simplePos x="0" y="0"/>
            <wp:positionH relativeFrom="column">
              <wp:posOffset>-996315</wp:posOffset>
            </wp:positionH>
            <wp:positionV relativeFrom="paragraph">
              <wp:posOffset>31750</wp:posOffset>
            </wp:positionV>
            <wp:extent cx="14916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460" w:space="720"/>
            <w:col w:w="839"/>
          </w:cols>
          <w:pgMar w:left="1440" w:top="1265" w:right="1440" w:bottom="1440" w:gutter="0" w:footer="0" w:header="0"/>
          <w:type w:val="continuous"/>
        </w:sect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2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below table summarizes the Company’s stock-based compensation expense for each period presented: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3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3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29"/>
        </w:trPr>
        <w:tc>
          <w:tcPr>
            <w:tcW w:w="4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1"/>
                <w:szCs w:val="1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r>
    </w:tbl>
    <w:p>
      <w:pPr>
        <w:spacing w:after="0" w:line="19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22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spacing w:after="0" w:line="180"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Recipients of stock options can purchase shares of the Company’s common stock at a price equal to the stock's fair market value on the grant date, determined by the closing price of the Company's common stock on the grant date. Stock options vest over a two to four-year period with a portion vesting on the first anniversary of the grant date and the remainder vesting monthly over the remaining period, subject to continued service. Stock options expire ten years after the grant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nine months ended September 30, 2022:</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term</w:t>
            </w:r>
          </w:p>
        </w:tc>
        <w:tc>
          <w:tcPr>
            <w:tcW w:w="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Number of shares</w:t>
            </w:r>
          </w:p>
        </w:tc>
        <w:tc>
          <w:tcPr>
            <w:tcW w:w="10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933,051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36,679</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(141,806)</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canceled</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(21,551)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45,813</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2022</w:t>
            </w:r>
          </w:p>
        </w:tc>
        <w:tc>
          <w:tcPr>
            <w:tcW w:w="14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440" w:type="dxa"/>
            <w:vAlign w:val="bottom"/>
            <w:vMerge w:val="continue"/>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626,853</w:t>
            </w:r>
          </w:p>
        </w:tc>
        <w:tc>
          <w:tcPr>
            <w:tcW w:w="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60" w:type="dxa"/>
            <w:vAlign w:val="bottom"/>
            <w:vMerge w:val="continue"/>
          </w:tcPr>
          <w:p>
            <w:pPr>
              <w:spacing w:after="0"/>
              <w:rPr>
                <w:sz w:val="18"/>
                <w:szCs w:val="18"/>
                <w:color w:val="auto"/>
              </w:rPr>
            </w:pPr>
          </w:p>
        </w:tc>
        <w:tc>
          <w:tcPr>
            <w:tcW w:w="13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As of September 30, 2022, the Company had approximately $4.1 million of total unrecognized stock-based compensation expense related to stock options expected to be recognized over a weighted-average period of 1.69 years.</w:t>
      </w:r>
    </w:p>
    <w:p>
      <w:pPr>
        <w:spacing w:after="0" w:line="140"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granted during the nine months ended September 30, 2022 was estimated on the grant date using the Black-Scholes option pricing model with the following assumptions: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 of return (1)</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- 4.02%</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 (2)</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 - 42.56%</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 (3)</w:t>
            </w:r>
          </w:p>
        </w:tc>
        <w:tc>
          <w:tcPr>
            <w:tcW w:w="3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 years</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(4)</w:t>
            </w:r>
          </w:p>
        </w:tc>
        <w:tc>
          <w:tcPr>
            <w:tcW w:w="3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60" w:right="119" w:hanging="10"/>
        <w:spacing w:after="0" w:line="261"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based on the U.S. Treasury yield in effect at the time of the grant for zero-coupon U.S. Treasury notes with remaining terms similar to the expected term of the options.</w:t>
      </w:r>
    </w:p>
    <w:p>
      <w:pPr>
        <w:ind w:left="60" w:right="199" w:hanging="10"/>
        <w:spacing w:after="0" w:line="250"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based on a blend of the Company’s historic stock price volatility and the historic volatility of a peer group of publicly traded companies.</w:t>
      </w:r>
    </w:p>
    <w:p>
      <w:pPr>
        <w:ind w:left="60" w:right="79" w:hanging="10"/>
        <w:spacing w:after="0" w:line="250"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using the “simplified method” for estimating the expected option life, which is the average of the weighted-average vesting period and contractual term of the option as the Company does not have sufficient historical exercise data to provide a reasonable basis upon which to estimate expected term due to the limited period of time its common stock has been publicly traded.</w:t>
      </w:r>
    </w:p>
    <w:p>
      <w:pPr>
        <w:spacing w:after="0" w:line="1" w:lineRule="exact"/>
        <w:rPr>
          <w:rFonts w:ascii="Times New Roman" w:cs="Times New Roman" w:eastAsia="Times New Roman" w:hAnsi="Times New Roman"/>
          <w:sz w:val="18"/>
          <w:szCs w:val="18"/>
          <w:color w:val="auto"/>
        </w:rPr>
      </w:pPr>
    </w:p>
    <w:p>
      <w:pPr>
        <w:ind w:left="300" w:hanging="250"/>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to be zero as the Company has not historically issued dividends.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RSUs are valued using the closing price of the Company’s common stock on their grant date. The Company has issued RSUs with vesting periods of one to five years. All vesting is subject to continued service.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RSU transactions for the nine months ended September 30, 2022:</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0"/>
                <w:szCs w:val="2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Weighted-average grant date fair value</w:t>
            </w: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235,696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51.51</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Released</w:t>
            </w:r>
          </w:p>
        </w:tc>
        <w:tc>
          <w:tcPr>
            <w:tcW w:w="2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(43,959)</w:t>
            </w:r>
          </w:p>
        </w:tc>
        <w:tc>
          <w:tcPr>
            <w:tcW w:w="100" w:type="dxa"/>
            <w:vAlign w:val="bottom"/>
            <w:shd w:val="clear" w:color="auto" w:fill="CCEEFF"/>
          </w:tcPr>
          <w:p>
            <w:pPr>
              <w:spacing w:after="0"/>
              <w:rPr>
                <w:sz w:val="18"/>
                <w:szCs w:val="18"/>
                <w:color w:val="auto"/>
              </w:rPr>
            </w:pP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(5,929)</w:t>
            </w:r>
          </w:p>
        </w:tc>
        <w:tc>
          <w:tcPr>
            <w:tcW w:w="10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r>
      <w:tr>
        <w:trPr>
          <w:trHeight w:val="210"/>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vested outstanding at September 30, 2022</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r>
      <w:tr>
        <w:trPr>
          <w:trHeight w:val="20"/>
        </w:trPr>
        <w:tc>
          <w:tcPr>
            <w:tcW w:w="35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19" w:firstLine="648"/>
        <w:spacing w:after="0" w:line="312" w:lineRule="auto"/>
        <w:rPr>
          <w:sz w:val="20"/>
          <w:szCs w:val="20"/>
          <w:color w:val="auto"/>
        </w:rPr>
      </w:pPr>
      <w:r>
        <w:rPr>
          <w:rFonts w:ascii="Times New Roman" w:cs="Times New Roman" w:eastAsia="Times New Roman" w:hAnsi="Times New Roman"/>
          <w:sz w:val="17"/>
          <w:szCs w:val="17"/>
          <w:color w:val="auto"/>
        </w:rPr>
        <w:t>As of September 30, 2022, the Company had approximately $16.8 million of total unrecognized stock-based compensation expense related to RSUs expected to be recognized over a weighted-average period of 3.17 years.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issues PSUs with a combination of service, performance, and market conditions.</w:t>
      </w:r>
    </w:p>
    <w:p>
      <w:pPr>
        <w:spacing w:after="0" w:line="225"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majority of PSUs were issued via grants made to certain executives during 2021.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September 30, 2022, none of the stock price milestones have been achieved.</w:t>
      </w:r>
    </w:p>
    <w:p>
      <w:pPr>
        <w:spacing w:after="0" w:line="18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The PSU’s performance period is the fiscal year of the grant. At the end of the performance period, the actual results are measured against the predetermined targets to determine the number of PSUs to be earned as compensation. The earned PSUs are then subject to a required service period of approximately three years from the grant date before vesting and being issued as common stock.</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PSU transactions for the nine months ended September 30, 2022:</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580" w:type="dxa"/>
            <w:vAlign w:val="bottom"/>
            <w:tcBorders>
              <w:bottom w:val="single" w:sz="8" w:color="CCEEFF"/>
            </w:tcBorders>
          </w:tcPr>
          <w:p>
            <w:pPr>
              <w:spacing w:after="0"/>
              <w:rPr>
                <w:sz w:val="19"/>
                <w:szCs w:val="19"/>
                <w:color w:val="auto"/>
              </w:rPr>
            </w:pPr>
          </w:p>
        </w:tc>
        <w:tc>
          <w:tcPr>
            <w:tcW w:w="20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Weighted-average grant date fair value</w:t>
            </w: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w:t>
            </w:r>
          </w:p>
        </w:tc>
      </w:tr>
      <w:tr>
        <w:trPr>
          <w:trHeight w:val="210"/>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 vested outstanding at September 30, 2022</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0"/>
        </w:trPr>
        <w:tc>
          <w:tcPr>
            <w:tcW w:w="358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59" w:firstLine="648"/>
        <w:spacing w:after="0" w:line="256" w:lineRule="auto"/>
        <w:rPr>
          <w:sz w:val="20"/>
          <w:szCs w:val="20"/>
          <w:color w:val="auto"/>
        </w:rPr>
      </w:pPr>
      <w:r>
        <w:rPr>
          <w:rFonts w:ascii="Times New Roman" w:cs="Times New Roman" w:eastAsia="Times New Roman" w:hAnsi="Times New Roman"/>
          <w:sz w:val="18"/>
          <w:szCs w:val="18"/>
          <w:color w:val="auto"/>
        </w:rPr>
        <w:t>The PSU grants above represent the number of shares that would vest based on achievement of all stock price milestones in the 2021 executive stock grants and the 100% achievement of the predetermined performance and market conditions for the other PSU grants. The actual number of PSUs which will vest is subject to adjustment based on the Company’s actual stock price performance and financial performance relative to the predetermined targets. As of September 30, 2022, the Company had approximately $11.3 million of total unrecognized stock-based compensation expense related to PSUs expected to be recognized over a weighted-average period of 3.79 years.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2019 Employee Stock Purchase Plan</w:t>
      </w:r>
    </w:p>
    <w:p>
      <w:pPr>
        <w:spacing w:after="0" w:line="22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April 16, 2019, the Company's 2019 Employee Stock Purchase Plan “the “2019 ESPP”) became effective. A total of 240,000 shares of common stock are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spacing w:after="0" w:line="183"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13,990 shares pursuant to the ESPP during the nine months ended September 30, 2022.</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Company’s Board of Directors authorized a $40 million share repurchase program and the Company repurchased $15.9 million of shares under this program in 2021. Subsequent to December 31, 2021, the Board of Directors approved a new share repurchase program, replacing the existing program and authorizing the repurchase by the Company of up to $100 million of its outstanding shares of common stock over the period ending on March 31,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7" w:right="1440" w:bottom="1440" w:gutter="0" w:footer="0" w:header="0"/>
        </w:sectPr>
      </w:pPr>
    </w:p>
    <w:bookmarkStart w:id="16" w:name="page17"/>
    <w:bookmarkEnd w:id="16"/>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purchased 399,198 shares for $23.3 million during the nine months ended September 30, 2022. The Company accounts for share repurchases by charging the excess of repurchase price over the common stock’s par value entirely to retained earnings. All repurchased shares are retired and become authorized but unissued shares.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(“AOCI”)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5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5"/>
          </w:tcPr>
          <w:p>
            <w:pPr>
              <w:jc w:val="right"/>
              <w:ind w:right="5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r>
      <w:tr>
        <w:trPr>
          <w:trHeight w:val="216"/>
        </w:trPr>
        <w:tc>
          <w:tcPr>
            <w:tcW w:w="5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r>
      <w:tr>
        <w:trPr>
          <w:trHeight w:val="216"/>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r>
      <w:tr>
        <w:trPr>
          <w:trHeight w:val="20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 net of tax</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r>
      <w:tr>
        <w:trPr>
          <w:trHeight w:val="216"/>
        </w:trPr>
        <w:tc>
          <w:tcPr>
            <w:tcW w:w="5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5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AOCI, net of tax</w:t>
            </w:r>
          </w:p>
        </w:tc>
        <w:tc>
          <w:tcPr>
            <w:tcW w:w="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09"/>
        </w:trPr>
        <w:tc>
          <w:tcPr>
            <w:tcW w:w="59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760" w:type="dxa"/>
            <w:vAlign w:val="bottom"/>
          </w:tcPr>
          <w:p>
            <w:pPr>
              <w:spacing w:after="0"/>
              <w:rPr>
                <w:sz w:val="18"/>
                <w:szCs w:val="18"/>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r>
      <w:tr>
        <w:trPr>
          <w:trHeight w:val="20"/>
        </w:trPr>
        <w:tc>
          <w:tcPr>
            <w:tcW w:w="5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Underwriting Information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has a single reportable segment and offers primarily property and casualty insurance products. The Company also writes premiums under fronting agreements where it cedes the majority of the premium and risk in exchange for a fronting fee. Gross written premiums (“GWP”) by product are presented below:</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center"/>
              <w:ind w:left="21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tcBorders>
              <w:bottom w:val="single" w:sz="8" w:color="auto"/>
            </w:tcBorders>
            <w:gridSpan w:val="10"/>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Borders>
              <w:bottom w:val="single" w:sz="8" w:color="auto"/>
            </w:tcBorders>
            <w:gridSpan w:val="2"/>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tcPr>
          <w:p>
            <w:pPr>
              <w:jc w:val="center"/>
              <w:ind w:right="500"/>
              <w:spacing w:after="0" w:line="104" w:lineRule="exact"/>
              <w:rPr>
                <w:sz w:val="20"/>
                <w:szCs w:val="20"/>
                <w:color w:val="auto"/>
              </w:rPr>
            </w:pPr>
            <w:r>
              <w:rPr>
                <w:rFonts w:ascii="Times New Roman" w:cs="Times New Roman" w:eastAsia="Times New Roman" w:hAnsi="Times New Roman"/>
                <w:sz w:val="12"/>
                <w:szCs w:val="12"/>
                <w:b w:val="1"/>
                <w:bCs w:val="1"/>
                <w:color w:val="auto"/>
              </w:rPr>
              <w:t>($ in thousands)</w:t>
            </w:r>
          </w:p>
        </w:tc>
        <w:tc>
          <w:tcPr>
            <w:tcW w:w="8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of</w:t>
            </w: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tcPr>
          <w:p>
            <w:pPr>
              <w:jc w:val="right"/>
              <w:ind w:right="620"/>
              <w:spacing w:after="0" w:line="104" w:lineRule="exact"/>
              <w:rPr>
                <w:sz w:val="20"/>
                <w:szCs w:val="20"/>
                <w:color w:val="auto"/>
              </w:rPr>
            </w:pPr>
            <w:r>
              <w:rPr>
                <w:rFonts w:ascii="Times New Roman" w:cs="Times New Roman" w:eastAsia="Times New Roman" w:hAnsi="Times New Roman"/>
                <w:sz w:val="12"/>
                <w:szCs w:val="12"/>
                <w:b w:val="1"/>
                <w:bCs w:val="1"/>
                <w:color w:val="auto"/>
              </w:rPr>
              <w:t>($ in thousands)</w:t>
            </w:r>
          </w:p>
        </w:tc>
        <w:tc>
          <w:tcPr>
            <w:tcW w:w="6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vMerge w:val="continue"/>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GWP</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GWP</w:t>
            </w:r>
          </w:p>
        </w:tc>
        <w:tc>
          <w:tcPr>
            <w:tcW w:w="960" w:type="dxa"/>
            <w:vAlign w:val="bottom"/>
            <w:gridSpan w:val="2"/>
            <w:vMerge w:val="continue"/>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GWP</w:t>
            </w: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GWP</w:t>
            </w:r>
          </w:p>
        </w:tc>
        <w:tc>
          <w:tcPr>
            <w:tcW w:w="0" w:type="dxa"/>
            <w:vAlign w:val="bottom"/>
          </w:tcPr>
          <w:p>
            <w:pPr>
              <w:spacing w:after="0"/>
              <w:rPr>
                <w:sz w:val="1"/>
                <w:szCs w:val="1"/>
                <w:color w:val="auto"/>
              </w:rPr>
            </w:pPr>
          </w:p>
        </w:tc>
      </w:tr>
      <w:tr>
        <w:trPr>
          <w:trHeight w:val="210"/>
        </w:trPr>
        <w:tc>
          <w:tcPr>
            <w:tcW w:w="2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Fronting Premiums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82,232</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$ 154,232</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Earthquake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128,165</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Earthquake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32,647</w:t>
            </w:r>
          </w:p>
        </w:tc>
        <w:tc>
          <w:tcPr>
            <w:tcW w:w="1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27,433</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90,894</w:t>
            </w:r>
          </w:p>
        </w:tc>
        <w:tc>
          <w:tcPr>
            <w:tcW w:w="1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66,052</w:t>
            </w:r>
          </w:p>
        </w:tc>
        <w:tc>
          <w:tcPr>
            <w:tcW w:w="20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Inland Marine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39,047</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Casualty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Hawaii Hurricane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22,921</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All Risk</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41,647</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30,032</w:t>
            </w: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Flood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Specialty Homeowners</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19,881</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53,018</w:t>
            </w:r>
          </w:p>
        </w:tc>
        <w:tc>
          <w:tcPr>
            <w:tcW w:w="20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2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vMerge w:val="restart"/>
          </w:tcPr>
          <w:p>
            <w:pPr>
              <w:ind w:left="200"/>
              <w:spacing w:after="0" w:line="198" w:lineRule="exact"/>
              <w:rPr>
                <w:sz w:val="20"/>
                <w:szCs w:val="20"/>
                <w:color w:val="auto"/>
              </w:rPr>
            </w:pPr>
            <w:r>
              <w:rPr>
                <w:rFonts w:ascii="Times New Roman" w:cs="Times New Roman" w:eastAsia="Times New Roman" w:hAnsi="Times New Roman"/>
                <w:sz w:val="18"/>
                <w:szCs w:val="18"/>
                <w:color w:val="auto"/>
              </w:rPr>
              <w:t>Total Gross Written</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253,128</w:t>
            </w:r>
          </w:p>
        </w:tc>
        <w:tc>
          <w:tcPr>
            <w:tcW w:w="180" w:type="dxa"/>
            <w:vAlign w:val="bottom"/>
          </w:tcPr>
          <w:p>
            <w:pPr>
              <w:spacing w:after="0"/>
              <w:rPr>
                <w:sz w:val="15"/>
                <w:szCs w:val="15"/>
                <w:color w:val="auto"/>
              </w:rPr>
            </w:pP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100.0 % $ 152,332</w:t>
            </w:r>
          </w:p>
        </w:tc>
        <w:tc>
          <w:tcPr>
            <w:tcW w:w="18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w w:val="99"/>
              </w:rPr>
              <w:t>100.</w:t>
            </w:r>
            <w:r>
              <w:rPr>
                <w:rFonts w:ascii="Times New Roman" w:cs="Times New Roman" w:eastAsia="Times New Roman" w:hAnsi="Times New Roman"/>
                <w:sz w:val="18"/>
                <w:szCs w:val="18"/>
                <w:u w:val="single" w:color="auto"/>
                <w:color w:val="auto"/>
                <w:w w:val="99"/>
              </w:rPr>
              <w:t>0</w:t>
            </w:r>
            <w:r>
              <w:rPr>
                <w:rFonts w:ascii="Times New Roman" w:cs="Times New Roman" w:eastAsia="Times New Roman" w:hAnsi="Times New Roman"/>
                <w:sz w:val="18"/>
                <w:szCs w:val="18"/>
                <w:color w:val="auto"/>
                <w:w w:val="99"/>
              </w:rPr>
              <w:t xml:space="preserve">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$ 642,751</w:t>
            </w:r>
          </w:p>
        </w:tc>
        <w:tc>
          <w:tcPr>
            <w:tcW w:w="180" w:type="dxa"/>
            <w:vAlign w:val="bottom"/>
          </w:tcPr>
          <w:p>
            <w:pPr>
              <w:spacing w:after="0"/>
              <w:rPr>
                <w:sz w:val="15"/>
                <w:szCs w:val="15"/>
                <w:color w:val="auto"/>
              </w:rPr>
            </w:pPr>
          </w:p>
        </w:tc>
        <w:tc>
          <w:tcPr>
            <w:tcW w:w="1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100.0 % $ 385,267</w:t>
            </w:r>
          </w:p>
        </w:tc>
        <w:tc>
          <w:tcPr>
            <w:tcW w:w="200" w:type="dxa"/>
            <w:vAlign w:val="bottom"/>
          </w:tcPr>
          <w:p>
            <w:pPr>
              <w:spacing w:after="0"/>
              <w:rPr>
                <w:sz w:val="15"/>
                <w:szCs w:val="15"/>
                <w:color w:val="auto"/>
              </w:rPr>
            </w:pP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99"/>
              </w:rPr>
              <w:t>100.</w:t>
            </w:r>
            <w:r>
              <w:rPr>
                <w:rFonts w:ascii="Times New Roman" w:cs="Times New Roman" w:eastAsia="Times New Roman" w:hAnsi="Times New Roman"/>
                <w:sz w:val="18"/>
                <w:szCs w:val="18"/>
                <w:u w:val="single" w:color="auto"/>
                <w:color w:val="auto"/>
                <w:w w:val="99"/>
              </w:rPr>
              <w:t>0</w:t>
            </w:r>
            <w:r>
              <w:rPr>
                <w:rFonts w:ascii="Times New Roman" w:cs="Times New Roman" w:eastAsia="Times New Roman" w:hAnsi="Times New Roman"/>
                <w:sz w:val="18"/>
                <w:szCs w:val="18"/>
                <w:color w:val="auto"/>
                <w:w w:val="99"/>
              </w:rPr>
              <w:t xml:space="preserve">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Premiums</w:t>
            </w: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4"/>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9" w:right="1440" w:bottom="1440" w:gutter="0" w:footer="0" w:header="0"/>
        </w:sectPr>
      </w:pPr>
    </w:p>
    <w:bookmarkStart w:id="17" w:name="page18"/>
    <w:bookmarkEnd w:id="17"/>
    <w:p>
      <w:pPr>
        <w:ind w:left="700"/>
        <w:spacing w:after="0"/>
        <w:rPr>
          <w:sz w:val="20"/>
          <w:szCs w:val="20"/>
          <w:color w:val="auto"/>
        </w:rPr>
      </w:pPr>
      <w:r>
        <w:rPr>
          <w:rFonts w:ascii="Times New Roman" w:cs="Times New Roman" w:eastAsia="Times New Roman" w:hAnsi="Times New Roman"/>
          <w:sz w:val="18"/>
          <w:szCs w:val="18"/>
          <w:color w:val="auto"/>
        </w:rPr>
        <w:t>Gross written premiums by state are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tcBorders>
              <w:bottom w:val="single" w:sz="8" w:color="auto"/>
            </w:tcBorders>
            <w:gridSpan w:val="6"/>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bottom w:val="single" w:sz="8" w:color="auto"/>
            </w:tcBorders>
            <w:gridSpan w:val="2"/>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gridSpan w:val="4"/>
          </w:tcPr>
          <w:p>
            <w:pPr>
              <w:jc w:val="center"/>
              <w:ind w:right="520"/>
              <w:spacing w:after="0" w:line="104" w:lineRule="exact"/>
              <w:rPr>
                <w:sz w:val="20"/>
                <w:szCs w:val="20"/>
                <w:color w:val="auto"/>
              </w:rPr>
            </w:pPr>
            <w:r>
              <w:rPr>
                <w:rFonts w:ascii="Times New Roman" w:cs="Times New Roman" w:eastAsia="Times New Roman" w:hAnsi="Times New Roman"/>
                <w:sz w:val="12"/>
                <w:szCs w:val="12"/>
                <w:b w:val="1"/>
                <w:bCs w:val="1"/>
                <w:color w:val="auto"/>
              </w:rPr>
              <w:t>($ in thousands)</w:t>
            </w: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4"/>
          </w:tcPr>
          <w:p>
            <w:pPr>
              <w:jc w:val="right"/>
              <w:ind w:right="620"/>
              <w:spacing w:after="0" w:line="104" w:lineRule="exact"/>
              <w:rPr>
                <w:sz w:val="20"/>
                <w:szCs w:val="20"/>
                <w:color w:val="auto"/>
              </w:rPr>
            </w:pPr>
            <w:r>
              <w:rPr>
                <w:rFonts w:ascii="Times New Roman" w:cs="Times New Roman" w:eastAsia="Times New Roman" w:hAnsi="Times New Roman"/>
                <w:sz w:val="12"/>
                <w:szCs w:val="12"/>
                <w:b w:val="1"/>
                <w:bCs w:val="1"/>
                <w:color w:val="auto"/>
              </w:rPr>
              <w:t>($ in thousands)</w:t>
            </w:r>
          </w:p>
        </w:tc>
        <w:tc>
          <w:tcPr>
            <w:tcW w:w="6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GWP</w:t>
            </w:r>
          </w:p>
        </w:tc>
        <w:tc>
          <w:tcPr>
            <w:tcW w:w="960" w:type="dxa"/>
            <w:vAlign w:val="bottom"/>
            <w:gridSpan w:val="2"/>
            <w:vMerge w:val="continue"/>
          </w:tcPr>
          <w:p>
            <w:pPr>
              <w:spacing w:after="0"/>
              <w:rPr>
                <w:sz w:val="15"/>
                <w:szCs w:val="15"/>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GWP</w:t>
            </w: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GWP</w:t>
            </w:r>
          </w:p>
        </w:tc>
        <w:tc>
          <w:tcPr>
            <w:tcW w:w="960" w:type="dxa"/>
            <w:vAlign w:val="bottom"/>
            <w:gridSpan w:val="2"/>
            <w:vMerge w:val="continue"/>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GWP</w:t>
            </w:r>
          </w:p>
        </w:tc>
        <w:tc>
          <w:tcPr>
            <w:tcW w:w="0" w:type="dxa"/>
            <w:vAlign w:val="bottom"/>
          </w:tcPr>
          <w:p>
            <w:pPr>
              <w:spacing w:after="0"/>
              <w:rPr>
                <w:sz w:val="1"/>
                <w:szCs w:val="1"/>
                <w:color w:val="auto"/>
              </w:rPr>
            </w:pPr>
          </w:p>
        </w:tc>
      </w:tr>
      <w:tr>
        <w:trPr>
          <w:trHeight w:val="210"/>
        </w:trPr>
        <w:tc>
          <w:tcPr>
            <w:tcW w:w="1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California</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$ 131,016</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72,505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$ 292,865</w:t>
            </w:r>
          </w:p>
        </w:tc>
        <w:tc>
          <w:tcPr>
            <w:tcW w:w="1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45.6 % $ 180,142</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46.8 %</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Texas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Washington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29,391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10,998</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Oregon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Florida</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Illinois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13,153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York</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48,182</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154,014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70,155</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0"/>
        </w:trPr>
        <w:tc>
          <w:tcPr>
            <w:tcW w:w="1860" w:type="dxa"/>
            <w:vAlign w:val="bottom"/>
            <w:vMerge w:val="restart"/>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Total Gross Written</w:t>
            </w: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860" w:type="dxa"/>
            <w:vAlign w:val="bottom"/>
            <w:vMerge w:val="continue"/>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$ 253,128</w:t>
            </w:r>
          </w:p>
        </w:tc>
        <w:tc>
          <w:tcPr>
            <w:tcW w:w="200" w:type="dxa"/>
            <w:vAlign w:val="bottom"/>
            <w:shd w:val="clear" w:color="auto" w:fill="CCEEFF"/>
          </w:tcPr>
          <w:p>
            <w:pPr>
              <w:spacing w:after="0"/>
              <w:rPr>
                <w:sz w:val="15"/>
                <w:szCs w:val="15"/>
                <w:color w:val="auto"/>
              </w:rPr>
            </w:pPr>
          </w:p>
        </w:tc>
        <w:tc>
          <w:tcPr>
            <w:tcW w:w="15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 $ 152,332</w:t>
            </w:r>
          </w:p>
        </w:tc>
        <w:tc>
          <w:tcPr>
            <w:tcW w:w="18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w:t>
            </w:r>
            <w:r>
              <w:rPr>
                <w:rFonts w:ascii="Times New Roman" w:cs="Times New Roman" w:eastAsia="Times New Roman" w:hAnsi="Times New Roman"/>
                <w:sz w:val="18"/>
                <w:szCs w:val="18"/>
                <w:u w:val="single" w:color="auto"/>
                <w:color w:val="auto"/>
                <w:w w:val="99"/>
              </w:rPr>
              <w:t>0</w:t>
            </w:r>
            <w:r>
              <w:rPr>
                <w:rFonts w:ascii="Times New Roman" w:cs="Times New Roman" w:eastAsia="Times New Roman" w:hAnsi="Times New Roman"/>
                <w:sz w:val="18"/>
                <w:szCs w:val="18"/>
                <w:color w:val="auto"/>
                <w:w w:val="99"/>
              </w:rPr>
              <w:t xml:space="preserve"> %</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$ 642,751</w:t>
            </w:r>
          </w:p>
        </w:tc>
        <w:tc>
          <w:tcPr>
            <w:tcW w:w="180" w:type="dxa"/>
            <w:vAlign w:val="bottom"/>
            <w:shd w:val="clear" w:color="auto" w:fill="CCEEFF"/>
          </w:tcPr>
          <w:p>
            <w:pPr>
              <w:spacing w:after="0"/>
              <w:rPr>
                <w:sz w:val="15"/>
                <w:szCs w:val="15"/>
                <w:color w:val="auto"/>
              </w:rPr>
            </w:pPr>
          </w:p>
        </w:tc>
        <w:tc>
          <w:tcPr>
            <w:tcW w:w="15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r>
              <w:rPr>
                <w:rFonts w:ascii="Times New Roman" w:cs="Times New Roman" w:eastAsia="Times New Roman" w:hAnsi="Times New Roman"/>
                <w:sz w:val="18"/>
                <w:szCs w:val="18"/>
                <w:color w:val="auto"/>
              </w:rPr>
              <w:t xml:space="preserve"> % $ 385,267</w:t>
            </w:r>
          </w:p>
        </w:tc>
        <w:tc>
          <w:tcPr>
            <w:tcW w:w="18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100.</w:t>
            </w:r>
            <w:r>
              <w:rPr>
                <w:rFonts w:ascii="Times New Roman" w:cs="Times New Roman" w:eastAsia="Times New Roman" w:hAnsi="Times New Roman"/>
                <w:sz w:val="18"/>
                <w:szCs w:val="18"/>
                <w:u w:val="single" w:color="auto"/>
                <w:color w:val="auto"/>
                <w:w w:val="99"/>
              </w:rPr>
              <w:t>0</w:t>
            </w:r>
            <w:r>
              <w:rPr>
                <w:rFonts w:ascii="Times New Roman" w:cs="Times New Roman" w:eastAsia="Times New Roman" w:hAnsi="Times New Roman"/>
                <w:sz w:val="18"/>
                <w:szCs w:val="18"/>
                <w:color w:val="auto"/>
                <w:w w:val="99"/>
              </w:rPr>
              <w:t xml:space="preserve"> %</w:t>
            </w:r>
          </w:p>
        </w:tc>
        <w:tc>
          <w:tcPr>
            <w:tcW w:w="0" w:type="dxa"/>
            <w:vAlign w:val="bottom"/>
          </w:tcPr>
          <w:p>
            <w:pPr>
              <w:spacing w:after="0"/>
              <w:rPr>
                <w:sz w:val="1"/>
                <w:szCs w:val="1"/>
                <w:color w:val="auto"/>
              </w:rPr>
            </w:pPr>
          </w:p>
        </w:tc>
      </w:tr>
      <w:tr>
        <w:trPr>
          <w:trHeight w:val="221"/>
        </w:trPr>
        <w:tc>
          <w:tcPr>
            <w:tcW w:w="1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Premiums</w:t>
            </w:r>
          </w:p>
        </w:tc>
        <w:tc>
          <w:tcPr>
            <w:tcW w:w="10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Gross written premiums by insurance subsidiary are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332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60" w:type="dxa"/>
            <w:vAlign w:val="bottom"/>
            <w:gridSpan w:val="4"/>
          </w:tcPr>
          <w:p>
            <w:pPr>
              <w:jc w:val="center"/>
              <w:ind w:right="440"/>
              <w:spacing w:after="0" w:line="104" w:lineRule="exact"/>
              <w:rPr>
                <w:sz w:val="20"/>
                <w:szCs w:val="20"/>
                <w:color w:val="auto"/>
              </w:rPr>
            </w:pPr>
            <w:r>
              <w:rPr>
                <w:rFonts w:ascii="Times New Roman" w:cs="Times New Roman" w:eastAsia="Times New Roman" w:hAnsi="Times New Roman"/>
                <w:sz w:val="12"/>
                <w:szCs w:val="12"/>
                <w:b w:val="1"/>
                <w:bCs w:val="1"/>
                <w:color w:val="auto"/>
              </w:rPr>
              <w:t>($ in thousands)</w:t>
            </w:r>
          </w:p>
        </w:tc>
        <w:tc>
          <w:tcPr>
            <w:tcW w:w="7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gridSpan w:val="4"/>
          </w:tcPr>
          <w:p>
            <w:pPr>
              <w:ind w:left="100"/>
              <w:spacing w:after="0" w:line="104" w:lineRule="exact"/>
              <w:rPr>
                <w:sz w:val="20"/>
                <w:szCs w:val="20"/>
                <w:color w:val="auto"/>
              </w:rPr>
            </w:pPr>
            <w:r>
              <w:rPr>
                <w:rFonts w:ascii="Times New Roman" w:cs="Times New Roman" w:eastAsia="Times New Roman" w:hAnsi="Times New Roman"/>
                <w:sz w:val="12"/>
                <w:szCs w:val="12"/>
                <w:b w:val="1"/>
                <w:bCs w:val="1"/>
                <w:color w:val="auto"/>
              </w:rPr>
              <w:t>($ in thousands)</w:t>
            </w:r>
          </w:p>
        </w:tc>
        <w:tc>
          <w:tcPr>
            <w:tcW w:w="6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GWP</w:t>
            </w:r>
          </w:p>
        </w:tc>
        <w:tc>
          <w:tcPr>
            <w:tcW w:w="900" w:type="dxa"/>
            <w:vAlign w:val="bottom"/>
            <w:gridSpan w:val="2"/>
            <w:vMerge w:val="continue"/>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GWP</w:t>
            </w:r>
          </w:p>
        </w:tc>
        <w:tc>
          <w:tcPr>
            <w:tcW w:w="920" w:type="dxa"/>
            <w:vAlign w:val="bottom"/>
            <w:gridSpan w:val="2"/>
            <w:vMerge w:val="continue"/>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GWP</w:t>
            </w:r>
          </w:p>
        </w:tc>
        <w:tc>
          <w:tcPr>
            <w:tcW w:w="880" w:type="dxa"/>
            <w:vAlign w:val="bottom"/>
            <w:gridSpan w:val="2"/>
            <w:vMerge w:val="continue"/>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GWP</w:t>
            </w:r>
          </w:p>
        </w:tc>
        <w:tc>
          <w:tcPr>
            <w:tcW w:w="0" w:type="dxa"/>
            <w:vAlign w:val="bottom"/>
          </w:tcPr>
          <w:p>
            <w:pPr>
              <w:spacing w:after="0"/>
              <w:rPr>
                <w:sz w:val="1"/>
                <w:szCs w:val="1"/>
                <w:color w:val="auto"/>
              </w:rPr>
            </w:pPr>
          </w:p>
        </w:tc>
      </w:tr>
      <w:tr>
        <w:trPr>
          <w:trHeight w:val="196"/>
        </w:trPr>
        <w:tc>
          <w:tcPr>
            <w:tcW w:w="23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PSIC</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$ 136,814</w:t>
            </w:r>
          </w:p>
        </w:tc>
        <w:tc>
          <w:tcPr>
            <w:tcW w:w="1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54.0 % $ 110,875</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72.8 %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$ 357,156</w:t>
            </w:r>
          </w:p>
        </w:tc>
        <w:tc>
          <w:tcPr>
            <w:tcW w:w="1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55.6 % $ 285,991</w:t>
            </w: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74.2 %</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PESIC</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116,314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27.2 %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285,595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0"/>
        </w:trPr>
        <w:tc>
          <w:tcPr>
            <w:tcW w:w="2380" w:type="dxa"/>
            <w:vAlign w:val="bottom"/>
            <w:vMerge w:val="restart"/>
          </w:tcPr>
          <w:p>
            <w:pPr>
              <w:ind w:left="220"/>
              <w:spacing w:after="0" w:line="198" w:lineRule="exact"/>
              <w:rPr>
                <w:sz w:val="20"/>
                <w:szCs w:val="20"/>
                <w:color w:val="auto"/>
              </w:rPr>
            </w:pPr>
            <w:r>
              <w:rPr>
                <w:rFonts w:ascii="Times New Roman" w:cs="Times New Roman" w:eastAsia="Times New Roman" w:hAnsi="Times New Roman"/>
                <w:sz w:val="18"/>
                <w:szCs w:val="18"/>
                <w:color w:val="auto"/>
              </w:rPr>
              <w:t>Total Gross Written</w:t>
            </w: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380" w:type="dxa"/>
            <w:vAlign w:val="bottom"/>
            <w:vMerge w:val="continue"/>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$ 253,128</w:t>
            </w:r>
          </w:p>
        </w:tc>
        <w:tc>
          <w:tcPr>
            <w:tcW w:w="120" w:type="dxa"/>
            <w:vAlign w:val="bottom"/>
          </w:tcPr>
          <w:p>
            <w:pPr>
              <w:spacing w:after="0"/>
              <w:rPr>
                <w:sz w:val="15"/>
                <w:szCs w:val="15"/>
                <w:color w:val="auto"/>
              </w:rPr>
            </w:pPr>
          </w:p>
        </w:tc>
        <w:tc>
          <w:tcPr>
            <w:tcW w:w="1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 $ 152,332</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6"/>
              </w:rPr>
              <w:t>100.</w:t>
            </w:r>
            <w:r>
              <w:rPr>
                <w:rFonts w:ascii="Times New Roman" w:cs="Times New Roman" w:eastAsia="Times New Roman" w:hAnsi="Times New Roman"/>
                <w:sz w:val="18"/>
                <w:szCs w:val="18"/>
                <w:u w:val="single" w:color="auto"/>
                <w:color w:val="auto"/>
                <w:w w:val="96"/>
              </w:rPr>
              <w:t>0</w:t>
            </w:r>
            <w:r>
              <w:rPr>
                <w:rFonts w:ascii="Times New Roman" w:cs="Times New Roman" w:eastAsia="Times New Roman" w:hAnsi="Times New Roman"/>
                <w:sz w:val="18"/>
                <w:szCs w:val="18"/>
                <w:color w:val="auto"/>
                <w:w w:val="96"/>
              </w:rPr>
              <w:t xml:space="preserve">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$ 642,751</w:t>
            </w:r>
          </w:p>
        </w:tc>
        <w:tc>
          <w:tcPr>
            <w:tcW w:w="140" w:type="dxa"/>
            <w:vAlign w:val="bottom"/>
          </w:tcPr>
          <w:p>
            <w:pPr>
              <w:spacing w:after="0"/>
              <w:rPr>
                <w:sz w:val="15"/>
                <w:szCs w:val="15"/>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 $ 385,267</w:t>
            </w:r>
          </w:p>
        </w:tc>
        <w:tc>
          <w:tcPr>
            <w:tcW w:w="80" w:type="dxa"/>
            <w:vAlign w:val="bottom"/>
          </w:tcPr>
          <w:p>
            <w:pPr>
              <w:spacing w:after="0"/>
              <w:rPr>
                <w:sz w:val="15"/>
                <w:szCs w:val="15"/>
                <w:color w:val="auto"/>
              </w:rPr>
            </w:pPr>
          </w:p>
        </w:tc>
        <w:tc>
          <w:tcPr>
            <w:tcW w:w="6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99"/>
              </w:rPr>
              <w:t>100.</w:t>
            </w:r>
            <w:r>
              <w:rPr>
                <w:rFonts w:ascii="Times New Roman" w:cs="Times New Roman" w:eastAsia="Times New Roman" w:hAnsi="Times New Roman"/>
                <w:sz w:val="18"/>
                <w:szCs w:val="18"/>
                <w:u w:val="single" w:color="auto"/>
                <w:color w:val="auto"/>
                <w:w w:val="99"/>
              </w:rPr>
              <w:t>0</w:t>
            </w:r>
            <w:r>
              <w:rPr>
                <w:rFonts w:ascii="Times New Roman" w:cs="Times New Roman" w:eastAsia="Times New Roman" w:hAnsi="Times New Roman"/>
                <w:sz w:val="18"/>
                <w:szCs w:val="18"/>
                <w:color w:val="auto"/>
                <w:w w:val="99"/>
              </w:rPr>
              <w:t xml:space="preserve"> %</w:t>
            </w:r>
          </w:p>
        </w:tc>
        <w:tc>
          <w:tcPr>
            <w:tcW w:w="0" w:type="dxa"/>
            <w:vAlign w:val="bottom"/>
          </w:tcPr>
          <w:p>
            <w:pPr>
              <w:spacing w:after="0"/>
              <w:rPr>
                <w:sz w:val="1"/>
                <w:szCs w:val="1"/>
                <w:color w:val="auto"/>
              </w:rPr>
            </w:pPr>
          </w:p>
        </w:tc>
      </w:tr>
      <w:tr>
        <w:trPr>
          <w:trHeight w:val="221"/>
        </w:trPr>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Premiums</w:t>
            </w: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Company calculates its tax provision in interim periods using its best estimate of the effective tax rate expected for the full year. For both the three months ended September 30, 2022 and 2021, the Company’s tax rate was lower than the statutory rate of 21% due primarily to the tax impact of the permanent component of employee stock option exercises.</w:t>
      </w:r>
    </w:p>
    <w:p>
      <w:pPr>
        <w:spacing w:after="0" w:line="180"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the Company’s tax rate was higher than the statutory rate due primarily to non-deductible executive compensation expense. For the nine months ended September 30, 2021, the Company’s tax rate was lower than the statutory rate due primarily to the tax impact of the permanent component of employee stock option exercises.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out earnings per share of common stock:</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160" w:type="dxa"/>
            <w:vAlign w:val="bottom"/>
          </w:tcPr>
          <w:p>
            <w:pPr>
              <w:spacing w:after="0"/>
              <w:rPr>
                <w:sz w:val="11"/>
                <w:szCs w:val="11"/>
                <w:color w:val="auto"/>
              </w:rPr>
            </w:pPr>
          </w:p>
        </w:tc>
        <w:tc>
          <w:tcPr>
            <w:tcW w:w="302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shares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2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w:t>
            </w:r>
          </w:p>
        </w:tc>
        <w:tc>
          <w:tcPr>
            <w:tcW w:w="54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25,209,368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25,388,630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25,258,333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Share equivalents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578,257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655,050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550,054</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660,658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25,787,625</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26,043,680</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25,808,387</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26,133,664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5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380" w:type="dxa"/>
            <w:vAlign w:val="bottom"/>
            <w:tcBorders>
              <w:top w:val="single" w:sz="8" w:color="CCEEFF"/>
              <w:bottom w:val="single" w:sz="8" w:color="CCEEFF"/>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Common share equivalents relate primarily to outstanding stock options, RSUs and PSUs under the 2019 Plan and unpurchased shares under the 2019 ESPP and are calculated using the treasury stock method.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Reinsurance</w:t>
      </w:r>
    </w:p>
    <w:p>
      <w:pPr>
        <w:spacing w:after="0" w:line="229" w:lineRule="exact"/>
        <w:rPr>
          <w:sz w:val="20"/>
          <w:szCs w:val="20"/>
          <w:color w:val="auto"/>
        </w:rPr>
      </w:pPr>
    </w:p>
    <w:p>
      <w:pPr>
        <w:jc w:val="both"/>
        <w:ind w:left="60" w:right="139" w:firstLine="648"/>
        <w:spacing w:after="0" w:line="312" w:lineRule="auto"/>
        <w:rPr>
          <w:sz w:val="20"/>
          <w:szCs w:val="20"/>
          <w:color w:val="auto"/>
        </w:rPr>
      </w:pPr>
      <w:r>
        <w:rPr>
          <w:rFonts w:ascii="Times New Roman" w:cs="Times New Roman" w:eastAsia="Times New Roman" w:hAnsi="Times New Roman"/>
          <w:sz w:val="17"/>
          <w:szCs w:val="17"/>
          <w:color w:val="auto"/>
        </w:rPr>
        <w:t>The Company utilizes reinsurance in order to limit its exposure to losses and enable it to underwrite policies with sufficient limits to meet policyholder needs. The Company utilizes both excess of loss (XOL) and quota share reinsurance.</w:t>
      </w:r>
    </w:p>
    <w:p>
      <w:pPr>
        <w:spacing w:after="0" w:line="140"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Company’s catastrophe event retention is $12.5 million for all perils. As of September 30, 2022, the Company’s XOL reinsurance structure provides protection up to $2.08 billion for earthquake events, $900 million for Hawaii hurricane events, and $250 million for continental U.S. hurricane events.</w:t>
      </w:r>
    </w:p>
    <w:p>
      <w:pPr>
        <w:spacing w:after="0" w:line="17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the Company has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also closed a $275 million 144A catastrophe bond which became effective June 1, 2022. This catastrophe bond was completed through Torrey Pines Re Ltd., a Bermuda-domiciled special purpose insurer that provides indemnity-based reinsurance covering earthquake events through June 1, 2025.</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Credit Agreements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 Bank Credit Agreement</w:t>
      </w:r>
    </w:p>
    <w:p>
      <w:pPr>
        <w:spacing w:after="0" w:line="227" w:lineRule="exact"/>
        <w:rPr>
          <w:sz w:val="20"/>
          <w:szCs w:val="20"/>
          <w:color w:val="auto"/>
        </w:rPr>
      </w:pPr>
    </w:p>
    <w:p>
      <w:pPr>
        <w:ind w:left="60" w:right="259" w:firstLine="648"/>
        <w:spacing w:after="0" w:line="272" w:lineRule="auto"/>
        <w:rPr>
          <w:sz w:val="20"/>
          <w:szCs w:val="20"/>
          <w:color w:val="auto"/>
        </w:rPr>
      </w:pPr>
      <w:r>
        <w:rPr>
          <w:rFonts w:ascii="Times New Roman" w:cs="Times New Roman" w:eastAsia="Times New Roman" w:hAnsi="Times New Roman"/>
          <w:sz w:val="17"/>
          <w:szCs w:val="17"/>
          <w:color w:val="auto"/>
        </w:rPr>
        <w:t>In December 2021, the Company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w:t>
      </w:r>
    </w:p>
    <w:p>
      <w:pPr>
        <w:spacing w:after="0" w:line="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1.75% and on each base rate loan at the applicable Alternate Base Rate (as defined in the Credit Agreement) plus 0.75%. A loan may be either a SOFR rate loan or a base rate loan, at the Company’s discretion. Outstanding amounts under the Credit Agreement may be prepaid in full or in part at any time with no prepayment premium and may be reduced in full or in part at any time upon prior notice. In addition to interest on funds borrowed, the Company must pay an unused line fee of 0.25% on any amounts not borrowed.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19" w:name="page20"/>
    <w:bookmarkEnd w:id="19"/>
    <w:p>
      <w:pPr>
        <w:ind w:left="60" w:right="139" w:firstLine="648"/>
        <w:spacing w:after="0" w:line="273" w:lineRule="auto"/>
        <w:rPr>
          <w:sz w:val="20"/>
          <w:szCs w:val="20"/>
          <w:color w:val="auto"/>
        </w:rPr>
      </w:pPr>
      <w:r>
        <w:rPr>
          <w:rFonts w:ascii="Times New Roman" w:cs="Times New Roman" w:eastAsia="Times New Roman" w:hAnsi="Times New Roman"/>
          <w:sz w:val="17"/>
          <w:szCs w:val="17"/>
          <w:color w:val="auto"/>
        </w:rPr>
        <w:t>The Credit Agreement contains customary representations and warranties and customary affirmative and negative covenants, including, among other things, financial covenants, restrictions on indebtedness, liens, investments, mergers, dispositions, prepayment of other indebtedness and dividends and other distributions. The financial covenants include requirements to maintain a permissible debt to capital ratio, a minimum consolidated net worth, a minimum risk based capital ratio and minimum A.M. Best financial strength rating. The Credit Agreement also contains customary events of default, such as non-compliance with financial covenants. If an event of default occurs, any debt may be declared immediately due and payable. As of September 30, 2022, the Company was in compliance with all debt covenants.</w:t>
      </w:r>
    </w:p>
    <w:p>
      <w:pPr>
        <w:spacing w:after="0" w:line="171"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did not have any outstanding borrowings under the Credit Agreement.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FHLB Line of Credit</w:t>
      </w:r>
    </w:p>
    <w:p>
      <w:pPr>
        <w:spacing w:after="0" w:line="22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5% of PSIC’s statutory admitted assets, approximately $26.8M as of September 30, 2022. All advances have a predetermined term and the interest rate varies based on the term of the advance.</w:t>
      </w:r>
    </w:p>
    <w:p>
      <w:pPr>
        <w:spacing w:after="0" w:line="187"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had $26.4 million of borrowings outstanding through the FHLB at the overnight rate of 2.37%. Interest expense on the FHLB Line of Credit was $0.2 million for the three and nine months ended September 30, 2022. There were no borrowings outstanding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6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discussion and analysis below includes certain forward-looking statements that are subject to risks, uncertainties and other factors described in part II, item 1A of this Quarterly Report. Our actual results could differ materially from those anticipated in these forward-looking statements as a result of many factors.</w:t>
      </w:r>
    </w:p>
    <w:p>
      <w:pPr>
        <w:spacing w:after="0" w:line="173"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The results of operations for the three and nine months ended September 30, 2022 are not necessarily indicative of the results that may be expected for the full year ended December 31, 2022,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February 24, 2022.</w:t>
      </w:r>
    </w:p>
    <w:p>
      <w:pPr>
        <w:spacing w:after="0" w:line="168" w:lineRule="exact"/>
        <w:rPr>
          <w:sz w:val="20"/>
          <w:szCs w:val="20"/>
          <w:color w:val="auto"/>
        </w:rPr>
      </w:pPr>
    </w:p>
    <w:p>
      <w:pPr>
        <w:ind w:left="60" w:right="9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the "Company," "Palomar," "we," "us," and "our" are to Palomar Holdings, Inc. and its subsidiaries, unless the context otherwise requires.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are a specialty insurance company that provides property and casualty insurance products to individuals and businesses. We use our underwriting and analytical expertise to provide products for select markets that we believe are underserved by other insurance companies, including the market for earthquake insurance. We use proprietary data analytics and a modern technology platform to offer our customers flexible products with customized and granular pricing for both the admitted and excess and surplus lines (“E&amp;S”) markets.</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provide admitted insurance products through our Oregon domiciled insurance company, Palomar Specialty Insurance Company (“PSIC”), and non-admitted insurance products through our Arizona domiciled surplus lines insurance company, Palomar Excess and Surplus Insurance Company (“PESIC”). Each of our insurance company subsidiaries as well as our holding company, Palomar Holdings Inc., carry an “A-“ rating from A.M. Best Company (“A.M. Best”), a leading rating agency for the insurance industry.</w:t>
      </w:r>
    </w:p>
    <w:p>
      <w:pPr>
        <w:spacing w:after="0" w:line="183"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distribute our products through multiple channels, including retail agents, program administrators, wholesale brokers, and partnerships with other insurance companies. Due to our participation in lines of business such as earthquake insurance and the fronting market, a significant portion of our gross written premium does not expose us to the risk of attritional losses.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spacing w:after="0" w:line="18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Founded in 2014, we have significantly grown our business and have generated attractive returns. We have organically increased gross written premiums from $16.6 million in our first year of operations to $535.2 million for the year ended December 31, 2021, which reflects a compound annual growth rate of approximately 64%. We have also been profitable since 2016 and our net income growth since 2016 reflects a compound annual growth rate of 47%.</w:t>
      </w:r>
    </w:p>
    <w:p>
      <w:pPr>
        <w:spacing w:after="0" w:line="180" w:lineRule="exact"/>
        <w:rPr>
          <w:sz w:val="20"/>
          <w:szCs w:val="20"/>
          <w:color w:val="auto"/>
        </w:rPr>
      </w:pPr>
    </w:p>
    <w:p>
      <w:pPr>
        <w:jc w:val="both"/>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We seek to continuously grow our underwriting income by developing product offerings for lines of business that harness our core competencies and where we believe we can generate attractive risk adjusted returns. We believe that our market opportunity, distinctive products, and differentiated business model position us to grow our business profitably.</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COVID-19 Update</w:t>
      </w:r>
    </w:p>
    <w:p>
      <w:pPr>
        <w:spacing w:after="0" w:line="227"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The COVID-19 Pandemic (the “Pandemic") continues to impact businesses, households, communities, and financial markets.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1" w:name="page22"/>
    <w:bookmarkEnd w:id="21"/>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Since the beginning of the Pandemic, our focus has been to protect the health of the public and our employees while serving our policyholders and ensuring business continuity. We have established protocols designed to ensure operational reliability and employee safety. In addition, we have taken extra physical security and cybersecurity measures to safeguard our systems, serve the operational needs of our workforce, and ensure uninterrupted service to our brokers and policyholders.</w:t>
      </w:r>
    </w:p>
    <w:p>
      <w:pPr>
        <w:spacing w:after="0" w:line="18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have experienced business interruption claims related to the Pandemic. Our All Risk and Commercial Earthquake (Difference in Conditions or “DIC”) policies offer business interruption coverage for insureds for a loss in business income caused by physical damage to the structure. Each of our All Risk policies has a virus and/or communicable disease exclusion. Our DIC policies require physical damage to the structure caused by the covered peril, whether it be an earthquake or flood. We do not expect additional business interruption claims from the Pandemic and have acknowledged and adjusted each claim received.</w:t>
      </w:r>
    </w:p>
    <w:p>
      <w:pPr>
        <w:spacing w:after="0" w:line="187"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Pandemic’s ultimate impact on our results of operations remains uncertain. Since the onset of the Pandemic, we have experienced volatility in the fair value of our investment portfolio due to unrealized losses and gains on our fixed income and equity securities. We have not seen a significant impact on the growth rate of our gross written premiums since the beginning of the Pandemic. However, the Pandemic continues to impact many aspects of the economy and society and the macroeconomic effects of the Pandemic may persist for an indefinite period, even after the Pandemic has subsided. We cannot anticipate all the ways in which the Pandemic or other similar global health crises could adversely impact our business in the future.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spacing w:after="0" w:line="68" w:lineRule="exact"/>
        <w:rPr>
          <w:sz w:val="20"/>
          <w:szCs w:val="20"/>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new business submissions in existing products or partnerships;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of new business submissions in existing products or partnerships into policies;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new partnerships or the offering of new types of insurance products;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Exits from existing partnerships or reducing or ceasing to offer existing insurance products;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rates of existing policies; and</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size and premium rate of bound policies.</w:t>
      </w:r>
    </w:p>
    <w:p>
      <w:pPr>
        <w:spacing w:after="0" w:line="117"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spacing w:after="0" w:line="189" w:lineRule="exact"/>
        <w:rPr>
          <w:sz w:val="20"/>
          <w:szCs w:val="20"/>
          <w:color w:val="auto"/>
        </w:rPr>
      </w:pPr>
    </w:p>
    <w:p>
      <w:pPr>
        <w:ind w:left="60" w:right="559" w:firstLine="648"/>
        <w:spacing w:after="0" w:line="312" w:lineRule="auto"/>
        <w:rPr>
          <w:sz w:val="20"/>
          <w:szCs w:val="20"/>
          <w:color w:val="auto"/>
        </w:rPr>
      </w:pPr>
      <w:r>
        <w:rPr>
          <w:rFonts w:ascii="Times New Roman" w:cs="Times New Roman" w:eastAsia="Times New Roman" w:hAnsi="Times New Roman"/>
          <w:sz w:val="17"/>
          <w:szCs w:val="17"/>
          <w:color w:val="auto"/>
        </w:rPr>
        <w:t>Our ceded written premiums can be impacted significantly in certain periods due to changes in quota share agreements. In periods where we modify a quota share agreement, ceded written premiums may increase or decrease</w:t>
      </w:r>
    </w:p>
    <w:p>
      <w:pPr>
        <w:sectPr>
          <w:pgSz w:w="11900" w:h="16838" w:orient="portrait"/>
          <w:cols w:equalWidth="0" w:num="1">
            <w:col w:w="9019"/>
          </w:cols>
          <w:pgMar w:left="1440" w:top="1269"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2" w:name="page23"/>
    <w:bookmarkEnd w:id="22"/>
    <w:p>
      <w:pPr>
        <w:ind w:left="60" w:right="279"/>
        <w:spacing w:after="0" w:line="258" w:lineRule="auto"/>
        <w:rPr>
          <w:sz w:val="20"/>
          <w:szCs w:val="20"/>
          <w:color w:val="auto"/>
        </w:rPr>
      </w:pPr>
      <w:r>
        <w:rPr>
          <w:rFonts w:ascii="Times New Roman" w:cs="Times New Roman" w:eastAsia="Times New Roman" w:hAnsi="Times New Roman"/>
          <w:sz w:val="18"/>
          <w:szCs w:val="18"/>
          <w:color w:val="auto"/>
        </w:rPr>
        <w:t>significantly compared to prior periods and these fluctuations may not be indicative of future trends. Our XOL costs as a percentage of gross earned premiums also may vary each period due to changes of premium in-force during the XOL contract period or due to acceleration of XOL charges or the need to purchase additional reinsurance due to losses. In addition, the volume of premiums ceded in fronting agreements each period may vary due to the timing of entering new fronting partnerships and terminations of fronting partnerships.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ind w:left="60" w:right="779" w:firstLine="648"/>
        <w:spacing w:after="0" w:line="289" w:lineRule="auto"/>
        <w:rPr>
          <w:sz w:val="20"/>
          <w:szCs w:val="20"/>
          <w:color w:val="auto"/>
        </w:rPr>
      </w:pPr>
      <w:r>
        <w:rPr>
          <w:rFonts w:ascii="Times New Roman" w:cs="Times New Roman" w:eastAsia="Times New Roman" w:hAnsi="Times New Roman"/>
          <w:sz w:val="17"/>
          <w:szCs w:val="17"/>
          <w:color w:val="auto"/>
        </w:rPr>
        <w:t>Commission and other income consist of commissions earned on policies written on behalf of third party insurance companies where we have no exposure to the insured risk and certain fees earned in conjunction with underwriting policies. Commission and other income are earned on the effective date of the underlying policy.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In addition, many of the policies we write subject us to catastrophe losses. Catastrophe losses are certain losses resulting from events involving multiple claims and policyholders, including earthquakes, hurricanes, floods, convective storms, terrorist acts or other aggregating events. Our losses and loss adjustment expenses are generally affected by:</w:t>
      </w:r>
    </w:p>
    <w:p>
      <w:pPr>
        <w:spacing w:after="0" w:line="79" w:lineRule="exact"/>
        <w:rPr>
          <w:sz w:val="20"/>
          <w:szCs w:val="20"/>
          <w:color w:val="auto"/>
        </w:rPr>
      </w:pPr>
    </w:p>
    <w:p>
      <w:pPr>
        <w:ind w:left="1040" w:right="49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catastrophe events in the areas where we underwrite policies relating to these perils;</w:t>
      </w:r>
    </w:p>
    <w:p>
      <w:pPr>
        <w:spacing w:after="0" w:line="53"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non-catastrophe attritional losses;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business written by us;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agreements we have in place at the time of a loss;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 and characteristics of the policies we underwrite;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related to the business we write;</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legal defense costs;</w:t>
      </w:r>
    </w:p>
    <w:p>
      <w:pPr>
        <w:spacing w:after="0" w:line="11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housing and construction costs;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amounts awarded by courts and juries.</w:t>
      </w:r>
    </w:p>
    <w:p>
      <w:pPr>
        <w:spacing w:after="0" w:line="225"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premium-related taxes and other fees. Acquisition expenses related to each policy we write are deferred and expensed pro rata over the term of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3" w:name="page24"/>
    <w:bookmarkEnd w:id="23"/>
    <w:p>
      <w:pPr>
        <w:ind w:left="60" w:right="679"/>
        <w:spacing w:after="0" w:line="282" w:lineRule="auto"/>
        <w:rPr>
          <w:sz w:val="20"/>
          <w:szCs w:val="20"/>
          <w:color w:val="auto"/>
        </w:rPr>
      </w:pPr>
      <w:r>
        <w:rPr>
          <w:rFonts w:ascii="Times New Roman" w:cs="Times New Roman" w:eastAsia="Times New Roman" w:hAnsi="Times New Roman"/>
          <w:sz w:val="18"/>
          <w:szCs w:val="18"/>
          <w:color w:val="auto"/>
        </w:rPr>
        <w:t>policy. We earn fronting fees in a manner consistent with the recognition of the earned premiums on the underlying insurance policies, on a pro rata basis over the terms of the policies.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of the unused line fee and amortization of the commitment fee on our credit agreement with U.S. Bank National Association and interest incurred on borrowings from our FHLB line of credit.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 Our balance of invested capital may be impacted in the future by repurchases of shares of our common stock or borrowings under our credit agreements.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 on Investments</w:t>
      </w:r>
    </w:p>
    <w:p>
      <w:pPr>
        <w:spacing w:after="0" w:line="229" w:lineRule="exact"/>
        <w:rPr>
          <w:sz w:val="20"/>
          <w:szCs w:val="20"/>
          <w:color w:val="auto"/>
        </w:rPr>
      </w:pPr>
    </w:p>
    <w:p>
      <w:pPr>
        <w:jc w:val="both"/>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Unrealized gains and losses on fixed maturity securities are recognized as a component of other comprehensive income and do not impact our net income.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Currently our income tax expense consists mainly of federal income taxes imposed on our operations. Our effective tax rates are dependent upon the </w:t>
      </w:r>
      <w:r>
        <w:rPr>
          <w:rFonts w:ascii="Times New Roman" w:cs="Times New Roman" w:eastAsia="Times New Roman" w:hAnsi="Times New Roman"/>
          <w:sz w:val="18"/>
          <w:szCs w:val="18"/>
          <w:color w:val="212529"/>
        </w:rPr>
        <w:t>components of pretax earnings and the related tax effects.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We discuss certain key financial and operating metrics, described below, which provide useful information about our business and the operational factors underlying our financial performance.</w:t>
      </w:r>
    </w:p>
    <w:p>
      <w:pPr>
        <w:spacing w:after="0" w:line="160" w:lineRule="exact"/>
        <w:rPr>
          <w:sz w:val="20"/>
          <w:szCs w:val="20"/>
          <w:color w:val="auto"/>
        </w:rPr>
      </w:pPr>
    </w:p>
    <w:p>
      <w:pPr>
        <w:ind w:left="60" w:right="479"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Underwriting revenue </w:t>
      </w:r>
      <w:r>
        <w:rPr>
          <w:rFonts w:ascii="Times New Roman" w:cs="Times New Roman" w:eastAsia="Times New Roman" w:hAnsi="Times New Roman"/>
          <w:sz w:val="17"/>
          <w:szCs w:val="17"/>
          <w:color w:val="auto"/>
        </w:rPr>
        <w:t>is a non-GAAP financial measure defined as total revenue, excluding net investment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and net realized and unrealized gains and losses on investments. See “Reconciliation of Non-GAAP Financial Measures” for a reconciliation of total revenue calculated in accordance with GAAP to underwriting revenue.</w:t>
      </w:r>
    </w:p>
    <w:p>
      <w:pPr>
        <w:spacing w:after="0" w:line="155"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Underwriting income </w:t>
      </w:r>
      <w:r>
        <w:rPr>
          <w:rFonts w:ascii="Times New Roman" w:cs="Times New Roman" w:eastAsia="Times New Roman" w:hAnsi="Times New Roman"/>
          <w:sz w:val="18"/>
          <w:szCs w:val="18"/>
          <w:color w:val="auto"/>
        </w:rPr>
        <w:t>is a non-GAAP financial measure defined as income before income taxes excluding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income, net realized and unrealized gains and losses on investments, and interest expense. See “Reconciliation of Non-GAAP Financial Measures” for a reconciliation of income before income taxes calculated in accordance with GAAP to underwriting income.</w:t>
      </w:r>
    </w:p>
    <w:p>
      <w:pPr>
        <w:spacing w:after="0" w:line="180" w:lineRule="exact"/>
        <w:rPr>
          <w:sz w:val="20"/>
          <w:szCs w:val="20"/>
          <w:color w:val="auto"/>
        </w:rPr>
      </w:pPr>
    </w:p>
    <w:p>
      <w:pPr>
        <w:ind w:left="60" w:right="27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Adjusted net income </w:t>
      </w:r>
      <w:r>
        <w:rPr>
          <w:rFonts w:ascii="Times New Roman" w:cs="Times New Roman" w:eastAsia="Times New Roman" w:hAnsi="Times New Roman"/>
          <w:sz w:val="17"/>
          <w:szCs w:val="17"/>
          <w:color w:val="auto"/>
        </w:rPr>
        <w:t>is a non-GAAP financial measure defined as net income excluding the impact of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items that may not be indicative of underlying business trends, operating results, or future outlook, net of tax impact. We</w:t>
      </w:r>
    </w:p>
    <w:p>
      <w:pPr>
        <w:sectPr>
          <w:pgSz w:w="11900" w:h="16838" w:orient="portrait"/>
          <w:cols w:equalWidth="0" w:num="1">
            <w:col w:w="9019"/>
          </w:cols>
          <w:pgMar w:left="1440" w:top="1269" w:right="1440"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24" w:name="page25"/>
    <w:bookmarkEnd w:id="24"/>
    <w:p>
      <w:pPr>
        <w:ind w:left="60" w:right="339"/>
        <w:spacing w:after="0" w:line="289" w:lineRule="auto"/>
        <w:rPr>
          <w:sz w:val="20"/>
          <w:szCs w:val="20"/>
          <w:color w:val="auto"/>
        </w:rPr>
      </w:pPr>
      <w:r>
        <w:rPr>
          <w:rFonts w:ascii="Times New Roman" w:cs="Times New Roman" w:eastAsia="Times New Roman" w:hAnsi="Times New Roman"/>
          <w:sz w:val="17"/>
          <w:szCs w:val="17"/>
          <w:color w:val="auto"/>
        </w:rPr>
        <w:t>calculate the tax impact only on adjustments which would be included in calculating our income tax expense using the estimated tax rate at which the company received a deduction for these adjustments. See “Reconciliation of Non-GAAP Financial Measures” for a reconciliation of net income calculated in accordance with GAAP to adjusted net income.</w:t>
      </w:r>
    </w:p>
    <w:p>
      <w:pPr>
        <w:spacing w:after="0" w:line="156" w:lineRule="exact"/>
        <w:rPr>
          <w:sz w:val="20"/>
          <w:szCs w:val="20"/>
          <w:color w:val="auto"/>
        </w:rPr>
      </w:pPr>
    </w:p>
    <w:p>
      <w:pPr>
        <w:ind w:left="60" w:right="1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Annualized return on equity </w:t>
      </w:r>
      <w:r>
        <w:rPr>
          <w:rFonts w:ascii="Times New Roman" w:cs="Times New Roman" w:eastAsia="Times New Roman" w:hAnsi="Times New Roman"/>
          <w:sz w:val="18"/>
          <w:szCs w:val="18"/>
          <w:color w:val="auto"/>
        </w:rPr>
        <w:t>is net income expressed on an annualized basis as a percentage of average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ending stockholders’ equity during the period.</w:t>
      </w:r>
    </w:p>
    <w:p>
      <w:pPr>
        <w:spacing w:after="0" w:line="15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Annualized adjusted return on equity </w:t>
      </w:r>
      <w:r>
        <w:rPr>
          <w:rFonts w:ascii="Times New Roman" w:cs="Times New Roman" w:eastAsia="Times New Roman" w:hAnsi="Times New Roman"/>
          <w:sz w:val="18"/>
          <w:szCs w:val="18"/>
          <w:color w:val="auto"/>
        </w:rPr>
        <w:t>is a non-GAAP financial measure defined as adjusted net income expressed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an annualized basis as a percentage of average beginning and ending stockholders’ equity during the period. See “Reconciliation of Non-GAAP Financial Measures” for a reconciliation of return on equity calculated using unadjusted GAAP numbers to adjusted return on equity.</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to net earned premiums.</w:t>
      </w:r>
    </w:p>
    <w:p>
      <w:pPr>
        <w:spacing w:after="0" w:line="225" w:lineRule="exact"/>
        <w:rPr>
          <w:sz w:val="20"/>
          <w:szCs w:val="20"/>
          <w:color w:val="auto"/>
        </w:rPr>
      </w:pPr>
    </w:p>
    <w:p>
      <w:pPr>
        <w:ind w:left="60" w:right="61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 ratio, </w:t>
      </w:r>
      <w:r>
        <w:rPr>
          <w:rFonts w:ascii="Times New Roman" w:cs="Times New Roman" w:eastAsia="Times New Roman" w:hAnsi="Times New Roman"/>
          <w:sz w:val="18"/>
          <w:szCs w:val="18"/>
          <w:color w:val="auto"/>
        </w:rPr>
        <w:t>expressed as a percentage, is the ratio of acquisition and other underwriting expenses,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and other income to net earned premiums.</w:t>
      </w:r>
    </w:p>
    <w:p>
      <w:pPr>
        <w:spacing w:after="0" w:line="158" w:lineRule="exact"/>
        <w:rPr>
          <w:sz w:val="20"/>
          <w:szCs w:val="20"/>
          <w:color w:val="auto"/>
        </w:rPr>
      </w:pPr>
    </w:p>
    <w:p>
      <w:pPr>
        <w:ind w:left="60" w:right="63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Combined ratio </w:t>
      </w:r>
      <w:r>
        <w:rPr>
          <w:rFonts w:ascii="Times New Roman" w:cs="Times New Roman" w:eastAsia="Times New Roman" w:hAnsi="Times New Roman"/>
          <w:sz w:val="17"/>
          <w:szCs w:val="17"/>
          <w:color w:val="auto"/>
        </w:rPr>
        <w:t>is defined as the sum of the loss ratio and the expense ratio. A combined ratio under 100%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generally indicates an underwriting profit. A combined ratio over 100% generally indicates an underwriting loss.</w:t>
      </w:r>
    </w:p>
    <w:p>
      <w:pPr>
        <w:spacing w:after="0" w:line="135" w:lineRule="exact"/>
        <w:rPr>
          <w:sz w:val="20"/>
          <w:szCs w:val="20"/>
          <w:color w:val="auto"/>
        </w:rPr>
      </w:pPr>
    </w:p>
    <w:p>
      <w:pPr>
        <w:jc w:val="both"/>
        <w:ind w:left="60" w:right="2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combined ratio </w:t>
      </w:r>
      <w:r>
        <w:rPr>
          <w:rFonts w:ascii="Times New Roman" w:cs="Times New Roman" w:eastAsia="Times New Roman" w:hAnsi="Times New Roman"/>
          <w:sz w:val="18"/>
          <w:szCs w:val="18"/>
          <w:color w:val="auto"/>
        </w:rPr>
        <w:t>is a non-GAAP financial measure defined as the sum of the loss ratio and the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calculated excluding the impact of certain items that may not be indicative of underlying business trends, operating results, or future outlook. See “Reconciliation of Non-GAAP Financial Measures” for a reconciliation of combined ratio calculated using unadjusted GAAP numbers to adjusted combined ratio.</w:t>
      </w:r>
    </w:p>
    <w:p>
      <w:pPr>
        <w:spacing w:after="0" w:line="180" w:lineRule="exact"/>
        <w:rPr>
          <w:sz w:val="20"/>
          <w:szCs w:val="20"/>
          <w:color w:val="auto"/>
        </w:rPr>
      </w:pPr>
    </w:p>
    <w:p>
      <w:pPr>
        <w:jc w:val="both"/>
        <w:ind w:left="60" w:right="1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Diluted adjusted earnings per share </w:t>
      </w:r>
      <w:r>
        <w:rPr>
          <w:rFonts w:ascii="Times New Roman" w:cs="Times New Roman" w:eastAsia="Times New Roman" w:hAnsi="Times New Roman"/>
          <w:sz w:val="18"/>
          <w:szCs w:val="18"/>
          <w:color w:val="auto"/>
        </w:rPr>
        <w:t>is a non-GAAP financial measure defined as adjusted net income divided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weighted-average common shares outstanding for the period, reflecting the dilution which could occur if equity-based awards are converted into common share equivalents as calculated using the treasury stock method. See “Reconciliation of Non-GAAP Financial Measures” for a reconciliation of diluted earnings per share calculated in accordance with GAAP to diluted adjusted earnings per share.</w:t>
      </w:r>
    </w:p>
    <w:p>
      <w:pPr>
        <w:spacing w:after="0" w:line="183" w:lineRule="exact"/>
        <w:rPr>
          <w:sz w:val="20"/>
          <w:szCs w:val="20"/>
          <w:color w:val="auto"/>
        </w:rPr>
      </w:pPr>
    </w:p>
    <w:p>
      <w:pPr>
        <w:ind w:left="60" w:right="3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Catastrophe loss ratio </w:t>
      </w:r>
      <w:r>
        <w:rPr>
          <w:rFonts w:ascii="Times New Roman" w:cs="Times New Roman" w:eastAsia="Times New Roman" w:hAnsi="Times New Roman"/>
          <w:sz w:val="18"/>
          <w:szCs w:val="18"/>
          <w:color w:val="auto"/>
        </w:rPr>
        <w:t>is a non-GAAP financial measure defined as the ratio of catastrophe losses to net earned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See “Reconciliation of Non-GAAP Financial Measures” for a reconciliation of loss ratio calculated using unadjusted GAAP numbers to catastrophe loss ratio.</w:t>
      </w:r>
    </w:p>
    <w:p>
      <w:pPr>
        <w:spacing w:after="0" w:line="173"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combined ratio excluding catastrophe losses </w:t>
      </w:r>
      <w:r>
        <w:rPr>
          <w:rFonts w:ascii="Times New Roman" w:cs="Times New Roman" w:eastAsia="Times New Roman" w:hAnsi="Times New Roman"/>
          <w:sz w:val="18"/>
          <w:szCs w:val="18"/>
          <w:color w:val="auto"/>
        </w:rPr>
        <w:t>is a non-GAAP financial measure defined as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ratio excluding the impact of catastrophe losses. See “Reconciliation of Non-GAAP Financial Measures” for a reconciliation of combined ratio calculated using unadjusted GAAP numbers to adjusted combined ratio excluding catastrophe losses.</w:t>
      </w:r>
    </w:p>
    <w:p>
      <w:pPr>
        <w:spacing w:after="0" w:line="180"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underwriting income </w:t>
      </w:r>
      <w:r>
        <w:rPr>
          <w:rFonts w:ascii="Times New Roman" w:cs="Times New Roman" w:eastAsia="Times New Roman" w:hAnsi="Times New Roman"/>
          <w:sz w:val="18"/>
          <w:szCs w:val="18"/>
          <w:color w:val="auto"/>
        </w:rPr>
        <w:t>is a non-GAAP financial measure defined as underwriting income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certain items that may not be indicative of underlying business trends, operating results, or future outlook. See “Reconciliation of Non-GAAP Financial Measures” for a reconciliation of income before income taxes calculated in accordance with GAAP to adjusted underwriting income.</w:t>
      </w:r>
    </w:p>
    <w:p>
      <w:pPr>
        <w:spacing w:after="0" w:line="180" w:lineRule="exact"/>
        <w:rPr>
          <w:sz w:val="20"/>
          <w:szCs w:val="20"/>
          <w:color w:val="auto"/>
        </w:rPr>
      </w:pPr>
    </w:p>
    <w:p>
      <w:pPr>
        <w:jc w:val="both"/>
        <w:ind w:left="60" w:right="3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Tangible stockholders’ equity </w:t>
      </w:r>
      <w:r>
        <w:rPr>
          <w:rFonts w:ascii="Times New Roman" w:cs="Times New Roman" w:eastAsia="Times New Roman" w:hAnsi="Times New Roman"/>
          <w:sz w:val="18"/>
          <w:szCs w:val="18"/>
          <w:color w:val="auto"/>
        </w:rPr>
        <w:t>is a non-GAAP financial measure defined as stockholders’ equity less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See “Reconciliation of Non-GAAP Financial Measures” for a reconciliation of stockholders’ equity calculated in accordance with GAAP to tangible stockholders’ equity.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to three months ended September 30, 2021</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months ended September 30, 2022 and 2021:</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vMerge w:val="restart"/>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60" w:type="dxa"/>
            <w:vAlign w:val="bottom"/>
            <w:gridSpan w:val="9"/>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 in thousands, except per share data)</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253,128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152,332</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(161,930)</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(58,073)</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(103,857)</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178.8 %</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written premiums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0" w:type="dxa"/>
            <w:vAlign w:val="bottom"/>
          </w:tcPr>
          <w:p>
            <w:pPr>
              <w:spacing w:after="0"/>
              <w:rPr>
                <w:sz w:val="1"/>
                <w:szCs w:val="1"/>
                <w:color w:val="auto"/>
              </w:rPr>
            </w:pPr>
          </w:p>
        </w:tc>
      </w:tr>
      <w:tr>
        <w:trPr>
          <w:trHeight w:val="209"/>
        </w:trPr>
        <w:tc>
          <w:tcPr>
            <w:tcW w:w="4580" w:type="dxa"/>
            <w:vAlign w:val="bottom"/>
          </w:tcPr>
          <w:p>
            <w:pPr>
              <w:ind w:left="220"/>
              <w:spacing w:after="0" w:line="210" w:lineRule="exact"/>
              <w:rPr>
                <w:sz w:val="20"/>
                <w:szCs w:val="20"/>
                <w:color w:val="auto"/>
              </w:rPr>
            </w:pPr>
            <w:r>
              <w:rPr>
                <w:rFonts w:ascii="Times New Roman" w:cs="Times New Roman" w:eastAsia="Times New Roman" w:hAnsi="Times New Roman"/>
                <w:sz w:val="17"/>
                <w:szCs w:val="17"/>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13,566</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r>
        <w:trPr>
          <w:trHeight w:val="209"/>
        </w:trPr>
        <w:tc>
          <w:tcPr>
            <w:tcW w:w="4580" w:type="dxa"/>
            <w:vAlign w:val="bottom"/>
          </w:tcPr>
          <w:p>
            <w:pPr>
              <w:ind w:left="220"/>
              <w:spacing w:after="0" w:line="210" w:lineRule="exact"/>
              <w:rPr>
                <w:sz w:val="20"/>
                <w:szCs w:val="20"/>
                <w:color w:val="auto"/>
              </w:rPr>
            </w:pPr>
            <w:r>
              <w:rPr>
                <w:rFonts w:ascii="Times New Roman" w:cs="Times New Roman" w:eastAsia="Times New Roman" w:hAnsi="Times New Roman"/>
                <w:sz w:val="17"/>
                <w:szCs w:val="17"/>
                <w:color w:val="auto"/>
              </w:rPr>
              <w:t xml:space="preserve">Underwriting income (loss) </w:t>
            </w:r>
            <w:r>
              <w:rPr>
                <w:rFonts w:ascii="Times New Roman" w:cs="Times New Roman" w:eastAsia="Times New Roman" w:hAnsi="Times New Roman"/>
                <w:sz w:val="24"/>
                <w:szCs w:val="24"/>
                <w:color w:val="auto"/>
                <w:vertAlign w:val="superscript"/>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60" w:type="dxa"/>
            <w:vAlign w:val="bottom"/>
          </w:tcPr>
          <w:p>
            <w:pPr>
              <w:spacing w:after="0"/>
              <w:rPr>
                <w:sz w:val="18"/>
                <w:szCs w:val="18"/>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60" w:type="dxa"/>
            <w:vAlign w:val="bottom"/>
          </w:tcPr>
          <w:p>
            <w:pPr>
              <w:spacing w:after="0"/>
              <w:rPr>
                <w:sz w:val="18"/>
                <w:szCs w:val="18"/>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5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6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102.8 %</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172.4 %</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126.5 %</w:t>
            </w: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tcPr>
          <w:p>
            <w:pPr>
              <w:ind w:left="220"/>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5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6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Key Financial and Operating Metrics</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Annualized adjusted return on equity </w:t>
            </w:r>
            <w:r>
              <w:rPr>
                <w:rFonts w:ascii="Times New Roman" w:cs="Times New Roman" w:eastAsia="Times New Roman" w:hAnsi="Times New Roman"/>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58.8 %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94.8 %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Adjusted combined ratio </w:t>
            </w:r>
            <w:r>
              <w:rPr>
                <w:rFonts w:ascii="Times New Roman" w:cs="Times New Roman" w:eastAsia="Times New Roman" w:hAnsi="Times New Roman"/>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90.3 %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100.2 %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Diluted adjusted earnings per share </w:t>
            </w:r>
            <w:r>
              <w:rPr>
                <w:rFonts w:ascii="Times New Roman" w:cs="Times New Roman" w:eastAsia="Times New Roman" w:hAnsi="Times New Roman"/>
                <w:sz w:val="25"/>
                <w:szCs w:val="25"/>
                <w:color w:val="auto"/>
                <w:vertAlign w:val="superscript"/>
              </w:rPr>
              <w:t>(1)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Catastrophe loss ratio </w:t>
            </w:r>
            <w:r>
              <w:rPr>
                <w:rFonts w:ascii="Times New Roman" w:cs="Times New Roman" w:eastAsia="Times New Roman" w:hAnsi="Times New Roman"/>
                <w:sz w:val="25"/>
                <w:szCs w:val="25"/>
                <w:color w:val="auto"/>
                <w:vertAlign w:val="superscript"/>
              </w:rPr>
              <w:t>(1)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Adjusted combined ratio excluding catastrophe losses </w:t>
            </w:r>
            <w:r>
              <w:rPr>
                <w:rFonts w:ascii="Times New Roman" w:cs="Times New Roman" w:eastAsia="Times New Roman" w:hAnsi="Times New Roman"/>
                <w:sz w:val="25"/>
                <w:szCs w:val="25"/>
                <w:color w:val="auto"/>
                <w:vertAlign w:val="superscript"/>
              </w:rPr>
              <w:t>(1)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74.3 %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73.2 %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Adjusted underwriting income (loss) </w:t>
            </w:r>
            <w:r>
              <w:rPr>
                <w:rFonts w:ascii="Times New Roman" w:cs="Times New Roman" w:eastAsia="Times New Roman" w:hAnsi="Times New Roman"/>
                <w:sz w:val="25"/>
                <w:szCs w:val="25"/>
                <w:color w:val="auto"/>
                <w:vertAlign w:val="superscript"/>
              </w:rPr>
              <w:t>(1)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241" w:lineRule="exact"/>
        <w:rPr>
          <w:sz w:val="20"/>
          <w:szCs w:val="20"/>
          <w:color w:val="auto"/>
        </w:rPr>
      </w:pPr>
    </w:p>
    <w:p>
      <w:pPr>
        <w:ind w:left="720" w:right="9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Non-GAAP Financial Measures” for a reconciliation of the non-GAAP financial measures to their most directly comparable financial measures prepared in accordance with GAAP.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Gross written premiums increased $100.8 million, or 66.2% to $253.1 million for the three months ended September 30, 2022 compared to $152.3 million for the three months ended September 30, 2021.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60" w:type="dxa"/>
            <w:vAlign w:val="bottom"/>
            <w:gridSpan w:val="9"/>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8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tcPr>
          <w:p>
            <w:pPr>
              <w:spacing w:after="0"/>
              <w:rPr>
                <w:sz w:val="15"/>
                <w:szCs w:val="15"/>
                <w:color w:val="auto"/>
              </w:rPr>
            </w:pPr>
          </w:p>
        </w:tc>
        <w:tc>
          <w:tcPr>
            <w:tcW w:w="5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4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3"/>
            <w:vMerge w:val="continue"/>
          </w:tcPr>
          <w:p>
            <w:pPr>
              <w:spacing w:after="0"/>
              <w:rPr>
                <w:sz w:val="5"/>
                <w:szCs w:val="5"/>
                <w:color w:val="auto"/>
              </w:rPr>
            </w:pPr>
          </w:p>
        </w:tc>
        <w:tc>
          <w:tcPr>
            <w:tcW w:w="74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GWP</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GWP</w:t>
            </w:r>
          </w:p>
        </w:tc>
        <w:tc>
          <w:tcPr>
            <w:tcW w:w="740" w:type="dxa"/>
            <w:vAlign w:val="bottom"/>
            <w:vMerge w:val="continue"/>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Fronting Premiums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82,232</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32.5 %</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82,232</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Earthquake</w:t>
            </w:r>
          </w:p>
        </w:tc>
        <w:tc>
          <w:tcPr>
            <w:tcW w:w="12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59,569</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50,075</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32.9 %</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Earthquake</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32,647</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12.9 %</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27,433</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Inland Marine</w:t>
            </w:r>
          </w:p>
        </w:tc>
        <w:tc>
          <w:tcPr>
            <w:tcW w:w="12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30,842</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12.8 %</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57.9 %</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Casualty</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12,888</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5.1 %</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Hawaii Hurricane</w:t>
            </w:r>
          </w:p>
        </w:tc>
        <w:tc>
          <w:tcPr>
            <w:tcW w:w="12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9,425</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All Risk</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9,224</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Flood</w:t>
            </w:r>
          </w:p>
        </w:tc>
        <w:tc>
          <w:tcPr>
            <w:tcW w:w="12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3,871</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Specialty Homeowners</w:t>
            </w: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19,881</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13.1 %</w:t>
            </w: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(19,975) (100.5)%</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12,524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60" w:type="dxa"/>
            <w:vAlign w:val="bottom"/>
            <w:vMerge w:val="continue"/>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CEEFF"/>
            </w:tcBorders>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99"/>
              </w:rPr>
              <w:t>253,128</w:t>
            </w: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$ 152,331</w:t>
            </w:r>
          </w:p>
        </w:tc>
        <w:tc>
          <w:tcPr>
            <w:tcW w:w="156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$ 100,797</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66.2 %</w:t>
            </w: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tcBorders>
              <w:right w:val="single" w:sz="8" w:color="CCEEFF"/>
            </w:tcBorders>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1560" w:type="dxa"/>
            <w:vAlign w:val="bottom"/>
            <w:tcBorders>
              <w:right w:val="single" w:sz="8" w:color="CCEEFF"/>
            </w:tcBorders>
            <w:gridSpan w:val="4"/>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NM- not meaningful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During the fourth quarter of 2021, we launched our fronting business, known as PLMR-FRONT. In a fronting agreement, we write the premium and then cede the majority of the premium and risk in exchange for a fronting fee, which is our primary source of profit in the arrangement. We expect to continue to write fronting premiums for the foreseeable future. The volume of fronting premiums written each period may vary due to the timing of entering new fronting partnerships and terminations of fronting partnerships.</w:t>
      </w:r>
    </w:p>
    <w:p>
      <w:pPr>
        <w:spacing w:after="0" w:line="183"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2022, we ceased writing Specialty Homeowners business outside of Texas and converted our Texas Specialty Homeowners business to a fronting arrangement beginning June 1, 2022. These underwriting changes caused the decline in Specialty Homeowners premiums shown above.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3460" w:type="dxa"/>
            <w:vAlign w:val="bottom"/>
            <w:gridSpan w:val="10"/>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1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tcPr>
          <w:p>
            <w:pPr>
              <w:spacing w:after="0"/>
              <w:rPr>
                <w:sz w:val="15"/>
                <w:szCs w:val="15"/>
                <w:color w:val="auto"/>
              </w:rPr>
            </w:pPr>
          </w:p>
        </w:tc>
        <w:tc>
          <w:tcPr>
            <w:tcW w:w="50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4040" w:type="dxa"/>
            <w:vAlign w:val="bottom"/>
          </w:tcPr>
          <w:p>
            <w:pPr>
              <w:spacing w:after="0"/>
              <w:rPr>
                <w:sz w:val="5"/>
                <w:szCs w:val="5"/>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3"/>
            <w:vMerge w:val="continue"/>
          </w:tcPr>
          <w:p>
            <w:pPr>
              <w:spacing w:after="0"/>
              <w:rPr>
                <w:sz w:val="5"/>
                <w:szCs w:val="5"/>
                <w:color w:val="auto"/>
              </w:rPr>
            </w:pPr>
          </w:p>
        </w:tc>
        <w:tc>
          <w:tcPr>
            <w:tcW w:w="7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GWP</w:t>
            </w: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GWP</w:t>
            </w:r>
          </w:p>
        </w:tc>
        <w:tc>
          <w:tcPr>
            <w:tcW w:w="740" w:type="dxa"/>
            <w:vAlign w:val="bottom"/>
            <w:vMerge w:val="continue"/>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PSIC</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$ 136,814</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$ 110,875</w:t>
            </w:r>
          </w:p>
        </w:tc>
        <w:tc>
          <w:tcPr>
            <w:tcW w:w="120" w:type="dxa"/>
            <w:vAlign w:val="bottom"/>
            <w:tcBorders>
              <w:right w:val="single" w:sz="8" w:color="CCEEFF"/>
            </w:tcBorders>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PESIC</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116,314</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41,457</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180.6 %</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4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$ 253,128</w:t>
            </w:r>
          </w:p>
        </w:tc>
        <w:tc>
          <w:tcPr>
            <w:tcW w:w="120" w:type="dxa"/>
            <w:vAlign w:val="bottom"/>
            <w:vMerge w:val="restart"/>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$ 152,332</w:t>
            </w: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100,796</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0" w:type="dxa"/>
            <w:vAlign w:val="bottom"/>
          </w:tcPr>
          <w:p>
            <w:pPr>
              <w:spacing w:after="0"/>
              <w:rPr>
                <w:sz w:val="1"/>
                <w:szCs w:val="1"/>
                <w:color w:val="auto"/>
              </w:rPr>
            </w:pPr>
          </w:p>
        </w:tc>
      </w:tr>
      <w:tr>
        <w:trPr>
          <w:trHeight w:val="211"/>
        </w:trPr>
        <w:tc>
          <w:tcPr>
            <w:tcW w:w="4040" w:type="dxa"/>
            <w:vAlign w:val="bottom"/>
            <w:shd w:val="clear" w:color="auto" w:fill="CCEEFF"/>
          </w:tcPr>
          <w:p>
            <w:pPr>
              <w:spacing w:after="0"/>
              <w:rPr>
                <w:sz w:val="18"/>
                <w:szCs w:val="18"/>
                <w:color w:val="auto"/>
              </w:rPr>
            </w:pPr>
          </w:p>
        </w:tc>
        <w:tc>
          <w:tcPr>
            <w:tcW w:w="78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vMerge w:val="continue"/>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Ceded written premiums increased $103.9 million, or 178.8%, to $161.9 million for the three months ended September 30, 2022 from $58.1 million for the three months ended September 30, 2021. The increase was primarily due to increased premiums ceded under quota share and fronting agreements due to growth in the volume of written premiums subject to quota share or fronting agreements. In addition, we incurred increased excess of loss (“XOL”) reinsurance expense due to growth in exposure.</w:t>
      </w:r>
    </w:p>
    <w:p>
      <w:pPr>
        <w:spacing w:after="0" w:line="183"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2022, our XOL reinsurance expense was impacted by Hurricane Ian. Catastrophe losses from Ian caused us to utilize certain layers of our XOL program and incur approximately $1.3 million of expense associated with the acceleration of XOL expense and reinstatement of our reinsurance program. We expect to incur an additional $1.8 million of ceded premium to be recognized ratably from October 1, 2022 to May 31, 2023.</w:t>
      </w:r>
    </w:p>
    <w:p>
      <w:pPr>
        <w:spacing w:after="0" w:line="183"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Ceded written premiums as a percentage of gross written premiums increased to 64.0% for the three months ended September 30, 2022 from 38.1% for the three months ended September 30, 2021. This increase was primarily due to increased fronting and quota share cessions as previously described.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Net written premiums decreased $3.1 million, or 3.2%, to $91.2 million for the three months ended September 30, 2022 from $94.3 million for the three months ended September 30, 2021. The decrease was due to higher XOL expense due to growth in exposure and growth in lines of business subject to a quota share, such as Inland Marine, Casualty and Commercial Earthquake. In addition, ceding increased due to the conversion of our Texas Specialty Homeowners business to a fronting arrangement beginning June 1,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earned premiums increased $13.2 million, or 20.4%, to $77.9 million for the three months ended September 30, 2022 from $64.7 million for the three months ended September 30, 2021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74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vMerge w:val="restart"/>
          </w:tcPr>
          <w:p>
            <w:pPr>
              <w:spacing w:after="0"/>
              <w:rPr>
                <w:sz w:val="15"/>
                <w:szCs w:val="15"/>
                <w:color w:val="auto"/>
              </w:rPr>
            </w:pPr>
          </w:p>
        </w:tc>
        <w:tc>
          <w:tcPr>
            <w:tcW w:w="8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gridSpan w:val="4"/>
          </w:tcPr>
          <w:p>
            <w:pPr>
              <w:jc w:val="right"/>
              <w:ind w:right="535"/>
              <w:spacing w:after="0" w:line="12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earned premiums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186,938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$ 117,276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earned premiums</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(108,996)</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(52,556)</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(56,440)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107.4 %</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64,720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 ratio</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Commission and other income increased $0.3 million to $1.3 million for the three months ended September 30, 2022 from $1.0 million for the three months ended September 30, 2021. The balance increased due to an increase in policy related fees associated with an increased volume of premiums written.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Losses and loss adjustment expenses increased $2.4 million, or 8.5% to $30.9 million for the three months ended September 30, 2022 from $28.5 million for the three months ended September 30, 2021. Losses and loss adjustment expenses consisted of the following elements during the respective periods: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vMerge w:val="restart"/>
          </w:tcPr>
          <w:p>
            <w:pPr>
              <w:spacing w:after="0"/>
              <w:rPr>
                <w:sz w:val="15"/>
                <w:szCs w:val="15"/>
                <w:color w:val="auto"/>
              </w:rPr>
            </w:pPr>
          </w:p>
        </w:tc>
        <w:tc>
          <w:tcPr>
            <w:tcW w:w="88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Catastrophe losses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17,487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(4,987)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Non-catastrophe losses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10,988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losses and loss adjustment expenses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28,475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0" w:right="459" w:firstLine="693"/>
        <w:spacing w:after="0" w:line="282" w:lineRule="auto"/>
        <w:rPr>
          <w:sz w:val="20"/>
          <w:szCs w:val="20"/>
          <w:color w:val="auto"/>
        </w:rPr>
      </w:pPr>
      <w:r>
        <w:rPr>
          <w:rFonts w:ascii="Times New Roman" w:cs="Times New Roman" w:eastAsia="Times New Roman" w:hAnsi="Times New Roman"/>
          <w:sz w:val="18"/>
          <w:szCs w:val="18"/>
          <w:color w:val="auto"/>
        </w:rPr>
        <w:t>Our catastrophe loss ratio was 16.0% during the three months ended September 30, 2022. Catastrophe losses were related to losses from Hurricane Ian which primarily impacted our Commercial All Risk line of business.</w:t>
      </w:r>
    </w:p>
    <w:p>
      <w:pPr>
        <w:spacing w:after="0" w:line="162"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Our catastrophe loss ratio was 27.0% during the three months ended September 30, 2021. Catastrophe losses included losses from Hurricanes Ida and Nicholas which impacted our Commercial All Risk and Specialty Homeowners lines of business and a single loss from an excess liability indemnity policy covered by PESIC.</w:t>
      </w:r>
    </w:p>
    <w:p>
      <w:pPr>
        <w:spacing w:after="0" w:line="176"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Our non-catastrophe loss ratio was 23.6% for the three months ended September 30, 2022 compared to 17.0% during the three months ended September 30, 2021. Non-catastrophe losses increased due mainly to higher attritional losses on lines of business subject to attritional losses such as Commercial All Risk and Inland Marine.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Acquisition expenses increased $0.8 million, or 3.0%, to $27.2 million for the three months ended September 30, 2022 from $26.4 million for the three months ended September 30, 2021. The increase was primarily due to higher earned premiums which resulted in higher commissions and premium-related taxes. The higher commissions and premium-related taxes were partially offset by higher earned ceding commissions and fronting fees due to an increase in premiums subject to a quota share or fronting agreement. Acquisition expenses as a percentage of gross earned premiums were 14.6% for the three months ended September 30, 2022 compared to 22.5% for the three months ended September 30, 2021. Acquisition expenses as a percentage of gross earned premiums decreased due to the recognition of higher ceding commission and fronting fee income as a percentage of gross earned premiums resulting from changes in mix of business produced.</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Other underwriting expenses increased $4.5 million, or 35.3%, to $17.1 million for the three months ended September 30, 2022 from $12.6 million for the three months ended September 30, 2021. The increase was primarily due to the Company incurring higher payroll, technology, and stock-based compensation expenses associated with growth of the Company.</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9.2% for the three months ended September 30, 2022 compared to 10.8% for the three months ended September 30, 2021. Excluding the impact of expenses relating to transactions, stock-based compensation, and amortization of intangibles, other underwriting expenses as a percentage of gross earned premiums were 7.3% for the three months ended September 30, 2022 compared to 9.4% for the three months ended September 30, 2021. This percentage decreased due to an increase in earned premiums without a corresponding increase in operating expenses. Other underwriting expenses as a percentage of gross earned premiums may fluctuate period over period based on timing of certain expenses relative to premium growth.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229" w:lineRule="exact"/>
        <w:rPr>
          <w:sz w:val="20"/>
          <w:szCs w:val="20"/>
          <w:color w:val="auto"/>
        </w:rPr>
      </w:pPr>
    </w:p>
    <w:p>
      <w:pPr>
        <w:jc w:val="both"/>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Net investment income increased $1.5 million, or 67.4%, to $3.7 million for the three months ended September 30, 2022 from $2.2 million for the three months ended September 30, 2021. The increase was primarily due to a higher average balance of investments during the three months ended September 30, 2022 and higher yields on invested assets.</w:t>
      </w:r>
    </w:p>
    <w:p>
      <w:pPr>
        <w:spacing w:after="0" w:line="15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incurred $2.4 million of net realized and unrealized losses on investments for the three months ended September 30, 2022 compared to $0.3 million of net realized and unrealized losses for the three months ended September 30, 2021 due to higher unrealized losses on our equity securities during the period ended September 30, 2022.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6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vMerge w:val="restart"/>
          </w:tcPr>
          <w:p>
            <w:pPr>
              <w:spacing w:after="0"/>
              <w:rPr>
                <w:sz w:val="15"/>
                <w:szCs w:val="15"/>
                <w:color w:val="auto"/>
              </w:rPr>
            </w:pPr>
          </w:p>
        </w:tc>
        <w:tc>
          <w:tcPr>
            <w:tcW w:w="84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4"/>
          </w:tcPr>
          <w:p>
            <w:pPr>
              <w:jc w:val="right"/>
              <w:ind w:right="333"/>
              <w:spacing w:after="0" w:line="12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management fees and expenses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NM- not meaningful</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Income tax expense increased $1.0 million to $0.9 million of expense for the three months ended September 30, 2022 from a benefit of $0.1 million for the three months ended September 30, 2021 due to higher pre-tax income for the period ended September 30, 2022. During the three months ended September 30, 2022, our income tax rate of 17.5% was lower than the statutory rate of 21% due primarily to the tax impact of the permanent component of employee stock option exercises. During the three months ended September 30, 2021, our income tax rate of negative 101.6% differed from the statutory rate of 21% due primarily to the tax impact of the permanent component of employee stock option exercises. The tax rate was also impacted by the Company’s pre-tax income being close to break-even.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nine months ended September 30, 2021</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for the nine months ended September 30, 2022 and 2021:</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7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vMerge w:val="restart"/>
          </w:tcPr>
          <w:p>
            <w:pPr>
              <w:spacing w:after="0"/>
              <w:rPr>
                <w:sz w:val="15"/>
                <w:szCs w:val="15"/>
                <w:color w:val="auto"/>
              </w:rPr>
            </w:pPr>
          </w:p>
        </w:tc>
        <w:tc>
          <w:tcPr>
            <w:tcW w:w="8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vMerge w:val="continue"/>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 except</w:t>
            </w:r>
          </w:p>
        </w:tc>
        <w:tc>
          <w:tcPr>
            <w:tcW w:w="8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2"/>
              </w:rPr>
              <w:t>per share data)</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642,751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257,484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120" w:type="dxa"/>
            <w:vAlign w:val="bottom"/>
          </w:tcPr>
          <w:p>
            <w:pPr>
              <w:spacing w:after="0"/>
              <w:rPr>
                <w:sz w:val="18"/>
                <w:szCs w:val="18"/>
                <w:color w:val="auto"/>
              </w:rPr>
            </w:pP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(374,109)</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(153,005)</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(221,104)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144.5 %</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written premiums</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234,239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10"/>
        </w:trPr>
        <w:tc>
          <w:tcPr>
            <w:tcW w:w="4880" w:type="dxa"/>
            <w:vAlign w:val="bottom"/>
          </w:tcPr>
          <w:p>
            <w:pPr>
              <w:ind w:left="220"/>
              <w:spacing w:after="0" w:line="210" w:lineRule="exact"/>
              <w:rPr>
                <w:sz w:val="20"/>
                <w:szCs w:val="20"/>
                <w:color w:val="auto"/>
              </w:rPr>
            </w:pPr>
            <w:r>
              <w:rPr>
                <w:rFonts w:ascii="Times New Roman" w:cs="Times New Roman" w:eastAsia="Times New Roman" w:hAnsi="Times New Roman"/>
                <w:sz w:val="17"/>
                <w:szCs w:val="17"/>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237,368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92.6 %</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expenses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39,438</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210"/>
        </w:trPr>
        <w:tc>
          <w:tcPr>
            <w:tcW w:w="4880" w:type="dxa"/>
            <w:vAlign w:val="bottom"/>
          </w:tcPr>
          <w:p>
            <w:pPr>
              <w:ind w:left="220"/>
              <w:spacing w:after="0" w:line="210" w:lineRule="exact"/>
              <w:rPr>
                <w:sz w:val="20"/>
                <w:szCs w:val="20"/>
                <w:color w:val="auto"/>
              </w:rPr>
            </w:pPr>
            <w:r>
              <w:rPr>
                <w:rFonts w:ascii="Times New Roman" w:cs="Times New Roman" w:eastAsia="Times New Roman" w:hAnsi="Times New Roman"/>
                <w:sz w:val="17"/>
                <w:szCs w:val="17"/>
                <w:color w:val="auto"/>
              </w:rPr>
              <w:t xml:space="preserve">Underwriting income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(8,369)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(7,617)</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42,574</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35,744</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0" w:type="dxa"/>
            <w:vAlign w:val="bottom"/>
          </w:tcPr>
          <w:p>
            <w:pPr>
              <w:spacing w:after="0"/>
              <w:rPr>
                <w:sz w:val="1"/>
                <w:szCs w:val="1"/>
                <w:color w:val="auto"/>
              </w:rPr>
            </w:pPr>
          </w:p>
        </w:tc>
      </w:tr>
      <w:tr>
        <w:trPr>
          <w:trHeight w:val="249"/>
        </w:trPr>
        <w:tc>
          <w:tcPr>
            <w:tcW w:w="4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33,411</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29,215</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197"/>
        </w:trPr>
        <w:tc>
          <w:tcPr>
            <w:tcW w:w="4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153.9 %</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associated with catastrophe bond, net of rebate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impact</w:t>
            </w:r>
          </w:p>
        </w:tc>
        <w:tc>
          <w:tcPr>
            <w:tcW w:w="120" w:type="dxa"/>
            <w:vAlign w:val="bottom"/>
          </w:tcPr>
          <w:p>
            <w:pPr>
              <w:spacing w:after="0"/>
              <w:rPr>
                <w:sz w:val="18"/>
                <w:szCs w:val="18"/>
                <w:color w:val="auto"/>
              </w:rPr>
            </w:pP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bottom w:val="single" w:sz="8" w:color="CCEEFF"/>
            </w:tcBorders>
            <w:shd w:val="clear" w:color="auto" w:fill="CCEEFF"/>
          </w:tcPr>
          <w:p>
            <w:pPr>
              <w:ind w:left="220"/>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Key Financial and Operating Metrics</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11.7 %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Annualized adjusted return on equity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15.3 %</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25.7 %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2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56.4 %</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82.1 %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Adjusted combined ratio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77.1 %</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78.3 %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Diluted adjusted earnings per share </w:t>
            </w:r>
            <w:r>
              <w:rPr>
                <w:rFonts w:ascii="Times New Roman" w:cs="Times New Roman" w:eastAsia="Times New Roman" w:hAnsi="Times New Roman"/>
                <w:sz w:val="25"/>
                <w:szCs w:val="2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Catastrophe losses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Catastrophe loss ratio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Adjusted combined ratio excluding catastrophe losses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71.4 %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74.2 %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Adjusted underwriting income </w:t>
            </w:r>
            <w:r>
              <w:rPr>
                <w:rFonts w:ascii="Times New Roman" w:cs="Times New Roman" w:eastAsia="Times New Roman" w:hAnsi="Times New Roman"/>
                <w:sz w:val="25"/>
                <w:szCs w:val="25"/>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53,576</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36,030</w:t>
            </w:r>
          </w:p>
        </w:tc>
        <w:tc>
          <w:tcPr>
            <w:tcW w:w="2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NM- not meaningful</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20" w:right="9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Non-GAAP Financial Measures” for a reconciliation of the non-GAAP financial measures to their most directly comparable financial measures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Gross written premiums increased $257.5 million, or 66.8% to $642.8 million for the nine months ended September 30, 2022 compared to $385.3 million for the nine months ended September 30, 2021.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 The following table summarizes our gross written premiums by line of business and shows each line’s percentage of total gross written premiums for each period: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3440" w:type="dxa"/>
            <w:vAlign w:val="bottom"/>
            <w:gridSpan w:val="10"/>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160" w:type="dxa"/>
            <w:vAlign w:val="bottom"/>
            <w:tcBorders>
              <w:top w:val="single" w:sz="8" w:color="auto"/>
              <w:bottom w:val="single" w:sz="8" w:color="auto"/>
            </w:tcBorders>
          </w:tcPr>
          <w:p>
            <w:pPr>
              <w:spacing w:after="0"/>
              <w:rPr>
                <w:sz w:val="12"/>
                <w:szCs w:val="12"/>
                <w:color w:val="auto"/>
              </w:rPr>
            </w:pPr>
          </w:p>
        </w:tc>
        <w:tc>
          <w:tcPr>
            <w:tcW w:w="1620" w:type="dxa"/>
            <w:vAlign w:val="bottom"/>
            <w:tcBorders>
              <w:top w:val="single" w:sz="8" w:color="auto"/>
              <w:bottom w:val="single" w:sz="8" w:color="auto"/>
            </w:tcBorders>
            <w:gridSpan w:val="4"/>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of</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4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GWP</w:t>
            </w:r>
          </w:p>
        </w:tc>
        <w:tc>
          <w:tcPr>
            <w:tcW w:w="260" w:type="dxa"/>
            <w:vAlign w:val="bottom"/>
          </w:tcPr>
          <w:p>
            <w:pPr>
              <w:spacing w:after="0"/>
              <w:rPr>
                <w:sz w:val="20"/>
                <w:szCs w:val="20"/>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GWP</w:t>
            </w: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Earthquake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$ 159,995</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24.9 %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$ 128,165</w:t>
            </w:r>
          </w:p>
        </w:tc>
        <w:tc>
          <w:tcPr>
            <w:tcW w:w="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31,830</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Fronting Premiums</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154,232</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24.0 %</w:t>
            </w:r>
          </w:p>
        </w:tc>
        <w:tc>
          <w:tcPr>
            <w:tcW w:w="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154,232</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Earthquake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90,894</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66,052</w:t>
            </w: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Inland Marine</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72,214</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39,047</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33,167</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84.9 %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All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41,647</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30,032</w:t>
            </w: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Specialty Homeowners</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53,018</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(22,936) (43.3)%</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Casualty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366.9 %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Hawaii Hurricane</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24,579</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Flood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24.7 %</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80" w:type="dxa"/>
            <w:vAlign w:val="bottom"/>
            <w:vMerge w:val="continue"/>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$ 642,751</w:t>
            </w:r>
          </w:p>
        </w:tc>
        <w:tc>
          <w:tcPr>
            <w:tcW w:w="120" w:type="dxa"/>
            <w:vAlign w:val="bottom"/>
            <w:vMerge w:val="restart"/>
          </w:tcPr>
          <w:p>
            <w:pPr>
              <w:spacing w:after="0"/>
              <w:rPr>
                <w:sz w:val="18"/>
                <w:szCs w:val="18"/>
                <w:color w:val="auto"/>
              </w:rPr>
            </w:pP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$ 385,267</w:t>
            </w:r>
          </w:p>
        </w:tc>
        <w:tc>
          <w:tcPr>
            <w:tcW w:w="60" w:type="dxa"/>
            <w:vAlign w:val="bottom"/>
          </w:tcPr>
          <w:p>
            <w:pPr>
              <w:spacing w:after="0"/>
              <w:rPr>
                <w:sz w:val="18"/>
                <w:szCs w:val="18"/>
                <w:color w:val="auto"/>
              </w:rPr>
            </w:pPr>
          </w:p>
        </w:tc>
        <w:tc>
          <w:tcPr>
            <w:tcW w:w="7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257,484</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66.8 %</w:t>
            </w:r>
          </w:p>
        </w:tc>
        <w:tc>
          <w:tcPr>
            <w:tcW w:w="0" w:type="dxa"/>
            <w:vAlign w:val="bottom"/>
          </w:tcPr>
          <w:p>
            <w:pPr>
              <w:spacing w:after="0"/>
              <w:rPr>
                <w:sz w:val="1"/>
                <w:szCs w:val="1"/>
                <w:color w:val="auto"/>
              </w:rPr>
            </w:pPr>
          </w:p>
        </w:tc>
      </w:tr>
      <w:tr>
        <w:trPr>
          <w:trHeight w:val="251"/>
        </w:trPr>
        <w:tc>
          <w:tcPr>
            <w:tcW w:w="408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3"/>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NM- not meaningful</w:t>
            </w: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During the fourth quarter of 2021, we launched our fronting business, known as PLMR-FRONT. In a fronting agreement, we write the premium and then cede the majority of the premium and risk in exchange for a fronting fee, which is our primary source of profit in the arrangement. We expect to continue to write fronting premiums for the foreseeable future. The volume of fronting premiums written each period may vary due to the timing of entering new fronting partnerships and terminations of fronting partnerships.</w:t>
      </w:r>
    </w:p>
    <w:p>
      <w:pPr>
        <w:spacing w:after="0" w:line="183"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2022, we ceased writing Specialty Homeowners business outside of Texas and converted our Texas Specialty Homeowners business to a fronting arrangement beginning June 1, 2022. These underwriting changes caused the decline in Specialty Homeowners premiums shown above.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7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of</w:t>
            </w:r>
          </w:p>
        </w:tc>
        <w:tc>
          <w:tcPr>
            <w:tcW w:w="740" w:type="dxa"/>
            <w:vAlign w:val="bottom"/>
          </w:tcPr>
          <w:p>
            <w:pPr>
              <w:spacing w:after="0"/>
              <w:rPr>
                <w:sz w:val="15"/>
                <w:szCs w:val="15"/>
                <w:color w:val="auto"/>
              </w:rPr>
            </w:pPr>
          </w:p>
        </w:tc>
        <w:tc>
          <w:tcPr>
            <w:tcW w:w="50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4040" w:type="dxa"/>
            <w:vAlign w:val="bottom"/>
          </w:tcPr>
          <w:p>
            <w:pPr>
              <w:spacing w:after="0"/>
              <w:rPr>
                <w:sz w:val="5"/>
                <w:szCs w:val="5"/>
                <w:color w:val="auto"/>
              </w:rPr>
            </w:pPr>
          </w:p>
        </w:tc>
        <w:tc>
          <w:tcPr>
            <w:tcW w:w="78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3"/>
            <w:vMerge w:val="continue"/>
          </w:tcPr>
          <w:p>
            <w:pPr>
              <w:spacing w:after="0"/>
              <w:rPr>
                <w:sz w:val="5"/>
                <w:szCs w:val="5"/>
                <w:color w:val="auto"/>
              </w:rPr>
            </w:pPr>
          </w:p>
        </w:tc>
        <w:tc>
          <w:tcPr>
            <w:tcW w:w="74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GWP</w:t>
            </w: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GWP</w:t>
            </w:r>
          </w:p>
        </w:tc>
        <w:tc>
          <w:tcPr>
            <w:tcW w:w="740" w:type="dxa"/>
            <w:vAlign w:val="bottom"/>
            <w:vMerge w:val="continue"/>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PSIC</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$ 357,156</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55.6 %</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$ 285,991</w:t>
            </w:r>
          </w:p>
        </w:tc>
        <w:tc>
          <w:tcPr>
            <w:tcW w:w="120" w:type="dxa"/>
            <w:vAlign w:val="bottom"/>
            <w:tcBorders>
              <w:right w:val="single" w:sz="8" w:color="CCEEFF"/>
            </w:tcBorders>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0" w:type="dxa"/>
            <w:vAlign w:val="bottom"/>
          </w:tcPr>
          <w:p>
            <w:pPr>
              <w:spacing w:after="0"/>
              <w:rPr>
                <w:sz w:val="1"/>
                <w:szCs w:val="1"/>
                <w:color w:val="auto"/>
              </w:rPr>
            </w:pPr>
          </w:p>
        </w:tc>
      </w:tr>
      <w:tr>
        <w:trPr>
          <w:trHeight w:val="216"/>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PESIC</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285,595</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99,276</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186,319</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187.7 %</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4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$ 642,751</w:t>
            </w:r>
          </w:p>
        </w:tc>
        <w:tc>
          <w:tcPr>
            <w:tcW w:w="120" w:type="dxa"/>
            <w:vAlign w:val="bottom"/>
            <w:vMerge w:val="restart"/>
            <w:shd w:val="clear" w:color="auto" w:fill="CCEEFF"/>
          </w:tcPr>
          <w:p>
            <w:pPr>
              <w:spacing w:after="0"/>
              <w:rPr>
                <w:sz w:val="18"/>
                <w:szCs w:val="18"/>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$ 385,267</w:t>
            </w: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257,484</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0" w:type="dxa"/>
            <w:vAlign w:val="bottom"/>
          </w:tcPr>
          <w:p>
            <w:pPr>
              <w:spacing w:after="0"/>
              <w:rPr>
                <w:sz w:val="1"/>
                <w:szCs w:val="1"/>
                <w:color w:val="auto"/>
              </w:rPr>
            </w:pPr>
          </w:p>
        </w:tc>
      </w:tr>
      <w:tr>
        <w:trPr>
          <w:trHeight w:val="211"/>
        </w:trPr>
        <w:tc>
          <w:tcPr>
            <w:tcW w:w="4040" w:type="dxa"/>
            <w:vAlign w:val="bottom"/>
            <w:shd w:val="clear" w:color="auto" w:fill="CCEEFF"/>
          </w:tcPr>
          <w:p>
            <w:pPr>
              <w:spacing w:after="0"/>
              <w:rPr>
                <w:sz w:val="18"/>
                <w:szCs w:val="18"/>
                <w:color w:val="auto"/>
              </w:rPr>
            </w:pPr>
          </w:p>
        </w:tc>
        <w:tc>
          <w:tcPr>
            <w:tcW w:w="78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vMerge w:val="continue"/>
            <w:shd w:val="clear" w:color="auto" w:fill="CCEEFF"/>
          </w:tcPr>
          <w:p>
            <w:pPr>
              <w:spacing w:after="0"/>
              <w:rPr>
                <w:sz w:val="18"/>
                <w:szCs w:val="18"/>
                <w:color w:val="auto"/>
              </w:rPr>
            </w:pPr>
          </w:p>
        </w:tc>
        <w:tc>
          <w:tcPr>
            <w:tcW w:w="740" w:type="dxa"/>
            <w:vAlign w:val="bottom"/>
            <w:tcBorders>
              <w:right w:val="single" w:sz="8" w:color="CCEEFF"/>
            </w:tcBorders>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Ceded written premiums increased $221.1 million, or 144.5%, to $374.1 million for the nine months ended September 30, 2022 from $153.0 million for the nine months ended September 30, 2021. The increase was primarily due to increased premiums ceded under quota share and fronting agreements due to growth in the volume of written premiums subject to quota share or fronting agreements. In addition, we incurred increased excess of loss (“XOL”) reinsurance expense due to growth in exposure.</w:t>
      </w:r>
    </w:p>
    <w:p>
      <w:pPr>
        <w:spacing w:after="0" w:line="183"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our XOL reinsurance expense was impacted by Hurricane Ian. Catastrophe losses from Ian caused us to utilize certain layers of our XOL program and incur approximately $1.3 million of expense associated with the reinstatement of our reinsurance program. We expect to incur an additional $1.8 million of ceded premium to be recognized ratably from October 1, 2022 to May 31, 2023.</w:t>
      </w:r>
    </w:p>
    <w:p>
      <w:pPr>
        <w:spacing w:after="0" w:line="18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2021, our XOL reinsurance expense was impacted by Winter Storm Uri (“Uri”). Catastrophe losses from Uri caused us to utilize certain layers of our XOL program causing us to incur approximately $7.9 million of expense associated with the reinstatement of our reinsurance program.</w:t>
      </w:r>
    </w:p>
    <w:p>
      <w:pPr>
        <w:spacing w:after="0" w:line="176"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Ceded written premiums as a percentage of gross written premiums increased to 58.2% for the nine months ended September 30, 2022 from 39.7% for the nine months ended September 30, 2021. This increase was primarily due to increased quota share and fronting cessions as previously described.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Net written premiums increased $36.4 million, or 15.7%, to $268.6 million for the nine months ended September 30, 2022 from $232.3 million for the nine months ended September 30, 2021. The increase was primarily due to an increase in gross written premiums, primarily in our Residential Earthquake and Inland Marine lines partially offset by increased ceded written premiums.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Net earned premiums increased $68.3 million, or 41.1%, to $234.2 million for the nine months ended September 30, 2022 from $166.0 million for the nine months ended September 30, 2021 due primarily to the earning of increased gross written premiums offset by the earning of ceded written premiums under reinsurance agreements. The table below shows the amount of premiums we earned on a gross and net basis and net earned premiums as a percentage of gross earned premiums in each period presented.</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earned premiums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Ceded earned premiums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earned premiums</w:t>
      </w: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earned premium ratio</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Commission and Other Income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6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2"/>
                <w:szCs w:val="12"/>
                <w:color w:val="auto"/>
              </w:rPr>
            </w:pPr>
          </w:p>
        </w:tc>
        <w:tc>
          <w:tcPr>
            <w:tcW w:w="86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r>
      <w:tr>
        <w:trPr>
          <w:trHeight w:val="110"/>
        </w:trPr>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40" w:type="dxa"/>
            <w:vAlign w:val="bottom"/>
            <w:gridSpan w:val="4"/>
          </w:tcPr>
          <w:p>
            <w:pPr>
              <w:jc w:val="right"/>
              <w:ind w:right="575"/>
              <w:spacing w:after="0" w:line="110" w:lineRule="exact"/>
              <w:rPr>
                <w:sz w:val="20"/>
                <w:szCs w:val="20"/>
                <w:color w:val="auto"/>
              </w:rPr>
            </w:pPr>
            <w:r>
              <w:rPr>
                <w:rFonts w:ascii="Times New Roman" w:cs="Times New Roman" w:eastAsia="Times New Roman" w:hAnsi="Times New Roman"/>
                <w:sz w:val="12"/>
                <w:szCs w:val="12"/>
                <w:b w:val="1"/>
                <w:bCs w:val="1"/>
                <w:color w:val="auto"/>
              </w:rPr>
              <w:t>($ in thousands)</w:t>
            </w: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16"/>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484,005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311,088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172,917</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55.6 %</w:t>
            </w:r>
          </w:p>
        </w:tc>
      </w:tr>
      <w:tr>
        <w:trPr>
          <w:trHeight w:val="234"/>
        </w:trPr>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(249,766)</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(145,100)</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(104,666)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72.1 %</w:t>
            </w:r>
          </w:p>
        </w:tc>
      </w:tr>
      <w:tr>
        <w:trPr>
          <w:trHeight w:val="210"/>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234,239</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165,988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68,251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41.1 %</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67"/>
        </w:trPr>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-753745</wp:posOffset>
            </wp:positionV>
            <wp:extent cx="564896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-479425</wp:posOffset>
            </wp:positionV>
            <wp:extent cx="564896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-153670</wp:posOffset>
            </wp:positionV>
            <wp:extent cx="564896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3960" w:space="720"/>
            <w:col w:w="4339"/>
          </w:cols>
          <w:pgMar w:left="1440" w:top="1265" w:right="1440" w:bottom="1440" w:gutter="0" w:footer="0" w:header="0"/>
          <w:type w:val="continuous"/>
        </w:sectPr>
      </w:pPr>
    </w:p>
    <w:p>
      <w:pPr>
        <w:spacing w:after="0" w:line="41"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Commission and other income increased by $0.4 million, or 14.4%, to $3.1 million for the nine months ended September 30, 2022, from $2.7 million for the nine months ended September 30, 2021. This was due to an increase in policy related fees associated with an increased volume of premiums written.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Losses and loss adjustment expenses increased $29.0 million, or 92.6%, to $60.3 million for the nine months ended September 30, 2022 from $31.3 million for the nine months ended September 30, 2021. Losses and loss adjustment expenses consisted of the following elements during the respective periods: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5"/>
                <w:szCs w:val="15"/>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4"/>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Catastrophe losses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13,529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101.4 %</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Non-catastrophe losses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46,722</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24,569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22,153</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losses and loss adjustment expenses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60,251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31,288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Our catastrophe loss ratio was 5.8% during the nine months ended September 30, 2022. Catastrophe losses were primarily related to losses from Hurricane Ian which primarily impacted our Commercial All Risk line of business.</w:t>
      </w:r>
    </w:p>
    <w:p>
      <w:pPr>
        <w:spacing w:after="0" w:line="16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Our catastrophe loss ratio was 4.0% during the nine months ended September 30, 2021. Catastrophe losses included losses from Hurricanes Ida and Nicholas and Winter Storm Uri. These events impacted our Commercial All Risk and Specialty Homeowners lines of business. We also incurred a single loss from an excess liability indemnity policy covered by PESIC. These losses were partially offset by favorable development on catastrophe losses from 2020 Hurricanes and reinsurance recoveries.</w:t>
      </w:r>
    </w:p>
    <w:p>
      <w:pPr>
        <w:spacing w:after="0" w:line="183"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Our non-catastrophe loss ratio was 19.9% for the nine months ended September 30, 2022 compared to 14.8% during the nine months ended September 30, 2021. Non-catastrophe losses increased due mainly to higher attritional losses on lines of business subject to attritional losses such as Commercial All Risk and Inland Marine.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Acquisition expenses increased $15.8 million, or 23.2%, to $83.9 million for the nine months ended September 30, 2022 from $68.1 million for the nine months ended September 30, 2021. The increase was primarily due to higher earned premiums which resulted in higher commissions and premium-related taxes. The higher commissions and premium-related taxes were partially offset by higher earned ceding commissions and fronting fees due to an increase in premiums subject to a quota share or fronting agreement. Acquisition expenses as a percentage of gross earned premiums were 17.3% for the nine months ended September 30, 2022 compared to 21.9% for the nine months ended September 30, 2021. Acquisition expenses as a percentage of gross earned premiums decreased due to the recognition of higher ceding commission and fronting fee income as a percentage of gross earned premiums due to changes in mix of business produced.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Other underwriting expenses increased $11.8 million, or 29.9%, to $51.2 million for the nine months ended September 30, 2022 from $39.4 million for the nine months ended September 30, 2021. The increase was primarily due to the Company incurring higher payroll, technology, and stock-based compensation expenses associated with growth of the Company.</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10.6% for the nine months ended September 30, 2022 compared to 12.7% for the nine months ended September 30, 2021. Excluding the impact of expenses relating to transactions, stock-based compensation, amortization of intangibles, and catastrophe bonds, other underwriting expenses as a percentage of gross earned premiums were 8.2% for the nine months ended September 30, 2022 compared to 10.7% for the nine months ended September 30, 2021. This percentage decreased due to an increase in earned premiums without a corresponding increase in operating expenses. Other underwriting expenses as a percentage of gross earned premiums may fluctuate period over period based on timing of certain expenses relative to premium growth.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229"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Net investment income increased $2.8 million, or 42.3%, to $9.5 million for the nine months ended September 30, 2022 from $6.6 million for the nine months ended September 30, 2021. The increase was primarily due to a higher average balance of investments during the nine months ended September 30, 2022 and higher yields on invested assets.</w:t>
      </w:r>
    </w:p>
    <w:p>
      <w:pPr>
        <w:spacing w:after="0" w:line="176"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Company incurred $8.4 million of net realized and unrealized losses on investments for the nine months ended September 30, 2022 compared to $0.8 million of net realized and unrealized losses for the nine months ended September 30, 2021 due to higher unrealized losses on our equity securities during the period ended September 30, 2022.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6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right"/>
              <w:ind w:right="333"/>
              <w:spacing w:after="0" w:line="12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income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98.5 %</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management fees and expenses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20" w:type="dxa"/>
            <w:vAlign w:val="bottom"/>
            <w:tcBorders>
              <w:bottom w:val="single" w:sz="8" w:color="auto"/>
            </w:tcBorders>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increased $2.6 million or 40.3% to $9.2 million for the nine months ended September 30, 2022 from $6.5 million for the nine months ended September 30, 2021 due to higher pre-tax income and a higher effective tax rate during the nine months ended September 30, 2022. During the nine months ended September 30, 2022, our income tax rate of 21.5% was higher than the statutory rate of 21% due primarily to non-deductible executive compensation expense. During the nine months ended September 30, 2021, our income tax rate of 18.3% was lower than the statutory rate of 21% due primarily to the tax impact of the permanent component of employee stock option exercises.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Financial Measures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Underwriting Revenue</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35" w:name="page36"/>
    <w:bookmarkEnd w:id="35"/>
    <w:p>
      <w:pPr>
        <w:ind w:left="700"/>
        <w:spacing w:after="0"/>
        <w:rPr>
          <w:sz w:val="20"/>
          <w:szCs w:val="20"/>
          <w:color w:val="auto"/>
        </w:rPr>
      </w:pPr>
      <w:r>
        <w:rPr>
          <w:rFonts w:ascii="Times New Roman" w:cs="Times New Roman" w:eastAsia="Times New Roman" w:hAnsi="Times New Roman"/>
          <w:sz w:val="18"/>
          <w:szCs w:val="18"/>
          <w:color w:val="auto"/>
        </w:rPr>
        <w:t>Total revenue calculated in accordance with GAAP reconciles to underwriting revenue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7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480" w:type="dxa"/>
            <w:vAlign w:val="bottom"/>
          </w:tcPr>
          <w:p>
            <w:pPr>
              <w:spacing w:after="0"/>
              <w:rPr>
                <w:sz w:val="15"/>
                <w:szCs w:val="15"/>
                <w:color w:val="auto"/>
              </w:rPr>
            </w:pPr>
          </w:p>
        </w:tc>
        <w:tc>
          <w:tcPr>
            <w:tcW w:w="17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4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9"/>
        </w:trPr>
        <w:tc>
          <w:tcPr>
            <w:tcW w:w="5480" w:type="dxa"/>
            <w:vAlign w:val="bottom"/>
          </w:tcPr>
          <w:p>
            <w:pPr>
              <w:spacing w:after="0"/>
              <w:rPr>
                <w:sz w:val="11"/>
                <w:szCs w:val="11"/>
                <w:color w:val="auto"/>
              </w:rPr>
            </w:pPr>
          </w:p>
        </w:tc>
        <w:tc>
          <w:tcPr>
            <w:tcW w:w="152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170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$ 80,692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$ 67,661</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$ 238,461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$ 174,620</w:t>
            </w: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(3,744)</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(2,236)</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(9,462)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1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revenue</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$ 79,304</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$ 65,738</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$ 237,368</w:t>
            </w: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$ 168,723</w:t>
            </w:r>
          </w:p>
        </w:tc>
      </w:tr>
      <w:tr>
        <w:trPr>
          <w:trHeight w:val="20"/>
        </w:trPr>
        <w:tc>
          <w:tcPr>
            <w:tcW w:w="5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Underwriting Income and adjusted underwriting income</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define underwriting income as income before income taxes excluding net investment income, net realized and unrealized gains and losses on investments, and interest expense. Underwriting income represents the pre-tax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pre-tax income calculated in accordance with GAAP, and other companies may define underwriting income differently.</w:t>
      </w:r>
    </w:p>
    <w:p>
      <w:pPr>
        <w:spacing w:after="0" w:line="187"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pre-tax income calculated in accordance with GAAP. Other companies may define adjusted underwriting income differently.</w:t>
      </w:r>
    </w:p>
    <w:p>
      <w:pPr>
        <w:spacing w:after="0" w:line="183"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Income before income taxes calculated in accordance with GAAP reconciles to underwriting income and adjusted underwriting income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8"/>
        </w:trPr>
        <w:tc>
          <w:tcPr>
            <w:tcW w:w="4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4"/>
          </w:tcPr>
          <w:p>
            <w:pPr>
              <w:jc w:val="center"/>
              <w:ind w:right="3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158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$ 42,574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$ 35,744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income</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$ 41,956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$ 29,847</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catastrophe bond, net of rebate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0" w:type="dxa"/>
            <w:vAlign w:val="bottom"/>
          </w:tcPr>
          <w:p>
            <w:pPr>
              <w:spacing w:after="0"/>
              <w:rPr>
                <w:sz w:val="1"/>
                <w:szCs w:val="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Adjusted underwriting income</w:t>
            </w:r>
          </w:p>
        </w:tc>
        <w:tc>
          <w:tcPr>
            <w:tcW w:w="7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$ 53,576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$ 36,030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6" w:name="page37"/>
    <w:bookmarkEnd w:id="36"/>
    <w:p>
      <w:pPr>
        <w:ind w:left="700"/>
        <w:spacing w:after="0"/>
        <w:rPr>
          <w:sz w:val="20"/>
          <w:szCs w:val="20"/>
          <w:color w:val="auto"/>
        </w:rPr>
      </w:pPr>
      <w:r>
        <w:rPr>
          <w:rFonts w:ascii="Times New Roman" w:cs="Times New Roman" w:eastAsia="Times New Roman" w:hAnsi="Times New Roman"/>
          <w:sz w:val="18"/>
          <w:szCs w:val="18"/>
          <w:color w:val="auto"/>
        </w:rPr>
        <w:t>Net income calculated in accordance with GAAP reconciles to adjusted net income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9"/>
        </w:trPr>
        <w:tc>
          <w:tcPr>
            <w:tcW w:w="4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4"/>
          </w:tcPr>
          <w:p>
            <w:pPr>
              <w:jc w:val="center"/>
              <w:ind w:right="5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1"/>
                <w:szCs w:val="11"/>
                <w:color w:val="auto"/>
              </w:rPr>
            </w:pPr>
          </w:p>
        </w:tc>
        <w:tc>
          <w:tcPr>
            <w:tcW w:w="158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$ 33,411</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$ 29,215</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3,370</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catastrophe bond, net of rebate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0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7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$ 43,636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$ 34,242</w:t>
            </w:r>
          </w:p>
        </w:tc>
      </w:tr>
      <w:tr>
        <w:trPr>
          <w:trHeight w:val="20"/>
        </w:trPr>
        <w:tc>
          <w:tcPr>
            <w:tcW w:w="4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Annualized Adjusted Return on Equity</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define annualized adjusted return on equity as adjusted net income expressed on an annualized basis as</w:t>
      </w:r>
    </w:p>
    <w:p>
      <w:pPr>
        <w:spacing w:after="0" w:line="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Annualized adjusted return on equity is calculated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6"/>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0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6"/>
          </w:tcPr>
          <w:p>
            <w:pPr>
              <w:jc w:val="center"/>
              <w:ind w:right="3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20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5"/>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6"/>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3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adjusted net income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  58,181</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Average stockholders' equity</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372,955</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377,260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w w:val="97"/>
              </w:rPr>
              <w:t>$ 381,007</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370,745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Annualized adjusted return on equity</w:t>
            </w:r>
          </w:p>
        </w:tc>
        <w:tc>
          <w:tcPr>
            <w:tcW w:w="10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7" w:name="page38"/>
    <w:bookmarkEnd w:id="37"/>
    <w:p>
      <w:pPr>
        <w:ind w:left="700"/>
        <w:spacing w:after="0"/>
        <w:rPr>
          <w:sz w:val="20"/>
          <w:szCs w:val="20"/>
          <w:color w:val="auto"/>
        </w:rPr>
      </w:pPr>
      <w:r>
        <w:rPr>
          <w:rFonts w:ascii="Times New Roman" w:cs="Times New Roman" w:eastAsia="Times New Roman" w:hAnsi="Times New Roman"/>
          <w:sz w:val="18"/>
          <w:szCs w:val="18"/>
          <w:color w:val="auto"/>
        </w:rPr>
        <w:t>Adjusted combined ratio is calculated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5"/>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6"/>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5"/>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9"/>
                <w:szCs w:val="19"/>
                <w:color w:val="auto"/>
              </w:rPr>
            </w:pPr>
          </w:p>
        </w:tc>
        <w:tc>
          <w:tcPr>
            <w:tcW w:w="1960" w:type="dxa"/>
            <w:vAlign w:val="bottom"/>
            <w:gridSpan w:val="5"/>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7"/>
        </w:trPr>
        <w:tc>
          <w:tcPr>
            <w:tcW w:w="49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bottom w:val="single" w:sz="8" w:color="auto"/>
            </w:tcBorders>
          </w:tcPr>
          <w:p>
            <w:pPr>
              <w:spacing w:after="0"/>
              <w:rPr>
                <w:sz w:val="20"/>
                <w:szCs w:val="20"/>
                <w:color w:val="auto"/>
              </w:rPr>
            </w:pPr>
          </w:p>
        </w:tc>
      </w:tr>
      <w:tr>
        <w:trPr>
          <w:trHeight w:val="223"/>
        </w:trPr>
        <w:tc>
          <w:tcPr>
            <w:tcW w:w="4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5"/>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9"/>
                <w:szCs w:val="19"/>
                <w:color w:val="auto"/>
              </w:rPr>
            </w:pPr>
          </w:p>
        </w:tc>
        <w:tc>
          <w:tcPr>
            <w:tcW w:w="19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198"/>
        </w:trPr>
        <w:tc>
          <w:tcPr>
            <w:tcW w:w="49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and other underwriting expenses, net of commission and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4"/>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$ 73,862</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66,521</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192,283</w:t>
            </w: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136,141</w:t>
            </w:r>
          </w:p>
        </w:tc>
        <w:tc>
          <w:tcPr>
            <w:tcW w:w="260" w:type="dxa"/>
            <w:vAlign w:val="bottom"/>
            <w:shd w:val="clear" w:color="auto" w:fill="CCEEFF"/>
          </w:tcPr>
          <w:p>
            <w:pPr>
              <w:spacing w:after="0"/>
              <w:rPr>
                <w:sz w:val="20"/>
                <w:szCs w:val="20"/>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$ 77,942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234,239</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165,988</w:t>
            </w:r>
          </w:p>
        </w:tc>
        <w:tc>
          <w:tcPr>
            <w:tcW w:w="260" w:type="dxa"/>
            <w:vAlign w:val="bottom"/>
            <w:tcBorders>
              <w:bottom w:val="single" w:sz="8" w:color="CCEEFF"/>
            </w:tcBorders>
          </w:tcPr>
          <w:p>
            <w:pPr>
              <w:spacing w:after="0"/>
              <w:rPr>
                <w:sz w:val="19"/>
                <w:szCs w:val="19"/>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numerator:</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(411)</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21"/>
                <w:szCs w:val="21"/>
                <w:color w:val="auto"/>
              </w:rPr>
            </w:pPr>
          </w:p>
        </w:tc>
        <w:tc>
          <w:tcPr>
            <w:tcW w:w="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(3,092)</w:t>
            </w:r>
          </w:p>
        </w:tc>
        <w:tc>
          <w:tcPr>
            <w:tcW w:w="120" w:type="dxa"/>
            <w:vAlign w:val="bottom"/>
          </w:tcPr>
          <w:p>
            <w:pPr>
              <w:spacing w:after="0"/>
              <w:rPr>
                <w:sz w:val="21"/>
                <w:szCs w:val="21"/>
                <w:color w:val="auto"/>
              </w:rPr>
            </w:pP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21"/>
                <w:szCs w:val="21"/>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(8,556)</w:t>
            </w:r>
          </w:p>
        </w:tc>
        <w:tc>
          <w:tcPr>
            <w:tcW w:w="120" w:type="dxa"/>
            <w:vAlign w:val="bottom"/>
          </w:tcPr>
          <w:p>
            <w:pPr>
              <w:spacing w:after="0"/>
              <w:rPr>
                <w:sz w:val="21"/>
                <w:szCs w:val="21"/>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(3,370)</w:t>
            </w: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(704)</w:t>
            </w: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associated with catastrophe bond, net of rebate</w:t>
            </w:r>
          </w:p>
        </w:tc>
        <w:tc>
          <w:tcPr>
            <w:tcW w:w="120" w:type="dxa"/>
            <w:vAlign w:val="bottom"/>
          </w:tcPr>
          <w:p>
            <w:pPr>
              <w:spacing w:after="0"/>
              <w:rPr>
                <w:sz w:val="21"/>
                <w:szCs w:val="21"/>
                <w:color w:val="auto"/>
              </w:rPr>
            </w:pPr>
          </w:p>
        </w:tc>
        <w:tc>
          <w:tcPr>
            <w:tcW w:w="8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tcPr>
          <w:p>
            <w:pPr>
              <w:spacing w:after="0"/>
              <w:rPr>
                <w:sz w:val="21"/>
                <w:szCs w:val="21"/>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(1,698)</w:t>
            </w: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combined ratio</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Diluted Adjusted Earnings Per share</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Diluted adjusted earnings per share is calculated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(in thousands, except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38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5"/>
              </w:rPr>
              <w:t>(in thousands, except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3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25,787,625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26,043,680</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25,808,387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26,133,664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earnings per share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 Ratio</w:t>
      </w:r>
    </w:p>
    <w:p>
      <w:pPr>
        <w:spacing w:after="0" w:line="229"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8" w:name="page39"/>
    <w:bookmarkEnd w:id="38"/>
    <w:p>
      <w:pPr>
        <w:ind w:left="700"/>
        <w:spacing w:after="0"/>
        <w:rPr>
          <w:sz w:val="20"/>
          <w:szCs w:val="20"/>
          <w:color w:val="auto"/>
        </w:rPr>
      </w:pPr>
      <w:r>
        <w:rPr>
          <w:rFonts w:ascii="Times New Roman" w:cs="Times New Roman" w:eastAsia="Times New Roman" w:hAnsi="Times New Roman"/>
          <w:sz w:val="18"/>
          <w:szCs w:val="18"/>
          <w:color w:val="auto"/>
        </w:rPr>
        <w:t>Catastrophe loss ratio is calculated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5"/>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960" w:type="dxa"/>
            <w:vAlign w:val="bottom"/>
            <w:gridSpan w:val="5"/>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6"/>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5"/>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9"/>
                <w:szCs w:val="19"/>
                <w:color w:val="auto"/>
              </w:rPr>
            </w:pPr>
          </w:p>
        </w:tc>
        <w:tc>
          <w:tcPr>
            <w:tcW w:w="1960" w:type="dxa"/>
            <w:vAlign w:val="bottom"/>
            <w:gridSpan w:val="5"/>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3"/>
        </w:trPr>
        <w:tc>
          <w:tcPr>
            <w:tcW w:w="49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r>
      <w:tr>
        <w:trPr>
          <w:trHeight w:val="223"/>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5"/>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9"/>
                <w:szCs w:val="19"/>
                <w:color w:val="auto"/>
              </w:rPr>
            </w:pPr>
          </w:p>
        </w:tc>
        <w:tc>
          <w:tcPr>
            <w:tcW w:w="1960" w:type="dxa"/>
            <w:vAlign w:val="bottom"/>
            <w:gridSpan w:val="5"/>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Losses and loss adjustment expenses</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$ 30,900</w:t>
            </w:r>
          </w:p>
        </w:tc>
        <w:tc>
          <w:tcPr>
            <w:tcW w:w="240" w:type="dxa"/>
            <w:vAlign w:val="bottom"/>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$ 28,475</w:t>
            </w:r>
          </w:p>
        </w:tc>
        <w:tc>
          <w:tcPr>
            <w:tcW w:w="2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60,251</w:t>
            </w:r>
          </w:p>
        </w:tc>
        <w:tc>
          <w:tcPr>
            <w:tcW w:w="2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31,288</w:t>
            </w:r>
          </w:p>
        </w:tc>
        <w:tc>
          <w:tcPr>
            <w:tcW w:w="260" w:type="dxa"/>
            <w:vAlign w:val="bottom"/>
            <w:shd w:val="clear" w:color="auto" w:fill="CCEEFF"/>
          </w:tcPr>
          <w:p>
            <w:pPr>
              <w:spacing w:after="0"/>
              <w:rPr>
                <w:sz w:val="21"/>
                <w:szCs w:val="2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$ 77,942</w:t>
            </w: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$ 64,720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234,239</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165,988</w:t>
            </w:r>
          </w:p>
        </w:tc>
        <w:tc>
          <w:tcPr>
            <w:tcW w:w="260" w:type="dxa"/>
            <w:vAlign w:val="bottom"/>
            <w:tcBorders>
              <w:bottom w:val="single" w:sz="8" w:color="CCEEFF"/>
            </w:tcBorders>
          </w:tcPr>
          <w:p>
            <w:pPr>
              <w:spacing w:after="0"/>
              <w:rPr>
                <w:sz w:val="19"/>
                <w:szCs w:val="19"/>
                <w:color w:val="auto"/>
              </w:rPr>
            </w:pP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Catastrophe losses</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$ 12,500</w:t>
            </w:r>
          </w:p>
        </w:tc>
        <w:tc>
          <w:tcPr>
            <w:tcW w:w="240" w:type="dxa"/>
            <w:vAlign w:val="bottom"/>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$ 17,487</w:t>
            </w:r>
          </w:p>
        </w:tc>
        <w:tc>
          <w:tcPr>
            <w:tcW w:w="2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2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260" w:type="dxa"/>
            <w:vAlign w:val="bottom"/>
            <w:shd w:val="clear" w:color="auto" w:fill="CCEEFF"/>
          </w:tcPr>
          <w:p>
            <w:pPr>
              <w:spacing w:after="0"/>
              <w:rPr>
                <w:sz w:val="21"/>
                <w:szCs w:val="2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$ 77,942</w:t>
            </w:r>
          </w:p>
        </w:tc>
        <w:tc>
          <w:tcPr>
            <w:tcW w:w="2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$ 64,720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234,239</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165,988</w:t>
            </w:r>
          </w:p>
        </w:tc>
        <w:tc>
          <w:tcPr>
            <w:tcW w:w="260" w:type="dxa"/>
            <w:vAlign w:val="bottom"/>
          </w:tcPr>
          <w:p>
            <w:pPr>
              <w:spacing w:after="0"/>
              <w:rPr>
                <w:sz w:val="19"/>
                <w:szCs w:val="19"/>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Catastrophe loss ratio</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 Excluding Catastrophe Losses</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Adjusted combined ratio excluding catastrophe losses is calculated as follows: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5"/>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960" w:type="dxa"/>
            <w:vAlign w:val="bottom"/>
            <w:gridSpan w:val="5"/>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6"/>
        </w:trPr>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5"/>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9"/>
                <w:szCs w:val="19"/>
                <w:color w:val="auto"/>
              </w:rPr>
            </w:pPr>
          </w:p>
        </w:tc>
        <w:tc>
          <w:tcPr>
            <w:tcW w:w="1960" w:type="dxa"/>
            <w:vAlign w:val="bottom"/>
            <w:gridSpan w:val="5"/>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3"/>
        </w:trPr>
        <w:tc>
          <w:tcPr>
            <w:tcW w:w="4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5"/>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9"/>
                <w:szCs w:val="19"/>
                <w:color w:val="auto"/>
              </w:rPr>
            </w:pPr>
          </w:p>
        </w:tc>
        <w:tc>
          <w:tcPr>
            <w:tcW w:w="1960" w:type="dxa"/>
            <w:vAlign w:val="bottom"/>
            <w:gridSpan w:val="5"/>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198"/>
        </w:trPr>
        <w:tc>
          <w:tcPr>
            <w:tcW w:w="48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Numerator: Sum of losses and loss adjustment expenses,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expenses, and other underwriting expenses, net of</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4"/>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73,862</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66,521</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192,283</w:t>
            </w:r>
          </w:p>
        </w:tc>
        <w:tc>
          <w:tcPr>
            <w:tcW w:w="2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136,141</w:t>
            </w:r>
          </w:p>
        </w:tc>
        <w:tc>
          <w:tcPr>
            <w:tcW w:w="260" w:type="dxa"/>
            <w:vAlign w:val="bottom"/>
            <w:shd w:val="clear" w:color="auto" w:fill="CCEEFF"/>
          </w:tcPr>
          <w:p>
            <w:pPr>
              <w:spacing w:after="0"/>
              <w:rPr>
                <w:sz w:val="20"/>
                <w:szCs w:val="20"/>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64,720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234,239</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165,988</w:t>
            </w:r>
          </w:p>
        </w:tc>
        <w:tc>
          <w:tcPr>
            <w:tcW w:w="260" w:type="dxa"/>
            <w:vAlign w:val="bottom"/>
            <w:tcBorders>
              <w:bottom w:val="single" w:sz="8" w:color="CCEEFF"/>
            </w:tcBorders>
          </w:tcPr>
          <w:p>
            <w:pPr>
              <w:spacing w:after="0"/>
              <w:rPr>
                <w:sz w:val="19"/>
                <w:szCs w:val="19"/>
                <w:color w:val="auto"/>
              </w:rPr>
            </w:pPr>
          </w:p>
        </w:tc>
      </w:tr>
      <w:tr>
        <w:trPr>
          <w:trHeight w:val="20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numerator:</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(411)</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(3,092)</w:t>
            </w:r>
          </w:p>
        </w:tc>
        <w:tc>
          <w:tcPr>
            <w:tcW w:w="120" w:type="dxa"/>
            <w:vAlign w:val="bottom"/>
          </w:tcPr>
          <w:p>
            <w:pPr>
              <w:spacing w:after="0"/>
              <w:rPr>
                <w:sz w:val="21"/>
                <w:szCs w:val="21"/>
                <w:color w:val="auto"/>
              </w:rPr>
            </w:pP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(1,525)</w:t>
            </w:r>
          </w:p>
        </w:tc>
        <w:tc>
          <w:tcPr>
            <w:tcW w:w="120" w:type="dxa"/>
            <w:vAlign w:val="bottom"/>
          </w:tcPr>
          <w:p>
            <w:pPr>
              <w:spacing w:after="0"/>
              <w:rPr>
                <w:sz w:val="21"/>
                <w:szCs w:val="21"/>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(8,556)</w:t>
            </w:r>
          </w:p>
        </w:tc>
        <w:tc>
          <w:tcPr>
            <w:tcW w:w="120" w:type="dxa"/>
            <w:vAlign w:val="bottom"/>
          </w:tcPr>
          <w:p>
            <w:pPr>
              <w:spacing w:after="0"/>
              <w:rPr>
                <w:sz w:val="21"/>
                <w:szCs w:val="21"/>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(3,370)</w:t>
            </w: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(704)</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associated with catastrophe bond, net of rebate</w:t>
            </w:r>
          </w:p>
        </w:tc>
        <w:tc>
          <w:tcPr>
            <w:tcW w:w="120" w:type="dxa"/>
            <w:vAlign w:val="bottom"/>
          </w:tcPr>
          <w:p>
            <w:pPr>
              <w:spacing w:after="0"/>
              <w:rPr>
                <w:sz w:val="21"/>
                <w:szCs w:val="21"/>
                <w:color w:val="auto"/>
              </w:rPr>
            </w:pP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tcPr>
          <w:p>
            <w:pPr>
              <w:spacing w:after="0"/>
              <w:rPr>
                <w:sz w:val="21"/>
                <w:szCs w:val="21"/>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(1,698)</w:t>
            </w:r>
          </w:p>
        </w:tc>
      </w:tr>
      <w:tr>
        <w:trPr>
          <w:trHeight w:val="24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Catastrophe losses</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(17,487)</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(13,529)</w:t>
            </w: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(6,719)</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combined ratio excluding catastrophe losses</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Tangible Stockholders’ Equity</w:t>
      </w:r>
    </w:p>
    <w:p>
      <w:pPr>
        <w:spacing w:after="0" w:line="22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39" w:name="page40"/>
    <w:bookmarkEnd w:id="39"/>
    <w:p>
      <w:pPr>
        <w:ind w:left="700"/>
        <w:spacing w:after="0"/>
        <w:rPr>
          <w:sz w:val="20"/>
          <w:szCs w:val="20"/>
          <w:color w:val="auto"/>
        </w:rPr>
      </w:pPr>
      <w:r>
        <w:rPr>
          <w:rFonts w:ascii="Times New Roman" w:cs="Times New Roman" w:eastAsia="Times New Roman" w:hAnsi="Times New Roman"/>
          <w:sz w:val="18"/>
          <w:szCs w:val="18"/>
          <w:color w:val="auto"/>
        </w:rPr>
        <w:t>Stockholders’ equity calculated in accordance with GAAP reconciles to tangible stockholders’ equity as follows: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3320" w:type="dxa"/>
            <w:vAlign w:val="bottom"/>
            <w:gridSpan w:val="3"/>
          </w:tcPr>
          <w:p>
            <w:pPr>
              <w:ind w:left="2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5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9"/>
        </w:trPr>
        <w:tc>
          <w:tcPr>
            <w:tcW w:w="45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4"/>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580" w:type="dxa"/>
            <w:vAlign w:val="bottom"/>
            <w:gridSpan w:val="2"/>
            <w:shd w:val="clear" w:color="auto" w:fill="CCEEFF"/>
          </w:tcPr>
          <w:p>
            <w:pPr>
              <w:ind w:left="2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367,845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394,169</w:t>
            </w:r>
          </w:p>
        </w:tc>
      </w:tr>
      <w:tr>
        <w:trPr>
          <w:trHeight w:val="216"/>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w:t>
            </w:r>
          </w:p>
        </w:tc>
      </w:tr>
      <w:tr>
        <w:trPr>
          <w:trHeight w:val="209"/>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stockholders' equity</w:t>
            </w:r>
          </w:p>
        </w:tc>
        <w:tc>
          <w:tcPr>
            <w:tcW w:w="2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359,270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384,668</w:t>
            </w:r>
          </w:p>
        </w:tc>
      </w:tr>
      <w:tr>
        <w:trPr>
          <w:trHeight w:val="20"/>
        </w:trPr>
        <w:tc>
          <w:tcPr>
            <w:tcW w:w="4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229" w:lineRule="exact"/>
        <w:rPr>
          <w:sz w:val="20"/>
          <w:szCs w:val="20"/>
          <w:color w:val="auto"/>
        </w:rPr>
      </w:pPr>
    </w:p>
    <w:p>
      <w:pPr>
        <w:ind w:left="60" w:right="619" w:firstLine="648"/>
        <w:spacing w:after="0" w:line="266" w:lineRule="auto"/>
        <w:rPr>
          <w:sz w:val="20"/>
          <w:szCs w:val="20"/>
          <w:color w:val="auto"/>
        </w:rPr>
      </w:pPr>
      <w:r>
        <w:rPr>
          <w:rFonts w:ascii="Times New Roman" w:cs="Times New Roman" w:eastAsia="Times New Roman" w:hAnsi="Times New Roman"/>
          <w:sz w:val="18"/>
          <w:szCs w:val="18"/>
          <w:color w:val="auto"/>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spacing w:after="0" w:line="176"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Company’s U.S. insurance company subsidiaries, PSIC and PESIC, are restricted by the statutes as to the amount of dividends that they may pay without prior approval by state insurance commissioners.</w:t>
      </w:r>
    </w:p>
    <w:p>
      <w:pPr>
        <w:spacing w:after="0" w:line="16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Under California and Oregon statute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$45.7 million in 2022 without approval by the California and Oregon Insurance Commissioners.</w:t>
      </w:r>
    </w:p>
    <w:p>
      <w:pPr>
        <w:spacing w:after="0" w:line="192"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$4.1 million in 2022 without approval of the Arizona Insurance Commissioner.</w:t>
      </w:r>
    </w:p>
    <w:p>
      <w:pPr>
        <w:spacing w:after="0" w:line="164"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spacing w:after="0" w:line="180" w:lineRule="exact"/>
        <w:rPr>
          <w:sz w:val="20"/>
          <w:szCs w:val="20"/>
          <w:color w:val="auto"/>
        </w:rPr>
      </w:pPr>
    </w:p>
    <w:p>
      <w:pPr>
        <w:jc w:val="both"/>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BMA, from declaring or paying any dividends during the next</w:t>
      </w:r>
    </w:p>
    <w:p>
      <w:pPr>
        <w:spacing w:after="0" w:line="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has not caused the insurer to fail to meet its relevant margins.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0" w:name="page41"/>
    <w:bookmarkEnd w:id="40"/>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Further, under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spacing w:after="0" w:line="1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Pursuant to Bermuda regulations, the maximum amount of dividends and return of capital available to be paid by a reinsurer is determined pursuant to a formula. Under this formula, the maximum amount of dividends and return of capital available from PSRE during 2022 is calculated to be approximately $4.2 million. However, this dividend amount is subject to annual enhanced solvency requirement calculations.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spacing w:after="0" w:line="176"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Our cash flows from operations may differ substantially from our net income due to non-cash charges or due to changes in balance sheet accounts.</w:t>
      </w:r>
    </w:p>
    <w:p>
      <w:pPr>
        <w:spacing w:after="0" w:line="16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spacing w:after="0" w:line="187" w:lineRule="exact"/>
        <w:rPr>
          <w:sz w:val="20"/>
          <w:szCs w:val="20"/>
          <w:color w:val="auto"/>
        </w:rPr>
      </w:pPr>
    </w:p>
    <w:p>
      <w:pPr>
        <w:jc w:val="both"/>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Management believes that our current liquidity and cash receipts from written premiums, investment income, proceeds from investment sales and redemptions, and reinsurance recoveries, if necessary, are sufficient to cover cash outflows for each of the Company’s insurance subsidiaries in the foreseeable future.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2022 and 2021:</w:t>
      </w:r>
    </w:p>
    <w:p>
      <w:pPr>
        <w:spacing w:after="0" w:line="23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75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40" w:type="dxa"/>
        <w:tblCellMar>
          <w:top w:w="0" w:type="dxa"/>
          <w:left w:w="0" w:type="dxa"/>
          <w:bottom w:w="0" w:type="dxa"/>
          <w:right w:w="0" w:type="dxa"/>
        </w:tblCellMar>
      </w:tblPr>
      <w:tr>
        <w:trPr>
          <w:trHeight w:val="142"/>
        </w:trPr>
        <w:tc>
          <w:tcPr>
            <w:tcW w:w="7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128"/>
        </w:trPr>
        <w:tc>
          <w:tcPr>
            <w:tcW w:w="7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right"/>
              <w:ind w:right="354"/>
              <w:spacing w:after="0" w:line="129"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1"/>
                <w:szCs w:val="1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37,030</w:t>
            </w:r>
          </w:p>
        </w:tc>
        <w:tc>
          <w:tcPr>
            <w:tcW w:w="20" w:type="dxa"/>
            <w:vAlign w:val="bottom"/>
          </w:tcPr>
          <w:p>
            <w:pPr>
              <w:spacing w:after="0"/>
              <w:rPr>
                <w:sz w:val="18"/>
                <w:szCs w:val="18"/>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(121,422)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20" w:type="dxa"/>
            <w:vAlign w:val="bottom"/>
          </w:tcPr>
          <w:p>
            <w:pPr>
              <w:spacing w:after="0"/>
              <w:rPr>
                <w:sz w:val="18"/>
                <w:szCs w:val="18"/>
                <w:color w:val="auto"/>
              </w:rPr>
            </w:pPr>
          </w:p>
        </w:tc>
      </w:tr>
      <w:tr>
        <w:trPr>
          <w:trHeight w:val="21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20" w:type="dxa"/>
            <w:vAlign w:val="bottom"/>
          </w:tcPr>
          <w:p>
            <w:pPr>
              <w:spacing w:after="0"/>
              <w:rPr>
                <w:sz w:val="18"/>
                <w:szCs w:val="18"/>
                <w:color w:val="auto"/>
              </w:rPr>
            </w:pPr>
          </w:p>
        </w:tc>
      </w:tr>
      <w:tr>
        <w:trPr>
          <w:trHeight w:val="21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2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Our cash flow from operating activities was positive during the nine months ended September 30, 2022 and 2021 due to net income and a decrease in net operating assets in each period.</w:t>
      </w:r>
    </w:p>
    <w:p>
      <w:pPr>
        <w:spacing w:after="0" w:line="16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spacing w:after="0" w:line="180"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2022 and 2021 related primarily to purchases of fixed maturity securities in excess of sales and maturities in each period.</w:t>
      </w:r>
    </w:p>
    <w:p>
      <w:pPr>
        <w:spacing w:after="0" w:line="16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nine months ended September 30, 2022 was related to $26.4 million in borrowings from our FHLB line of credit, the receipt of $2.2 million in proceeds from stock option exercises and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1" w:name="page42"/>
    <w:bookmarkEnd w:id="41"/>
    <w:p>
      <w:pPr>
        <w:ind w:left="60" w:right="99"/>
        <w:spacing w:after="0" w:line="258" w:lineRule="auto"/>
        <w:rPr>
          <w:sz w:val="20"/>
          <w:szCs w:val="20"/>
          <w:color w:val="auto"/>
        </w:rPr>
      </w:pPr>
      <w:r>
        <w:rPr>
          <w:rFonts w:ascii="Times New Roman" w:cs="Times New Roman" w:eastAsia="Times New Roman" w:hAnsi="Times New Roman"/>
          <w:sz w:val="18"/>
          <w:szCs w:val="18"/>
          <w:color w:val="auto"/>
        </w:rPr>
        <w:t>receipt of $0.8 million in proceeds from our employee stock purchase plan, offset by the repurchase of $23.3 million of our common stock. Cash used in financing activities for nine months ended September 30, 2021 was related to the repurchase of $15.8 million of our common stock offset by the receipt of $1.8 million from the issuance of common stock via stock option exercises and the receipt of $0.7 million in proceeds related to the issuance of common stock via our employee stock purchase plan.</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$541.8 million in cash and investment securities available at September 30, 2022. We also have the ability to access additional capital through pursuing third-party borrowings, sales of our equity or debt securities or entrance into a reinsurance arrangement.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also have implemented a share repurchase plan and have used and may use our cash in the future to purchase outstanding shares of our common stock. Under our current share repurchase program, shares may be repurchased from time to time in the open market or negotiated transactions at prevailing market rates, or by other means in accordance with federal securities laws. We purchased 399,198 shares for $23.3 million under this program during the nine months ended September 30, 2022 and $76.7 million remains available for future repurchases.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have the ability to access additional capital through multiple credit agreements.</w:t>
      </w:r>
    </w:p>
    <w:p>
      <w:pPr>
        <w:spacing w:after="0" w:line="225" w:lineRule="exact"/>
        <w:rPr>
          <w:sz w:val="20"/>
          <w:szCs w:val="20"/>
          <w:color w:val="auto"/>
        </w:rPr>
      </w:pPr>
    </w:p>
    <w:p>
      <w:pPr>
        <w:ind w:left="60" w:right="99" w:firstLine="648"/>
        <w:spacing w:after="0" w:line="260"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U.S. Bank National Association which provides a revolving credit facility of up to $100 million through December 8, 2026. Interest on the credit facility accrues on each SOFR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w:t>
      </w:r>
    </w:p>
    <w:p>
      <w:pPr>
        <w:spacing w:after="0" w:line="185"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we do not have any outstanding borrowings under the Credit Agreement, but we may seek to borrow under the Credit Agreement in the future.</w:t>
      </w:r>
    </w:p>
    <w:p>
      <w:pPr>
        <w:spacing w:after="0" w:line="16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5% of PSIC’s statutory admitted assets. All advances have predetermined term and the interest rate varies based on the term of the advance.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2022, the Company had $26.4 million of borrowings outstanding through the FHLB line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credit.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September 30, 2022 total stockholders’ equity was $367.8 million and tangible stockholders’ equity was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$359.3 million, compared to total stockholders’ equity of $394.2 million and tangible stockholders’ equity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$384.7 million as of December 31, 2021. Stockholder’s equity decreased primarily due to unrealized losses on fixed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maturity securities and repurchases of shares of our common stock and was partially offset by the net income we earned for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period and activity related to stock-based compensation.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2" w:name="page43"/>
    <w:bookmarkEnd w:id="42"/>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Tangible stockholders’ equity is a non-GAAP financial measure. See “Reconciliation of Non-GAAP Financial Measures” for a reconciliation of stockholders’ equity in accordance with GAAP to tangible stockholders’ equity.</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approves our investment guidelines in compliance with applicable regulatory restrictions on asset type, quality and concentration. Our current investment guidelines allow us to invest in taxable and tax-exempt fixed maturities, as well as publicly traded mutual funds and common stock of individual companies. Our cash and invested assets consist of cash and cash equivalents, fixed maturity securities, and equity securities. As of September 30, 2022, the majority of our investment portfolio, or $476.8 million, was comprised of fixed maturity securities that are classified as available-for-sale and carried at fair value with unrealized gains and losses on these securities, net of applicable taxes, reported as a separate component of accumulated other comprehensive income. Also included in our investment portfolio were $35.5 million of equity securities. In addition, we maintained a non-restricted cash and cash equivalent balance of $29.5 million at September 30, 2022. Our fixed maturity securities, including cash equivalents, had a weighted average effective duration of 4.03 and 3.99 years and an average rating of “A1/A+” and “A1/A” at September 30, 2022 and December 31, 2021, respectively. Our fixed income investment portfolio had a book yield of 2.83% as of September 30, 2022, compared to 2.23% as of December 31, 2021.</w:t>
      </w:r>
    </w:p>
    <w:p>
      <w:pPr>
        <w:spacing w:after="0" w:line="197"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2022 and December 31, 2021 the amortized cost and fair value on available-for-sale securities were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3"/>
        </w:trPr>
        <w:tc>
          <w:tcPr>
            <w:tcW w:w="6100" w:type="dxa"/>
            <w:vAlign w:val="bottom"/>
            <w:gridSpan w:val="2"/>
            <w:vMerge w:val="continue"/>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or Cost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49,598</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269,308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240,420</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154,661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$ 530,992</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$ 476,794</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3"/>
        </w:trPr>
        <w:tc>
          <w:tcPr>
            <w:tcW w:w="6100" w:type="dxa"/>
            <w:vAlign w:val="bottom"/>
            <w:gridSpan w:val="2"/>
            <w:vMerge w:val="continue"/>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or Cost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78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1"/>
              </w:rPr>
              <w:t>in thousands)</w:t>
            </w: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Governments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States, territories, and possessions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Political subdivisions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245,064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249,046</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110,960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111,874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$ 426,122</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$ 432,682</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9" w:right="1440" w:bottom="1440" w:gutter="0" w:footer="0" w:header="0"/>
        </w:sectPr>
      </w:pPr>
    </w:p>
    <w:bookmarkStart w:id="43" w:name="page44"/>
    <w:bookmarkEnd w:id="43"/>
    <w:p>
      <w:pPr>
        <w:ind w:left="700"/>
        <w:spacing w:after="0"/>
        <w:rPr>
          <w:sz w:val="20"/>
          <w:szCs w:val="20"/>
          <w:color w:val="auto"/>
        </w:rPr>
      </w:pPr>
      <w:r>
        <w:rPr>
          <w:rFonts w:ascii="Times New Roman" w:cs="Times New Roman" w:eastAsia="Times New Roman" w:hAnsi="Times New Roman"/>
          <w:sz w:val="18"/>
          <w:szCs w:val="18"/>
          <w:color w:val="auto"/>
        </w:rPr>
        <w:t>The following tables provide the credit quality of investment securities as of September 30, 2022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3"/>
                <w:szCs w:val="13"/>
                <w:color w:val="auto"/>
              </w:rPr>
            </w:pPr>
          </w:p>
        </w:tc>
        <w:tc>
          <w:tcPr>
            <w:tcW w:w="84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820" w:type="dxa"/>
            <w:vAlign w:val="bottom"/>
            <w:tcBorders>
              <w:bottom w:val="single" w:sz="8" w:color="auto"/>
            </w:tcBorders>
            <w:gridSpan w:val="2"/>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7"/>
          </w:tcPr>
          <w:p>
            <w:pPr>
              <w:jc w:val="right"/>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$ 163,919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CCC &amp; 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24"/>
                <w:szCs w:val="24"/>
                <w:color w:val="auto"/>
              </w:rPr>
            </w:pPr>
          </w:p>
        </w:tc>
        <w:tc>
          <w:tcPr>
            <w:tcW w:w="8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0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84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7"/>
          </w:tcPr>
          <w:p>
            <w:pPr>
              <w:jc w:val="right"/>
              <w:ind w:right="430"/>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AAA</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BBB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CCC &amp; Below</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432,788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our available-for-sale investments in fixed maturity securities summarized by contractual maturity as of September 30, 2022 were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36,730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177,989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165,172</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128,378</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25,508</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154,661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10"/>
        </w:trPr>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530,992</w:t>
            </w: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$ 476,794</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 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8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excess of loss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spacing w:after="0" w:line="19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have a robust program utilizing a mix of traditional reinsurers and insurance linked securities. We currently purchase reinsurance from over 80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spacing w:after="0" w:line="183"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In addition to reinsurance purchased from traditional reinsurers, we have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also closed a $275 million 144A catastrophe bond which became effective June 1, 2022. This catastrophe bond was completed through Torrey Pines Re Ltd., a Bermuda-domiciled special purpose insurer that provides indemnity-based reinsurance covering earthquake events through June 1, 2025.</w:t>
      </w:r>
    </w:p>
    <w:p>
      <w:pPr>
        <w:spacing w:after="0" w:line="17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catastrophe event retention is currently $12.5 million for all perils. Our reinsurance coverage exhausts at $2.08 billion for earthquake events, $900 million for Hawaii hurricane events, and $250 million for continental U.S. hurricane events, providing coverage in excess of our 1 in 250 year peak zone PML and in excess of our A.M. Best requirement. In addition, we maintain reinsurance coverage equivalent to or better than the 1 in 250 year PML for our other lines.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45" w:name="page46"/>
    <w:bookmarkEnd w:id="45"/>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 In addition, to provide further coverage against the potential for frequent catastrophe events, the Company has historically obtained aggregate reinsurance coverage. Beginning April 1, 2021 and renewing on April 1, 2022, we have secured $25 million of aggregate XOL reinsurance limit. This coverage, applying within our per occurrence retention, has an attachment point of $30 million and applies across all perils including but not limited to earthquakes, hurricanes, convective storms, and floods above a qualifying level of $2.0 million in ultimate net loss.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2021 Annual Report on Form 10-K.</w:t>
      </w:r>
    </w:p>
    <w:p>
      <w:pPr>
        <w:spacing w:after="0" w:line="173"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as compared to the critical accounting policies and estimates disclosed in Management’s Discussion and Analysis of Financial Condition and Operations included in our 2021 Annual Report on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w:t>
      </w:r>
    </w:p>
    <w:p>
      <w:pPr>
        <w:spacing w:after="0" w:line="180"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spacing w:after="0" w:line="17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78.8% rated “A−” or better. At September 30, 2022, 1.9%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6" w:name="page47"/>
    <w:bookmarkEnd w:id="46"/>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we carried out an evaluation, under the supervision and with the participation of our management, including our CEO and CFO, of the effectiveness of the design and operation of our disclosure controls and procedures defined under Rules 13a-15(e) and 15d-15(e) under the Exchange Act. Based upon this evaluation, our CEO and CFO concluded that our disclosure controls and procedures were effective.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quarter ended September 30, 2022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condensed consolidated financial position.</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appearing elsewhere in this Quarterly Report on Form 10-Q.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Additional risks and uncertainties of which we are unaware, or that we currently deem immaterial also may become important factors that affect us.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these risks include, but are not limited to, the following:</w:t>
      </w:r>
    </w:p>
    <w:p>
      <w:pPr>
        <w:spacing w:after="0" w:line="229" w:lineRule="exact"/>
        <w:rPr>
          <w:sz w:val="20"/>
          <w:szCs w:val="20"/>
          <w:color w:val="auto"/>
        </w:rPr>
      </w:pPr>
    </w:p>
    <w:p>
      <w:pPr>
        <w:ind w:left="720" w:right="25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175" w:lineRule="exact"/>
        <w:rPr>
          <w:rFonts w:ascii="Times New Roman" w:cs="Times New Roman" w:eastAsia="Times New Roman" w:hAnsi="Times New Roman"/>
          <w:sz w:val="18"/>
          <w:szCs w:val="18"/>
          <w:color w:val="auto"/>
        </w:rPr>
      </w:pPr>
    </w:p>
    <w:p>
      <w:pPr>
        <w:ind w:left="720" w:right="23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could be negatively and adversely impacted by the COVID-19 Pandemic (“The Pandemic”), which may result in a decline in demand for our products, a decrease in underwriting income and a decrease in the value of our investment portfolio;</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may not pay claims on a timely basis, or at all, which may materially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 reserves are established based on estimates and may be inadequate to cover actual incurred losses which could have a material adverse impact on our results of operations and financial condition;</w:t>
      </w:r>
    </w:p>
    <w:p>
      <w:pPr>
        <w:spacing w:after="0" w:line="161" w:lineRule="exact"/>
        <w:rPr>
          <w:rFonts w:ascii="Times New Roman" w:cs="Times New Roman" w:eastAsia="Times New Roman" w:hAnsi="Times New Roman"/>
          <w:sz w:val="18"/>
          <w:szCs w:val="18"/>
          <w:color w:val="auto"/>
        </w:rPr>
      </w:pPr>
    </w:p>
    <w:p>
      <w:pPr>
        <w:ind w:left="720" w:right="37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purchase third-party reinsurance or otherwise expand our catastrophe coverage in amounts we desire on commercially acceptable terms or on terms that adequately protect us;</w:t>
      </w:r>
    </w:p>
    <w:p>
      <w:pPr>
        <w:spacing w:after="0" w:line="161" w:lineRule="exact"/>
        <w:rPr>
          <w:rFonts w:ascii="Times New Roman" w:cs="Times New Roman" w:eastAsia="Times New Roman" w:hAnsi="Times New Roman"/>
          <w:sz w:val="18"/>
          <w:szCs w:val="18"/>
          <w:color w:val="auto"/>
        </w:rPr>
      </w:pPr>
    </w:p>
    <w:p>
      <w:pPr>
        <w:jc w:val="both"/>
        <w:ind w:left="720" w:right="659" w:hanging="319"/>
        <w:spacing w:after="0" w:line="266"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and loss limitation methods, including estimates and models, may fail to adequately manage our exposure to losses from catastrophe events and our losses could be materially higher than our expectations;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financial strength rating may adversely affect the amount of business we write;</w:t>
      </w:r>
    </w:p>
    <w:p>
      <w:pPr>
        <w:spacing w:after="0" w:line="225" w:lineRule="exact"/>
        <w:rPr>
          <w:rFonts w:ascii="Times New Roman" w:cs="Times New Roman" w:eastAsia="Times New Roman" w:hAnsi="Times New Roman"/>
          <w:sz w:val="18"/>
          <w:szCs w:val="18"/>
          <w:color w:val="auto"/>
        </w:rPr>
      </w:pPr>
    </w:p>
    <w:p>
      <w:pPr>
        <w:ind w:left="720" w:right="31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reinsurance we purchase is inadequate or a reinsurer is unable or unwilling to make timely payments, our operating results and liquidity would be adversely impacted;</w:t>
      </w:r>
    </w:p>
    <w:p>
      <w:pPr>
        <w:spacing w:after="0" w:line="161"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Texas and we are exposed more significantly to California and Texas loss activity and regulatory environments;</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48" w:name="page49"/>
    <w:bookmarkEnd w:id="48"/>
    <w:p>
      <w:pPr>
        <w:ind w:left="720" w:right="43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one or more key executives or an inability to attract and retain qualified personnel could adversely affect our results of operations;</w:t>
      </w:r>
    </w:p>
    <w:p>
      <w:pPr>
        <w:spacing w:after="0" w:line="161" w:lineRule="exact"/>
        <w:rPr>
          <w:rFonts w:ascii="Times New Roman" w:cs="Times New Roman" w:eastAsia="Times New Roman" w:hAnsi="Times New Roman"/>
          <w:sz w:val="18"/>
          <w:szCs w:val="18"/>
          <w:color w:val="auto"/>
        </w:rPr>
      </w:pPr>
    </w:p>
    <w:p>
      <w:pPr>
        <w:ind w:left="720" w:right="27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group of brokers and program administrators to manage the distribution of a significant portion of our Residential Earthquake, Commercial Earthquake, Hawaii Hurricane, and Fronting products. Two program administrators account for a significant portion of our premiums and such relationships may not continue;</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intense competition for business in our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information technology and telecommunications systems could adversely affect our business;</w:t>
      </w:r>
    </w:p>
    <w:p>
      <w:pPr>
        <w:spacing w:after="0" w:line="22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 including loss limitations and exclusions, in our policies could have a material adverse effect on our financial condition or results of operations;</w:t>
      </w:r>
    </w:p>
    <w:p>
      <w:pPr>
        <w:spacing w:after="0" w:line="161" w:lineRule="exact"/>
        <w:rPr>
          <w:rFonts w:ascii="Times New Roman" w:cs="Times New Roman" w:eastAsia="Times New Roman" w:hAnsi="Times New Roman"/>
          <w:sz w:val="18"/>
          <w:szCs w:val="18"/>
          <w:color w:val="auto"/>
        </w:rPr>
      </w:pPr>
    </w:p>
    <w:p>
      <w:pPr>
        <w:ind w:left="720" w:right="199" w:hanging="319"/>
        <w:spacing w:after="0" w:line="26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75" w:lineRule="exact"/>
        <w:rPr>
          <w:rFonts w:ascii="Times New Roman" w:cs="Times New Roman" w:eastAsia="Times New Roman" w:hAnsi="Times New Roman"/>
          <w:sz w:val="18"/>
          <w:szCs w:val="18"/>
          <w:color w:val="auto"/>
        </w:rPr>
      </w:pPr>
    </w:p>
    <w:p>
      <w:pPr>
        <w:ind w:left="720" w:right="11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operating as a public company, and our management is required to devote substantial time to complying with public company regulations; and</w:t>
      </w:r>
    </w:p>
    <w:p>
      <w:pPr>
        <w:spacing w:after="0" w:line="161" w:lineRule="exact"/>
        <w:rPr>
          <w:rFonts w:ascii="Times New Roman" w:cs="Times New Roman" w:eastAsia="Times New Roman" w:hAnsi="Times New Roman"/>
          <w:sz w:val="18"/>
          <w:szCs w:val="18"/>
          <w:color w:val="auto"/>
        </w:rPr>
      </w:pPr>
    </w:p>
    <w:p>
      <w:pPr>
        <w:ind w:left="720" w:right="359" w:hanging="319"/>
        <w:spacing w:after="0" w:line="28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stock price may be volatile, or may decline regardless of our operating performance, and holders of our common stock could lose all or part of their investment.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ind w:left="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insurance operations expose us to claims arising from unpredictable catastrophe events, such as earthquakes, hurricanes, windstorms, floods and other severe events. Furthermore,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spacing w:after="0" w:line="197"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49" w:name="page50"/>
    <w:bookmarkEnd w:id="49"/>
    <w:p>
      <w:pPr>
        <w:ind w:left="60" w:right="119"/>
        <w:spacing w:after="0" w:line="256" w:lineRule="auto"/>
        <w:rPr>
          <w:sz w:val="20"/>
          <w:szCs w:val="20"/>
          <w:color w:val="auto"/>
        </w:rPr>
      </w:pPr>
      <w:r>
        <w:rPr>
          <w:rFonts w:ascii="Times New Roman" w:cs="Times New Roman" w:eastAsia="Times New Roman" w:hAnsi="Times New Roman"/>
          <w:sz w:val="18"/>
          <w:szCs w:val="18"/>
          <w:color w:val="auto"/>
        </w:rPr>
        <w:t>cause substantial volatility in our results of operations for any fiscal quarter or year, which could materially adversely affect our financial condition, possibly to the extent of eliminating our total stockholders’ equity. We experienced significant catastrophe losses including hurricane related losses during the third and fourth quarters of 2020 and third quarters of 2021 and 2022.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catastrophe event retention is currently $12.5 million for all perils. Our reinsurance coverage exhausts at $2.08 billion for earthquake events, $900 million for Hawaii hurricane events, and $250 million for continental U.S. hurricane events, with coverage in excess of our estimated peak zone 1 in 250 year PML event and in excess of our A.M. Best requirement. In addition to our event retention, we may also incur additional reinsurance expenses upon a catastrophe event. While we only select reinsurers whom we believe to have acceptable credit, if our reinsurers are unable to pay the claims for which they are responsible, we ultimately retain primary liability. Furthermore, our earthquake policies do not provide coverage for fire damage arising from an earthquake. While we believe this risk transfer program reduces volatility in our earnings, one or more severe catastrophe events could result in claims that substantially exceed the limits of our reinsurance coverage. Furthermore, catastrophe events which cause our reinsurers to incur losses may increase the cost of reinsurance in future periods or make it more difficult to obtain reinsurance on commercially acceptable terms.</w:t>
      </w:r>
    </w:p>
    <w:p>
      <w:pPr>
        <w:spacing w:after="0" w:line="190" w:lineRule="exact"/>
        <w:rPr>
          <w:sz w:val="20"/>
          <w:szCs w:val="20"/>
          <w:color w:val="auto"/>
        </w:rPr>
      </w:pPr>
    </w:p>
    <w:p>
      <w:pPr>
        <w:jc w:val="both"/>
        <w:ind w:left="60" w:right="3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and our customers could be negatively and adversely impacted by the Pandemic, which may result in a decline in demand for our products, a decrease in underwriting income and a decrease in the value of our investment portfolio.</w:t>
      </w:r>
    </w:p>
    <w:p>
      <w:pPr>
        <w:spacing w:after="0" w:line="136" w:lineRule="exact"/>
        <w:rPr>
          <w:sz w:val="20"/>
          <w:szCs w:val="20"/>
          <w:color w:val="auto"/>
        </w:rPr>
      </w:pPr>
    </w:p>
    <w:p>
      <w:pPr>
        <w:ind w:left="60" w:right="79" w:firstLine="648"/>
        <w:spacing w:after="0" w:line="270" w:lineRule="auto"/>
        <w:rPr>
          <w:sz w:val="20"/>
          <w:szCs w:val="20"/>
          <w:color w:val="auto"/>
        </w:rPr>
      </w:pPr>
      <w:r>
        <w:rPr>
          <w:rFonts w:ascii="Times New Roman" w:cs="Times New Roman" w:eastAsia="Times New Roman" w:hAnsi="Times New Roman"/>
          <w:sz w:val="17"/>
          <w:szCs w:val="17"/>
          <w:color w:val="auto"/>
        </w:rPr>
        <w:t>The ongoing Pandemic and response thereto has impacted and may continue to impact financial markets, businesses, households, and communities. The extent of the impact of the Pandemic on our operational and financial performance will depend on several factors, including the ultimate duration and severity of the Pandemic, the emergence and severity of variant strains, actions taken and restrictions imposed by the government and health officials in response, the effectiveness and adoption of COVID-19 vaccines and therapeutics, the ability for our customers to continue to pay premiums, contraction of the insurance and reinsurance markets, and the ability for reinsurers to satisfy claims, all of which are uncertain and cannot be predicted. In addition, the Pandemic has contributed to financial market volatility, supply chain disruptions, price inflation, and material and labor shortages, all of which may have a negative impact on our business. Continuation of the Pandemic could cause additional reduction in business activity and financial market instability and the global macroeconomic effects of the Pandemic, may persist for an indefinite period, even after the Pandemic has subsided.</w:t>
      </w:r>
    </w:p>
    <w:p>
      <w:pPr>
        <w:spacing w:after="0" w:line="177"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In addition, our results of operations depend, in part, on the performance of our investment portfolio. The Pandemic’s impact on the economy and financial markets could reduce our net investment income and result in realized investment losses in future periods.</w:t>
      </w:r>
    </w:p>
    <w:p>
      <w:pPr>
        <w:spacing w:after="0" w:line="172"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reinsurers may not pay claims on a timely basis, or at all, which may materially adversely affect our business, financial condition, and results of operations.</w:t>
      </w:r>
    </w:p>
    <w:p>
      <w:pPr>
        <w:spacing w:after="0" w:line="64" w:lineRule="exact"/>
        <w:rPr>
          <w:sz w:val="20"/>
          <w:szCs w:val="20"/>
          <w:color w:val="auto"/>
        </w:rPr>
      </w:pPr>
    </w:p>
    <w:p>
      <w:pPr>
        <w:ind w:left="60" w:right="139" w:firstLine="648"/>
        <w:spacing w:after="0" w:line="269" w:lineRule="auto"/>
        <w:rPr>
          <w:sz w:val="20"/>
          <w:szCs w:val="20"/>
          <w:color w:val="auto"/>
        </w:rPr>
      </w:pPr>
      <w:r>
        <w:rPr>
          <w:rFonts w:ascii="Times New Roman" w:cs="Times New Roman" w:eastAsia="Times New Roman" w:hAnsi="Times New Roman"/>
          <w:sz w:val="17"/>
          <w:szCs w:val="17"/>
          <w:color w:val="auto"/>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Our current reinsurance program is designed to limit our risk retention to $12.5 million of risk per earthquake or wind event and provide coverage up to $2.08 billion for earthquake events, $900 million for Hawaii hurricane events, and $250 million for continental U.S. hurricane events, subject to customary exclusions. However, particularly in the event of a major catastrophe, our reinsurers may not pay claims made by us on a timely basis, or they may not pay some or all these claims. For example, the Pandemic has put financial pressure on the insurance market due to several factors, including the inability of customers to pay premiums and increased claims for business interruption. Increased claim demands for business interruption has put substantial financial pressure on the insurance and reinsurance market which may lead to court action and impact the ability of insurers and reinsurers to satisfy the liability under their policies.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0" w:name="page51"/>
    <w:bookmarkEnd w:id="50"/>
    <w:p>
      <w:pPr>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catastrophic event were to occur and our reinsurers were unable to satisfy their commitments to us, we may be unable to satisfy the liability to our policyholders. We evaluate each reinsurance claim based on the facts of the case, historical experience with the reinsurer on similar claims and existing case law and consider including any amounts deemed uncollectible from the reinsurer in a reserve for uncollectible reinsurance. As of September 30, 2022, we had $177.0 million of aggregate reinsurance recoverables. These risks could cause us to incur increased net losses, and, therefore, adversely affect our financial condition.</w:t>
      </w:r>
    </w:p>
    <w:p>
      <w:pPr>
        <w:spacing w:after="0" w:line="75"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loss reserves are established based on estimates and may be inadequate to cover actual incurred losses which could have a material adverse impact on our results of operations and financial condition</w:t>
      </w:r>
    </w:p>
    <w:p>
      <w:pPr>
        <w:spacing w:after="0" w:line="15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183"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catastrophe events often involve a significant number of claims and ultimate cost of settling all claims is inherently difficult to predict upon the event’s occurrence.</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192"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spacing w:after="0" w:line="176" w:lineRule="exact"/>
        <w:rPr>
          <w:sz w:val="20"/>
          <w:szCs w:val="20"/>
          <w:color w:val="auto"/>
        </w:rPr>
      </w:pPr>
    </w:p>
    <w:p>
      <w:pPr>
        <w:ind w:left="60" w:right="139" w:firstLine="693"/>
        <w:spacing w:after="0" w:line="266" w:lineRule="auto"/>
        <w:rPr>
          <w:sz w:val="20"/>
          <w:szCs w:val="20"/>
          <w:color w:val="auto"/>
        </w:rPr>
      </w:pPr>
      <w:r>
        <w:rPr>
          <w:rFonts w:ascii="Times New Roman" w:cs="Times New Roman" w:eastAsia="Times New Roman" w:hAnsi="Times New Roman"/>
          <w:sz w:val="18"/>
          <w:szCs w:val="18"/>
          <w:color w:val="auto"/>
        </w:rPr>
        <w:t>For further information on our loss reserving methodology, see “Management’s Discussion and Analysis-Critical Accounting Policies and Estimates- Reserve for Losses and Loss Adjustment Expenses” in our 2021 Annual Report on Form 10-K.</w:t>
      </w:r>
    </w:p>
    <w:p>
      <w:pPr>
        <w:spacing w:after="0" w:line="172"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purchase third 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75" w:lineRule="exact"/>
        <w:rPr>
          <w:sz w:val="20"/>
          <w:szCs w:val="20"/>
          <w:color w:val="auto"/>
        </w:rPr>
      </w:pPr>
    </w:p>
    <w:p>
      <w:pPr>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We purchase a significant amount of reinsurance from third parties that we believe enhances our business by reducing our exposure to potential catastrophe losses and reducing volatility in our underwriting performance, providing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1" w:name="page52"/>
    <w:bookmarkEnd w:id="51"/>
    <w:p>
      <w:pPr>
        <w:ind w:left="60" w:right="659"/>
        <w:spacing w:after="0" w:line="282" w:lineRule="auto"/>
        <w:rPr>
          <w:sz w:val="20"/>
          <w:szCs w:val="20"/>
          <w:color w:val="auto"/>
        </w:rPr>
      </w:pPr>
      <w:r>
        <w:rPr>
          <w:rFonts w:ascii="Times New Roman" w:cs="Times New Roman" w:eastAsia="Times New Roman" w:hAnsi="Times New Roman"/>
          <w:sz w:val="18"/>
          <w:szCs w:val="18"/>
          <w:color w:val="auto"/>
        </w:rPr>
        <w:t>us with greater visibility into our future earnings. Reinsurance involves transferring, or ceding, a portion of our risk exposure on policies that we write to another insurer, the reinsurer, in exchange for a premium.</w:t>
      </w:r>
    </w:p>
    <w:p>
      <w:pPr>
        <w:spacing w:after="0" w:line="16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primarily use treaty reinsurance, consisting of excess of loss (“XOL”) coverage. Additionally, we buy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spacing w:after="0" w:line="183"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From time to time,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we have historically incorporated collateralized protection from the insurance linked securities market via catastrophe bonds. During the first quarter of 2021, the Company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also closed a $275 million 144A catastrophe bond which became effective June 1, 2022. This catastrophe bond was completed through Torrey Pines Re Ltd., a Bermuda-domiciled special purpose insurer that provides indemnity-based reinsurance covering earthquake events through June 1, 2025. We may seek similar catastrophe bond offerings in the future. However, there can be no assurance that we will be able to complete such offerings on acceptable terms, if at all.</w:t>
      </w:r>
    </w:p>
    <w:p>
      <w:pPr>
        <w:spacing w:after="0" w:line="19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renew our expiring reinsurance contracts on acceptable terms or expand our reinsurance coverage through traditional reinsurers, catastrophe bonds, or otherwise, our loss exposure could increase, which would increase our potential losses related to catastrophe or non-catastrophe events. If we are unwilling to bear an increase in loss exposure, we could have to reduce the level of our underwriting commitments, both of which could materially adversely affect our business, financial condition, and results of operations.</w:t>
      </w:r>
    </w:p>
    <w:p>
      <w:pPr>
        <w:spacing w:after="0" w:line="183"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addition, as we grow our written premiums and enter new lines of business we will seek out new types of reinsurance and will need to purchase reinsurance on commercially acceptable terms in order to reduce the risk associated with entering new lines of business. The inability to find and purchase appropriate reinsurance for new lines of business would have a negative impact on our ability to grow our written premiums.</w:t>
      </w:r>
    </w:p>
    <w:p>
      <w:pPr>
        <w:spacing w:after="0" w:line="180"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spacing w:after="0" w:line="176"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spacing w:after="0" w:line="18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approach to risk management relies on subjective variables that entail significant uncertainties. We manage our exposure to catastrophe losses by analyzing the probability of the occurrence of catastrophe events and their severity and overall impact on our underwriting and investment portfolio. We monitor and mitigate our exposure through a number of methods designed to minimize risk, including underwriting specialization, modeling and data systems, data quality control, strategic use of policy deductibles and regular review of aggregate exposure and probable maximum loss reports, which report the maximum amount of losses that one would expect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52" w:name="page53"/>
    <w:bookmarkEnd w:id="52"/>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might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spacing w:after="0" w:line="19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p>
      <w:pPr>
        <w:spacing w:after="0" w:line="207" w:lineRule="exact"/>
        <w:rPr>
          <w:sz w:val="20"/>
          <w:szCs w:val="20"/>
          <w:color w:val="auto"/>
        </w:rPr>
      </w:pPr>
    </w:p>
    <w:p>
      <w:pPr>
        <w:ind w:left="1040" w:right="179" w:hanging="315"/>
        <w:spacing w:after="0" w:line="282"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do not address all the possible hazard characteristics of a catastrophe peril (e.g., the precise path and wind speed of a hurricane);</w:t>
      </w:r>
    </w:p>
    <w:p>
      <w:pPr>
        <w:spacing w:after="0" w:line="80"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true frequency of events;</w:t>
      </w:r>
    </w:p>
    <w:p>
      <w:pPr>
        <w:spacing w:after="0" w:line="130" w:lineRule="exact"/>
        <w:rPr>
          <w:rFonts w:ascii="Times New Roman" w:cs="Times New Roman" w:eastAsia="Times New Roman" w:hAnsi="Times New Roman"/>
          <w:sz w:val="18"/>
          <w:szCs w:val="18"/>
          <w:color w:val="auto"/>
        </w:rPr>
      </w:pPr>
    </w:p>
    <w:p>
      <w:pPr>
        <w:ind w:left="1020" w:right="45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a risk’s vulnerability or susceptibility to damage for a given event characteristic;</w:t>
      </w:r>
    </w:p>
    <w:p>
      <w:pPr>
        <w:spacing w:after="0" w:line="6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account for unusual or unprecedented catastrophe events;</w:t>
      </w:r>
    </w:p>
    <w:p>
      <w:pPr>
        <w:spacing w:after="0" w:line="13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adequately consider the impact of current inflation on the magnitude of modeled losses;</w:t>
      </w:r>
    </w:p>
    <w:p>
      <w:pPr>
        <w:spacing w:after="0" w:line="130" w:lineRule="exact"/>
        <w:rPr>
          <w:rFonts w:ascii="Times New Roman" w:cs="Times New Roman" w:eastAsia="Times New Roman" w:hAnsi="Times New Roman"/>
          <w:sz w:val="18"/>
          <w:szCs w:val="18"/>
          <w:color w:val="auto"/>
        </w:rPr>
      </w:pPr>
    </w:p>
    <w:p>
      <w:pPr>
        <w:ind w:left="1020" w:right="21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represent loss potential to insurance or reinsurance contract coverage limits, terms and conditions; and</w:t>
      </w:r>
    </w:p>
    <w:p>
      <w:pPr>
        <w:spacing w:after="0" w:line="67" w:lineRule="exact"/>
        <w:rPr>
          <w:rFonts w:ascii="Times New Roman" w:cs="Times New Roman" w:eastAsia="Times New Roman" w:hAnsi="Times New Roman"/>
          <w:sz w:val="18"/>
          <w:szCs w:val="18"/>
          <w:color w:val="auto"/>
        </w:rPr>
      </w:pPr>
    </w:p>
    <w:p>
      <w:pPr>
        <w:ind w:left="1020" w:right="79" w:hanging="322"/>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impact on the economy of the area affected or the financial, judicial, political, or regulatory impacts on insurance claim payments during or following a catastrophe event.</w:t>
      </w:r>
    </w:p>
    <w:p>
      <w:pPr>
        <w:spacing w:after="0" w:line="67"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spacing w:after="0" w:line="216"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adversely affect the amount of business we write and impact compliance with our debt covenants.</w:t>
      </w:r>
    </w:p>
    <w:p>
      <w:pPr>
        <w:spacing w:after="0" w:line="186"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September 30, 2022, A.M. Best has assigned a financial strength rating of “A−” (Excellent) (Outlook Stable) to our insurance company subsidiaries, Palomar Specialty Insurance Company (“PSIC”) and Palomar Excess and Surplus Insurance Company (“PESIC”). 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3" w:name="page54"/>
    <w:bookmarkEnd w:id="53"/>
    <w:p>
      <w:pPr>
        <w:ind w:left="60" w:right="159"/>
        <w:spacing w:after="0" w:line="258" w:lineRule="auto"/>
        <w:rPr>
          <w:sz w:val="20"/>
          <w:szCs w:val="20"/>
          <w:color w:val="auto"/>
        </w:rPr>
      </w:pPr>
      <w:r>
        <w:rPr>
          <w:rFonts w:ascii="Times New Roman" w:cs="Times New Roman" w:eastAsia="Times New Roman" w:hAnsi="Times New Roman"/>
          <w:sz w:val="18"/>
          <w:szCs w:val="18"/>
          <w:color w:val="auto"/>
        </w:rPr>
        <w:t>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spacing w:after="0" w:line="183" w:lineRule="exact"/>
        <w:rPr>
          <w:sz w:val="20"/>
          <w:szCs w:val="20"/>
          <w:color w:val="auto"/>
        </w:rPr>
      </w:pPr>
    </w:p>
    <w:p>
      <w:pPr>
        <w:ind w:left="1020" w:right="9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A.M. Best’s rating;</w:t>
      </w:r>
    </w:p>
    <w:p>
      <w:pPr>
        <w:spacing w:after="0" w:line="16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22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w:t>
      </w:r>
    </w:p>
    <w:p>
      <w:pPr>
        <w:spacing w:after="0" w:line="225" w:lineRule="exact"/>
        <w:rPr>
          <w:rFonts w:ascii="Times New Roman" w:cs="Times New Roman" w:eastAsia="Times New Roman" w:hAnsi="Times New Roman"/>
          <w:sz w:val="18"/>
          <w:szCs w:val="18"/>
          <w:color w:val="auto"/>
        </w:rPr>
      </w:pPr>
    </w:p>
    <w:p>
      <w:pPr>
        <w:ind w:left="1020" w:right="179" w:hanging="322"/>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162"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financial strength rating. A downgrade or withdrawal of our rating could result in any of the following consequences, among others:</w:t>
      </w:r>
    </w:p>
    <w:p>
      <w:pPr>
        <w:spacing w:after="0" w:line="162" w:lineRule="exact"/>
        <w:rPr>
          <w:sz w:val="20"/>
          <w:szCs w:val="20"/>
          <w:color w:val="auto"/>
        </w:rPr>
      </w:pPr>
    </w:p>
    <w:p>
      <w:pPr>
        <w:ind w:left="1020" w:right="819" w:hanging="322"/>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current and future distribution partners and insureds to choose other, more highly-rated competitors;</w:t>
      </w:r>
    </w:p>
    <w:p>
      <w:pPr>
        <w:spacing w:after="0" w:line="6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cost or reducing the availability of reinsurance to us;</w:t>
      </w:r>
    </w:p>
    <w:p>
      <w:pPr>
        <w:spacing w:after="0" w:line="130"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limiting or preventing us from writing new and renewal insurance contracts; or</w:t>
      </w:r>
    </w:p>
    <w:p>
      <w:pPr>
        <w:spacing w:after="0" w:line="130"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out of compliance with the financial covenants in our credit agreement.</w:t>
      </w:r>
    </w:p>
    <w:p>
      <w:pPr>
        <w:spacing w:after="0" w:line="131"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due to the Pandemic or otherwise,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90"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Texas and, as a result, we are exposed more significantly to California and Texas loss activity and regulatory environments.</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policyholders and insurance risks are currently concentrated in California and Texas, which generated 46% and 12% of our gross written premiums, respectively, for the year ended December 31, 2021 and 46% and 11% for the nine months ended September 30, 2022. We are exposed to business, economic, political, judicial and regulatory risks due to this concentration that are greater than the risks faced by insurance companies that conduct business over a more extensive geographic area. Any single, major catastrophe event, series of events or other condition causing significant losses in California or Texas could materially adversely affect our business, financial condition and results of operations. Additionally, unfavorable business, economic or regulatory conditions in these states may result in a significant reduction of our premiums or increase our loss exposure.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4" w:name="page55"/>
    <w:bookmarkEnd w:id="54"/>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Changes in California or Texas political climates could result in new or changed legislation affecting the property and casualty insurance industry in general which could have a negative impact on our business.</w:t>
      </w:r>
    </w:p>
    <w:p>
      <w:pPr>
        <w:spacing w:after="0" w:line="158"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of one or more key executives or by an inability to attract and retain qualified personnel.</w:t>
      </w:r>
    </w:p>
    <w:p>
      <w:pPr>
        <w:spacing w:after="0" w:line="15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depend on our ability to attract and retain experienced personnel and seasoned key executives who are knowledgeable about our business. The pool of talent from which we actively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 Since the onset of the Pandemic, companies have had issues with employee turnover and finding, hiring, and retaining qualified employees. These challenges may continue for the foreseeable future.</w:t>
      </w:r>
    </w:p>
    <w:p>
      <w:pPr>
        <w:spacing w:after="0" w:line="18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particular, our future success is substantially dependent on the continued service of our Co-Founder, Chief Executive Officer and Chairman, Mac Armstrong, and our Chief Financial Officer, Christopher Uchida.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rely on a select group of brokers and program administrators, and such relationships may not continue.</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Hawaii Hurricane, and Fronting products through longstanding relationships with two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 These products accounted for $266.2 million or 50% of our gross written premiums for the year ended December 31, 2021, with $10.3 million or 2% of the total attributable to fronting premiums. These products accounted for $311.8 million or 48.5% of our gross written premiums for the nine months ended September 30, 2022, with $104.3 million or 16% of the total attributable to fronting premiums.</w:t>
      </w:r>
    </w:p>
    <w:p>
      <w:pPr>
        <w:spacing w:after="0" w:line="19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This amount includes our Value Select Residential Earthquake program, which represents the majority of our Residential Earthquake premium and is administered through a mutually exclusive program administrator agreement with Arrowhead General Insurance Agency for the states of California, Oregon and Washington. The termination of a relationship with one or more significant brokers or program administrators could result in lower gross written premiums and could have a material adverse effect on our results of operations or business prospects.</w:t>
      </w:r>
    </w:p>
    <w:p>
      <w:pPr>
        <w:spacing w:after="0" w:line="179"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provide our program administrators with specific quoting and binding authority, if any of them fail to comply with pre-established guidelines, our results of operations could be adversely affected.</w:t>
      </w:r>
    </w:p>
    <w:p>
      <w:pPr>
        <w:spacing w:after="0" w:line="15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5" w:name="page56"/>
    <w:bookmarkEnd w:id="55"/>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depends on insurance brokers and program administrators, we are exposed to certain risks arising out of our reliance on these distribution channels that could adversely affect our results.</w:t>
      </w:r>
    </w:p>
    <w:p>
      <w:pPr>
        <w:spacing w:after="0" w:line="15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spacing w:after="0" w:line="18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Because the possibility of these events occurring depends in large part upon the financial condition and internal operations of our brokers, we regularly meet and communicate with our brokers, monitor broker behavior, and review broker financial information on an as-needed basis. If we are unable to collect premiums from our brokers in the future, our underwriting profits may decline, and our financial condition and results of operations could be materially and adversely affected.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business in our industry is intense.</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spacing w:after="0" w:line="18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spacing w:after="0" w:line="183"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Certain new, proposed or potential industry or legislative developments could further increase competition in our industry. These developments include:</w:t>
      </w:r>
    </w:p>
    <w:p>
      <w:pPr>
        <w:spacing w:after="0" w:line="162" w:lineRule="exact"/>
        <w:rPr>
          <w:sz w:val="20"/>
          <w:szCs w:val="20"/>
          <w:color w:val="auto"/>
        </w:rPr>
      </w:pPr>
    </w:p>
    <w:p>
      <w:pPr>
        <w:ind w:left="1020" w:right="99" w:hanging="322"/>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capital-raising by companies in our lines of business, which could result in new entrants to our markets and an excess of capital in the industry; and</w:t>
      </w:r>
    </w:p>
    <w:p>
      <w:pPr>
        <w:spacing w:after="0" w:line="161" w:lineRule="exact"/>
        <w:rPr>
          <w:rFonts w:ascii="Times New Roman" w:cs="Times New Roman" w:eastAsia="Times New Roman" w:hAnsi="Times New Roman"/>
          <w:sz w:val="18"/>
          <w:szCs w:val="18"/>
          <w:color w:val="auto"/>
        </w:rPr>
      </w:pPr>
    </w:p>
    <w:p>
      <w:pPr>
        <w:ind w:left="1020" w:right="519" w:hanging="322"/>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deregulation of commercial insurance lines in certain states and the possibility of federal regulatory reform of the insurance industry, which could increase competition from standard carriers.</w:t>
      </w:r>
    </w:p>
    <w:p>
      <w:pPr>
        <w:spacing w:after="0" w:line="16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56" w:name="page57"/>
    <w:bookmarkEnd w:id="56"/>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policies do not meet expectations, our written premium in future years and our future results of operations could be materially adversely affected.</w:t>
      </w:r>
    </w:p>
    <w:p>
      <w:pPr>
        <w:spacing w:after="0" w:line="15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Most of our insurance policies are written for a one-year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spacing w:after="0" w:line="185" w:lineRule="exact"/>
        <w:rPr>
          <w:sz w:val="20"/>
          <w:szCs w:val="20"/>
          <w:color w:val="auto"/>
        </w:rPr>
      </w:pPr>
    </w:p>
    <w:p>
      <w:pPr>
        <w:ind w:left="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and timely evaluate and pay claims could materially and adversely affect our business, financial condition, results of operations, and prospects.</w:t>
      </w:r>
    </w:p>
    <w:p>
      <w:pPr>
        <w:spacing w:after="0" w:line="15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We must accurately and timely evaluate and pay claims that are made under our policies. Many factors affect our ability to pay claims accurately and timely, including the training and experience of our claims representatives, including our third party claims administrators (“TPAs”), the effectiveness of our management, and our ability to develop or select and implement appropriate procedures and systems to support our claims functions and other factors. 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189" w:lineRule="exact"/>
        <w:rPr>
          <w:sz w:val="20"/>
          <w:szCs w:val="20"/>
          <w:color w:val="auto"/>
        </w:rPr>
      </w:pPr>
    </w:p>
    <w:p>
      <w:pPr>
        <w:jc w:val="both"/>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addition, if we do not manage our TPAs effectively, or if our TPAs are unable to effectively handle our volume of claims, our ability to handle an increasing workload could be adversely affected. In addition to potentially requiring that growth be slowed in the affected markets, our business could suffer from decreased quality of claims work which, in turn, could adversely affect our results of operations.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act based on inaccurate or incomplete information regarding the accounts we underwrite.</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stockholder approval.</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could take excessive risks, which could negatively affect our financial condition and business.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sectPr>
          <w:pgSz w:w="11900" w:h="16838" w:orient="portrait"/>
          <w:cols w:equalWidth="0" w:num="1">
            <w:col w:w="9019"/>
          </w:cols>
          <w:pgMar w:left="1440" w:top="1265"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57" w:name="page58"/>
    <w:bookmarkEnd w:id="57"/>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may only be available on unfavorable terms.</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may be available only on terms that are not favorable to us. In the case of equity financings, dilution to our stockholders could result. In the case of debt financings, we would be subject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229" w:lineRule="exact"/>
        <w:rPr>
          <w:sz w:val="20"/>
          <w:szCs w:val="20"/>
          <w:color w:val="auto"/>
        </w:rPr>
      </w:pPr>
    </w:p>
    <w:p>
      <w:pPr>
        <w:ind w:left="60" w:right="279" w:firstLine="648"/>
        <w:spacing w:after="0" w:line="277" w:lineRule="auto"/>
        <w:rPr>
          <w:sz w:val="20"/>
          <w:szCs w:val="20"/>
          <w:color w:val="auto"/>
        </w:rPr>
      </w:pPr>
      <w:r>
        <w:rPr>
          <w:rFonts w:ascii="Times New Roman" w:cs="Times New Roman" w:eastAsia="Times New Roman" w:hAnsi="Times New Roman"/>
          <w:sz w:val="17"/>
          <w:szCs w:val="17"/>
          <w:color w:val="auto"/>
        </w:rPr>
        <w:t>We intend to grow our business in the future, which could require additional capital, systems development, and skilled personnel. However, we must be able to meet our capital needs, expand our systems and our internal controls effectively, allocate our human resources optimally, identify, hire and retain qualified employees, and effectively incorporate the components of any businesses we may acquire in our effort to achieve growth. The failure to manage our growth effectively could have a material adverse effect on our business, financial condition and results of operations.</w:t>
      </w:r>
    </w:p>
    <w:p>
      <w:pPr>
        <w:spacing w:after="0" w:line="164"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have in the past varied from quarter to quarter and may not be indicative of our long-term prospects.</w:t>
      </w:r>
    </w:p>
    <w:p>
      <w:pPr>
        <w:spacing w:after="0" w:line="15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and contracts, volatility in investment performance and gains and losses on our equity securities, and the cost of reinsurance coverage. Additionally, the future impact of the Pandemic on our business, operations, liquidity, financial condition, and results of operations remains uncertain.</w:t>
      </w:r>
    </w:p>
    <w:p>
      <w:pPr>
        <w:spacing w:after="0" w:line="189" w:lineRule="exact"/>
        <w:rPr>
          <w:sz w:val="20"/>
          <w:szCs w:val="20"/>
          <w:color w:val="auto"/>
        </w:rPr>
      </w:pPr>
    </w:p>
    <w:p>
      <w:pPr>
        <w:ind w:left="60" w:right="499" w:firstLine="648"/>
        <w:spacing w:after="0" w:line="258" w:lineRule="auto"/>
        <w:rPr>
          <w:sz w:val="20"/>
          <w:szCs w:val="20"/>
          <w:color w:val="auto"/>
        </w:rPr>
      </w:pPr>
      <w:r>
        <w:rPr>
          <w:rFonts w:ascii="Times New Roman" w:cs="Times New Roman" w:eastAsia="Times New Roman" w:hAnsi="Times New Roman"/>
          <w:sz w:val="18"/>
          <w:szCs w:val="18"/>
          <w:color w:val="auto"/>
        </w:rPr>
        <w:t>We seek to underwrite products and make investments to achieve favorable returns on tangible stockholders’ equity over the long term. Our opportunistic nature and focus on long-term growth in tangible equity may result in fluctuations in gross written premiums, loss expenses, and other underwriting expenses from period to period as we concentrate on underwriting contracts that we believe will generate better long-term, rather than short-term, results. Accordingly, our short-term results of operations may not be indicative of our long-term prospects.</w:t>
      </w:r>
    </w:p>
    <w:p>
      <w:pPr>
        <w:spacing w:after="0" w:line="179"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spacing w:after="0" w:line="17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certain lenders which provides a revolving credit facility of up to $100.0 million. Currently, we have no borrowings under the Credit Agreement. If we make borrowings in the future, it may impact our business and financial condition by:</w:t>
      </w:r>
    </w:p>
    <w:p>
      <w:pPr>
        <w:spacing w:after="0" w:line="176" w:lineRule="exact"/>
        <w:rPr>
          <w:sz w:val="20"/>
          <w:szCs w:val="20"/>
          <w:color w:val="auto"/>
        </w:rPr>
      </w:pPr>
    </w:p>
    <w:p>
      <w:pPr>
        <w:ind w:left="1020" w:right="159" w:hanging="322"/>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flows from operations to service our debt, thereby reducing the amount of expected cash flows available for other purposes, including investing, and paying claims and operating expenses and;</w:t>
      </w:r>
    </w:p>
    <w:p>
      <w:pPr>
        <w:spacing w:after="0" w:line="175"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interest rate risk since the interest rate in the credit agreement is a variable rate</w:t>
      </w:r>
    </w:p>
    <w:p>
      <w:pPr>
        <w:spacing w:after="0" w:line="225" w:lineRule="exact"/>
        <w:rPr>
          <w:sz w:val="20"/>
          <w:szCs w:val="20"/>
          <w:color w:val="auto"/>
        </w:rPr>
      </w:pPr>
    </w:p>
    <w:p>
      <w:pPr>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In addition, the Credit Agreement contains financial covenants, restrictions on indebtedness, liens, investments, mergers, dispositions, prepayment of other indebtedness and dividends and other distributions. The financial covenants</w:t>
      </w:r>
    </w:p>
    <w:p>
      <w:pPr>
        <w:sectPr>
          <w:pgSz w:w="11900" w:h="16838" w:orient="portrait"/>
          <w:cols w:equalWidth="0" w:num="1">
            <w:col w:w="9019"/>
          </w:cols>
          <w:pgMar w:left="1440" w:top="1265"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type w:val="continuous"/>
        </w:sectPr>
      </w:pPr>
    </w:p>
    <w:bookmarkStart w:id="58" w:name="page59"/>
    <w:bookmarkEnd w:id="58"/>
    <w:p>
      <w:pPr>
        <w:ind w:left="60" w:right="99"/>
        <w:spacing w:after="0" w:line="255" w:lineRule="auto"/>
        <w:rPr>
          <w:sz w:val="20"/>
          <w:szCs w:val="20"/>
          <w:color w:val="auto"/>
        </w:rPr>
      </w:pPr>
      <w:r>
        <w:rPr>
          <w:rFonts w:ascii="Times New Roman" w:cs="Times New Roman" w:eastAsia="Times New Roman" w:hAnsi="Times New Roman"/>
          <w:sz w:val="18"/>
          <w:szCs w:val="18"/>
          <w:color w:val="auto"/>
        </w:rPr>
        <w:t>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Economic Environment</w:t>
      </w:r>
    </w:p>
    <w:p>
      <w:pPr>
        <w:spacing w:after="0" w:line="22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effects of the Pandemic have significantly affected the global and U.S. economies and financial markets, and may further disrupt our operations and the operations of our insureds, agents, and third parties upon which we rely.</w:t>
      </w:r>
    </w:p>
    <w:p>
      <w:pPr>
        <w:spacing w:after="0" w:line="6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current Pandemic has caused significant disruption in the global and U.S. economies and financial markets. COVID-19 and its variant strains have caused illness, quarantines, cancellation of events and travel, business and school closures, reduction in business activity, increased unemployment, supply chain interruptions, and overall economic and financial market instability. There continue to be significant reported cases of infected individuals throughout the United States and globally. Impacts to our business could be widespread and material impacts may result, including but not limited to, the following:</w:t>
      </w:r>
    </w:p>
    <w:p>
      <w:pPr>
        <w:spacing w:after="0" w:line="93"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contracting COVID-19 and/or related variants;</w:t>
      </w:r>
    </w:p>
    <w:p>
      <w:pPr>
        <w:spacing w:after="0" w:line="14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operating effectiveness as certain employees work from home;</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key personnel necessary to conduct our business activities;</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financial markets that could materially affect our investment portfolio valuations and returns;</w:t>
      </w:r>
    </w:p>
    <w:p>
      <w:pPr>
        <w:spacing w:after="0" w:line="144"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mandates and/or legislative changes, including premium grace periods and presumed Pandemic compensability for all or certain insured groups;</w:t>
      </w:r>
    </w:p>
    <w:p>
      <w:pPr>
        <w:spacing w:after="0" w:line="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frequency and/or severity of compensable claims;</w:t>
      </w:r>
    </w:p>
    <w:p>
      <w:pPr>
        <w:spacing w:after="0" w:line="13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credit risk;</w:t>
      </w:r>
    </w:p>
    <w:p>
      <w:pPr>
        <w:spacing w:after="0" w:line="144" w:lineRule="exact"/>
        <w:rPr>
          <w:rFonts w:ascii="Times New Roman" w:cs="Times New Roman" w:eastAsia="Times New Roman" w:hAnsi="Times New Roman"/>
          <w:sz w:val="18"/>
          <w:szCs w:val="18"/>
          <w:color w:val="auto"/>
        </w:rPr>
      </w:pPr>
    </w:p>
    <w:p>
      <w:pPr>
        <w:ind w:left="720" w:right="51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 to independent insurance agents and brokers and/or our partners that market and sell our insurance products; and</w:t>
      </w:r>
    </w:p>
    <w:p>
      <w:pPr>
        <w:spacing w:after="0" w:line="67"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to third parties that we outsource certain business functions to and whose technology upon which we rely.</w:t>
      </w:r>
    </w:p>
    <w:p>
      <w:pPr>
        <w:spacing w:after="0" w:line="162" w:lineRule="exact"/>
        <w:rPr>
          <w:sz w:val="20"/>
          <w:szCs w:val="20"/>
          <w:color w:val="auto"/>
        </w:rPr>
      </w:pPr>
    </w:p>
    <w:p>
      <w:pPr>
        <w:ind w:left="60" w:right="199" w:firstLine="648"/>
        <w:spacing w:after="0" w:line="277" w:lineRule="auto"/>
        <w:rPr>
          <w:sz w:val="20"/>
          <w:szCs w:val="20"/>
          <w:color w:val="auto"/>
        </w:rPr>
      </w:pPr>
      <w:r>
        <w:rPr>
          <w:rFonts w:ascii="Times New Roman" w:cs="Times New Roman" w:eastAsia="Times New Roman" w:hAnsi="Times New Roman"/>
          <w:sz w:val="17"/>
          <w:szCs w:val="17"/>
          <w:color w:val="auto"/>
        </w:rPr>
        <w:t>Since the beginning of the Pandemic, we have taken precautions to protect the safety and well-being of our employees while providing uninterrupted service to our policyholders and claimants. However, no assurance can be given that these actions will be sufficient in the future. Furthermore, the macroeconomic effects of the Pandemic may persist for an indefinite period, even after the pandemic has subsided, which could negatively impact demand for our insurance products in the future and result in a material adverse effect on our results of operations and financial condition.</w:t>
      </w:r>
    </w:p>
    <w:p>
      <w:pPr>
        <w:spacing w:after="0" w:line="164" w:lineRule="exact"/>
        <w:rPr>
          <w:sz w:val="20"/>
          <w:szCs w:val="20"/>
          <w:color w:val="auto"/>
        </w:rPr>
      </w:pPr>
    </w:p>
    <w:p>
      <w:pPr>
        <w:ind w:left="60" w:right="1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18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Factors, such as general economic conditions, the volatility and strength of the capital markets, and inflation can affect the business and economic environment. These same factors affect our ability to generate revenue and profits.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59" w:name="page60"/>
    <w:bookmarkEnd w:id="59"/>
    <w:p>
      <w:pPr>
        <w:ind w:left="60" w:right="199"/>
        <w:spacing w:after="0" w:line="254" w:lineRule="auto"/>
        <w:rPr>
          <w:sz w:val="20"/>
          <w:szCs w:val="20"/>
          <w:color w:val="auto"/>
        </w:rPr>
      </w:pPr>
      <w:r>
        <w:rPr>
          <w:rFonts w:ascii="Times New Roman" w:cs="Times New Roman" w:eastAsia="Times New Roman" w:hAnsi="Times New Roman"/>
          <w:sz w:val="18"/>
          <w:szCs w:val="18"/>
          <w:color w:val="auto"/>
        </w:rPr>
        <w:t>In an economic downturn that is characterized by higher unemployment, declining spending, and reduced corporate revenue, the demand for insurance products is generally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spacing w:after="0" w:line="192" w:lineRule="exact"/>
        <w:rPr>
          <w:sz w:val="20"/>
          <w:szCs w:val="20"/>
          <w:color w:val="auto"/>
        </w:rPr>
      </w:pPr>
    </w:p>
    <w:p>
      <w:pPr>
        <w:ind w:left="60" w:right="559" w:firstLine="648"/>
        <w:spacing w:after="0" w:line="312" w:lineRule="auto"/>
        <w:rPr>
          <w:sz w:val="20"/>
          <w:szCs w:val="20"/>
          <w:color w:val="auto"/>
        </w:rPr>
      </w:pPr>
      <w:r>
        <w:rPr>
          <w:rFonts w:ascii="Times New Roman" w:cs="Times New Roman" w:eastAsia="Times New Roman" w:hAnsi="Times New Roman"/>
          <w:sz w:val="17"/>
          <w:szCs w:val="17"/>
          <w:color w:val="auto"/>
        </w:rPr>
        <w:t>We underwrite a significant portion of our insurance in California and Texas. An economic downturn which particularly impacts either state could have an adverse effect on our financial condition and results of operations.</w:t>
      </w:r>
    </w:p>
    <w:p>
      <w:pPr>
        <w:spacing w:after="0" w:line="136"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15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Board of Directors. Our investments are subject to general economic conditions and market risks as well as risks inherent to particular securities.</w:t>
      </w:r>
    </w:p>
    <w:p>
      <w:pPr>
        <w:spacing w:after="0" w:line="18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Some fixed maturity securities have call or prepayment options, which create possible reinvestment risk in declining rate environments. Other fixed maturity securities, such as mortgage-backed and asset-backed securities, carry prepayment risk or, in a rising interest rate environment, may not prepay as quickly as expected.</w:t>
      </w:r>
    </w:p>
    <w:p>
      <w:pPr>
        <w:spacing w:after="0" w:line="187" w:lineRule="exact"/>
        <w:rPr>
          <w:sz w:val="20"/>
          <w:szCs w:val="20"/>
          <w:color w:val="auto"/>
        </w:rPr>
      </w:pPr>
    </w:p>
    <w:p>
      <w:pPr>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maturities also have a significant negative effect on the market valuation of such securities.</w:t>
      </w:r>
    </w:p>
    <w:p>
      <w:pPr>
        <w:spacing w:after="0" w:line="164"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64"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We also invest in marketable equity securities. These securities are carried on the balance sheet at fair market value and are subject to potential losses and declines in market value based on the performance of equity markets. Our equity invested assets totaled $35.5 million as of September 30, 2022.</w:t>
      </w:r>
    </w:p>
    <w:p>
      <w:pPr>
        <w:spacing w:after="0" w:line="1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the Oregon Division of Financial Regulation and the California and Arizona Departments of Insurance.</w:t>
      </w:r>
    </w:p>
    <w:p>
      <w:pPr>
        <w:spacing w:after="0" w:line="183"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0" w:name="page61"/>
    <w:bookmarkEnd w:id="60"/>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Technology</w:t>
      </w:r>
    </w:p>
    <w:p>
      <w:pPr>
        <w:spacing w:after="0" w:line="225" w:lineRule="exact"/>
        <w:rPr>
          <w:sz w:val="20"/>
          <w:szCs w:val="20"/>
          <w:color w:val="auto"/>
        </w:rPr>
      </w:pPr>
    </w:p>
    <w:p>
      <w:pPr>
        <w:ind w:left="60" w:right="2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employ third-party licensed software for use in our business, and the inability to maintain these licenses, problems with the software we license, or increases to the cost of software licenses could adversely affect our business.</w:t>
      </w:r>
    </w:p>
    <w:p>
      <w:pPr>
        <w:spacing w:after="0" w:line="136"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Multiple areas of our business rely on certain third-party software obtained under licenses from other companies. We anticipate that we will continue to rely on such third-party software in the future. Unforeseen issues may arise in third-party software platforms which may have an adverse impact on our operations. Integration of new third-party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third-party software cannot be eliminated, and these risks could negatively affect our business.</w:t>
      </w:r>
    </w:p>
    <w:p>
      <w:pPr>
        <w:spacing w:after="0" w:line="188" w:lineRule="exact"/>
        <w:rPr>
          <w:sz w:val="20"/>
          <w:szCs w:val="20"/>
          <w:color w:val="auto"/>
        </w:rPr>
      </w:pPr>
    </w:p>
    <w:p>
      <w:pPr>
        <w:ind w:left="60" w:right="239" w:firstLine="648"/>
        <w:spacing w:after="0" w:line="273" w:lineRule="auto"/>
        <w:rPr>
          <w:sz w:val="20"/>
          <w:szCs w:val="20"/>
          <w:color w:val="auto"/>
        </w:rPr>
      </w:pPr>
      <w:r>
        <w:rPr>
          <w:rFonts w:ascii="Times New Roman" w:cs="Times New Roman" w:eastAsia="Times New Roman" w:hAnsi="Times New Roman"/>
          <w:sz w:val="17"/>
          <w:szCs w:val="17"/>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failure of our information technology and telecommunications systems could adversely affect our business.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1" w:name="page62"/>
    <w:bookmarkEnd w:id="61"/>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or cyber-attacks could expose the Company to liability and damage its reputation and business.</w:t>
      </w:r>
    </w:p>
    <w:p>
      <w:pPr>
        <w:spacing w:after="0" w:line="229"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cyber-attacks or other disruptions.</w:t>
      </w:r>
    </w:p>
    <w:p>
      <w:pPr>
        <w:spacing w:after="0" w:line="1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spacing w:after="0" w:line="19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spacing w:after="0" w:line="19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break-ins or inappropriate access, or other developments will not compromise or breach the technology or other security measures protecting the networks and systems used in connection with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Any cloud provider service failure or control weakness could adversely affect our business.</w:t>
      </w:r>
    </w:p>
    <w:p>
      <w:pPr>
        <w:spacing w:after="0" w:line="29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employ cloud-based services to host our applications and intend to expand our use. As we expand our use of cloud-based services, we will increasingly rely on third-party cloud providers to maintain appropriate controls and safeguards to protect confidential information we receive, including personal, personally identifiable, sensitive, confidential or proprietary data, and the integrity and continuous operation of our proprietary technology platform. While we conduct due diligence on these cloud providers with respect to their security and business controls, we may not have the visibility to effectively monitor the implementation and efficacy of these controls. Outside parties may be able to circumvent controls or exploit vulnerabilities, resulting in operational disruption, data loss, defects or a security event. Migrating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 to write and process new and renewal business, provide customer service, pay claims in a timely manner or otherwise operate our business. Any such event or failure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25" w:lineRule="exact"/>
        <w:rPr>
          <w:sz w:val="20"/>
          <w:szCs w:val="20"/>
          <w:color w:val="auto"/>
        </w:rPr>
      </w:pPr>
    </w:p>
    <w:p>
      <w:pPr>
        <w:ind w:left="6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94"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 xml:space="preserve">PSIC is subject to extensive regulation in Oregon, its state of domicile, California, where it is commercially domiciled, and to a lesser degree, the other states in which it operates. PESIC </w:t>
      </w:r>
      <w:r>
        <w:rPr>
          <w:rFonts w:ascii="Times New Roman" w:cs="Times New Roman" w:eastAsia="Times New Roman" w:hAnsi="Times New Roman"/>
          <w:sz w:val="17"/>
          <w:szCs w:val="17"/>
          <w:color w:val="212529"/>
        </w:rPr>
        <w:t>is subject to extensive regulation in Arizona,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its state of domicile, and to a lesser degree, the other states in which it writes business. </w:t>
      </w:r>
      <w:r>
        <w:rPr>
          <w:rFonts w:ascii="Times New Roman" w:cs="Times New Roman" w:eastAsia="Times New Roman" w:hAnsi="Times New Roman"/>
          <w:sz w:val="17"/>
          <w:szCs w:val="17"/>
          <w:color w:val="000000"/>
        </w:rPr>
        <w:t>Our Bermuda based reinsurance</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subsidiary, Palomar Specialty Reinsurance Company Bermuda Ltd. (“PSRE”), is subject to regulation in Bermuda.</w:t>
      </w:r>
    </w:p>
    <w:p>
      <w:pPr>
        <w:spacing w:after="0" w:line="97" w:lineRule="exact"/>
        <w:rPr>
          <w:sz w:val="20"/>
          <w:szCs w:val="20"/>
          <w:color w:val="auto"/>
        </w:rPr>
      </w:pPr>
    </w:p>
    <w:p>
      <w:pPr>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spacing w:after="0" w:line="106" w:lineRule="exact"/>
        <w:rPr>
          <w:sz w:val="20"/>
          <w:szCs w:val="20"/>
          <w:color w:val="auto"/>
        </w:rPr>
      </w:pPr>
    </w:p>
    <w:p>
      <w:pPr>
        <w:ind w:left="60" w:right="139" w:firstLine="648"/>
        <w:spacing w:after="0" w:line="269" w:lineRule="auto"/>
        <w:rPr>
          <w:sz w:val="20"/>
          <w:szCs w:val="20"/>
          <w:color w:val="auto"/>
        </w:rPr>
      </w:pPr>
      <w:r>
        <w:rPr>
          <w:rFonts w:ascii="Times New Roman" w:cs="Times New Roman" w:eastAsia="Times New Roman" w:hAnsi="Times New Roman"/>
          <w:sz w:val="17"/>
          <w:szCs w:val="17"/>
          <w:color w:val="auto"/>
        </w:rPr>
        <w:t>Our U.S. insurance subsidiaries are part of an “insurance holding company system” within the meaning of applicable California, Oregon and Arizona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California Department of Insurance, the Oregon Division of Financial Regulation, or the Arizona Department of Insurance, as applicable, at least</w:t>
      </w:r>
    </w:p>
    <w:p>
      <w:pPr>
        <w:spacing w:after="0" w:line="3"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30 days prior to engaging in the transaction and the California Department of Insurance, the Oregon Division of Financial Regulation, or the Arizona Department of Insurance, as applicable,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in California, Oregon or Arizona, as applicable, we may be subject to significant fines and penalties and our working relationship with the California Department of Insurance, the Oregon Division of Financial Regulation, or the Arizona Department of Insurance, as applicable, may be impaired.</w:t>
      </w:r>
    </w:p>
    <w:p>
      <w:pPr>
        <w:spacing w:after="0" w:line="188"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17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U.S. insurance subsidiaries are subject to risk-based capital requirements, based upon the “risk based capital model” adopted by the NAIC, and other minimum capital and surplus restrictions imposed under Arizona, Oregon and California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5" w:right="1440" w:bottom="1440" w:gutter="0" w:footer="0" w:header="0"/>
        </w:sectPr>
      </w:pPr>
    </w:p>
    <w:bookmarkStart w:id="63" w:name="page64"/>
    <w:bookmarkEnd w:id="63"/>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PSRE is subject to regulation from the European Union. The European Union adopted the Economic Substance Act 2018 and the Economic Substance Regulations 2018 (together, the “ES Requirements”). As an insurance company, our Bermuda subsidiary conducts a relevant activity and will be subject to the ES Requirements. As a result, our Bermuda subsidiary may be required to change or increase our business operations in Bermuda to meet the new requirements. Compliance with the ES Requirements is required with effect from July 1, 2019.</w:t>
      </w:r>
    </w:p>
    <w:p>
      <w:pPr>
        <w:spacing w:after="0" w:line="179"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19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76"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including additional regulation around cyber-attacks, which may have a material adverse impact on our business.</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business could be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spacing w:after="0" w:line="19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Any government mandates and/or legislative changes related to the ongoing Pandemic, including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spacing w:after="0" w:line="180"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Additionally, in response to the growing threat of cyber-attacks in the insurance industry, certain jurisdictions have begun to consider new cybersecurity measures, including the adoption of cybersecurity regulations which, among other things, would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As we expand our insurance operations, we expect to be impacted by this legislation and be required to file compliance certifications pertaining to this legislation.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4" w:name="page65"/>
    <w:bookmarkEnd w:id="64"/>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spacing w:after="0" w:line="176" w:lineRule="exact"/>
        <w:rPr>
          <w:sz w:val="20"/>
          <w:szCs w:val="20"/>
          <w:color w:val="auto"/>
        </w:rPr>
      </w:pPr>
    </w:p>
    <w:p>
      <w:pPr>
        <w:jc w:val="both"/>
        <w:ind w:left="60" w:right="719" w:firstLine="648"/>
        <w:spacing w:after="0" w:line="312" w:lineRule="auto"/>
        <w:rPr>
          <w:sz w:val="20"/>
          <w:szCs w:val="20"/>
          <w:color w:val="auto"/>
        </w:rPr>
      </w:pPr>
      <w:r>
        <w:rPr>
          <w:rFonts w:ascii="Times New Roman" w:cs="Times New Roman" w:eastAsia="Times New Roman" w:hAnsi="Times New Roman"/>
          <w:sz w:val="17"/>
          <w:szCs w:val="17"/>
          <w:color w:val="auto"/>
        </w:rPr>
        <w:t>While we have implemented cybersecurity policies and procedures, there is no guarantee our policies and procedures will protect our systems against all attacks or comply with all provisions of these evolving regulations.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as a result of the enactment of tax legislation could impact our operations and profitability.</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states increase the assessments that we are required to pay, our business, financial condition and results of operations would suffer.</w:t>
      </w:r>
    </w:p>
    <w:p>
      <w:pPr>
        <w:spacing w:after="0" w:line="15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spacing w:after="0" w:line="192"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PSIC is licensed to conduct insurance operations on an admitted basis in 34 states. As PSIC grows, its share of any assessments in each state in which it underwrites business on an admitted basis may increase. PSIC paid assessments of $0.1 million in 2021 and $0.2 million for the nine months ended September 30, 2022. We cannot predict with certainty the amount of future assessments, because they depend on factors outside our control, such as insolvencies of other insurance companies as well as the occurrence of significant catastrophes. Assessments are generally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spacing w:after="0" w:line="183" w:lineRule="exact"/>
        <w:rPr>
          <w:sz w:val="20"/>
          <w:szCs w:val="20"/>
          <w:color w:val="auto"/>
        </w:rPr>
      </w:pPr>
    </w:p>
    <w:p>
      <w:pPr>
        <w:ind w:left="6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a holding company and substantially all our operations are conducted by our insurance subsidiaries, our ability to pay dividends depends on our ability to obtain cash dividends or other permitted payments from our insurance subsidiaries.</w:t>
      </w:r>
    </w:p>
    <w:p>
      <w:pPr>
        <w:spacing w:after="0" w:line="175"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and PSRE. State insurance laws, including the laws of Oregon, California, Arizona, and the laws of Bermuda restrict the ability of our subsidiaries to declare stockholder dividends. State insurance regulators require insurance companies to maintain specified levels of statutory capital and surplus. The maximum dividend distribution absent the approval or non-disapproval of the insurance regulatory authority in Oregon, California and Arizona is limited by Oregon law at ORS 732.576, California law at Cal. Ins. Code 1215.5(g) and Arizona Revised Statute 20-481.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w:t>
      </w:r>
    </w:p>
    <w:p>
      <w:pPr>
        <w:sectPr>
          <w:pgSz w:w="11900" w:h="16838" w:orient="portrait"/>
          <w:cols w:equalWidth="0" w:num="1">
            <w:col w:w="9019"/>
          </w:cols>
          <w:pgMar w:left="1440" w:top="1269"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type w:val="continuous"/>
        </w:sectPr>
      </w:pPr>
    </w:p>
    <w:bookmarkStart w:id="65" w:name="page66"/>
    <w:bookmarkEnd w:id="65"/>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that dividends up to the maximum amounts calculated under any applicable formula would be permitted. Moreover, state insurance regulators that have jurisdiction over the payment of dividends by PSIC and PESIC may in the future adopt statutory provisions more restrictive than those currently in effect.</w:t>
      </w:r>
    </w:p>
    <w:p>
      <w:pPr>
        <w:spacing w:after="0" w:line="17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spacing w:after="0" w:line="187"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effects of litigation on our business are uncertain and could have an adverse effect on our business.</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185" w:lineRule="exact"/>
        <w:rPr>
          <w:sz w:val="20"/>
          <w:szCs w:val="20"/>
          <w:color w:val="auto"/>
        </w:rPr>
      </w:pPr>
    </w:p>
    <w:p>
      <w:pPr>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spacing w:after="0" w:line="175" w:lineRule="exact"/>
        <w:rPr>
          <w:sz w:val="20"/>
          <w:szCs w:val="20"/>
          <w:color w:val="auto"/>
        </w:rPr>
      </w:pPr>
    </w:p>
    <w:p>
      <w:pPr>
        <w:ind w:left="60" w:right="219" w:firstLine="648"/>
        <w:spacing w:after="0" w:line="274" w:lineRule="auto"/>
        <w:rPr>
          <w:sz w:val="20"/>
          <w:szCs w:val="20"/>
          <w:color w:val="auto"/>
        </w:rPr>
      </w:pPr>
      <w:r>
        <w:rPr>
          <w:rFonts w:ascii="Times New Roman" w:cs="Times New Roman" w:eastAsia="Times New Roman" w:hAnsi="Times New Roman"/>
          <w:sz w:val="17"/>
          <w:szCs w:val="17"/>
          <w:color w:val="auto"/>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spacing w:after="0" w:line="169" w:lineRule="exact"/>
        <w:rPr>
          <w:sz w:val="20"/>
          <w:szCs w:val="20"/>
          <w:color w:val="auto"/>
        </w:rPr>
      </w:pPr>
    </w:p>
    <w:p>
      <w:pPr>
        <w:jc w:val="both"/>
        <w:ind w:left="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75"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6" w:name="page67"/>
    <w:bookmarkEnd w:id="66"/>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time-consuming and divert the attention of our management and key personnel from our business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addition to compliance with GAAP on a consolidated basis, PSIC, PESIC, and PSRE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185"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public company, and our management is required to devote substantial time to complying with public company regulations.</w:t>
      </w:r>
    </w:p>
    <w:p>
      <w:pPr>
        <w:spacing w:after="0" w:line="78"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Our compliance with Section 404 requires that we incur substantial accounting expense and expend significant management efforts. We must maintain accounting and financial staff and consultants with appropriate public company reporting, technical accounting, and internal control knowledge to satisfy the ongoing requirements of Section 404 and provide internal audit services.</w:t>
      </w:r>
    </w:p>
    <w:p>
      <w:pPr>
        <w:spacing w:after="0" w:line="12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Sarbanes-Oxley Act and the Dodd-Frank Act, as well as new rules subsequently implemented by the SEC and Nasdaq, have increased regulation of, and imposed enhanced disclosure and corporate governance requirements on, public companies. Our efforts to comply with these evolving laws, regulations and standards increases our operating costs and divert management’s time and attention from revenue-generating activities.</w:t>
      </w:r>
    </w:p>
    <w:p>
      <w:pPr>
        <w:spacing w:after="0" w:line="112"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7" w:name="page68"/>
    <w:bookmarkEnd w:id="67"/>
    <w:p>
      <w:pPr>
        <w:ind w:left="1020" w:right="399" w:hanging="322"/>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periodic reports and distribute other stockholder communications, in compliance with the federal securities laws and requirements of Nasdaq;</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and expand the roles and the duties of our Board of Directors and its committees;</w:t>
      </w:r>
    </w:p>
    <w:p>
      <w:pPr>
        <w:spacing w:after="0" w:line="11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comprehensive compliance and investor relations functions; and</w:t>
      </w:r>
    </w:p>
    <w:p>
      <w:pPr>
        <w:spacing w:after="0" w:line="117" w:lineRule="exact"/>
        <w:rPr>
          <w:rFonts w:ascii="Times New Roman" w:cs="Times New Roman" w:eastAsia="Times New Roman" w:hAnsi="Times New Roman"/>
          <w:sz w:val="18"/>
          <w:szCs w:val="18"/>
          <w:color w:val="auto"/>
        </w:rPr>
      </w:pPr>
    </w:p>
    <w:p>
      <w:pPr>
        <w:ind w:left="1020" w:right="99" w:hanging="322"/>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maintain our system of internal control over financial reporting, and report on management’s assessment thereof, in compliance with rules and regulations of the SEC and the Public Company Accounting Oversight Board.</w:t>
      </w:r>
    </w:p>
    <w:p>
      <w:pPr>
        <w:spacing w:after="0" w:line="68"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0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spacing w:after="0" w:line="183" w:lineRule="exact"/>
        <w:rPr>
          <w:sz w:val="20"/>
          <w:szCs w:val="20"/>
          <w:color w:val="auto"/>
        </w:rPr>
      </w:pPr>
    </w:p>
    <w:p>
      <w:pPr>
        <w:jc w:val="both"/>
        <w:ind w:left="60" w:right="49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15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404(b) of the Sarbanes-Oxley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Sarbanes-Oxley.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 with the SEC. Any of the above could cause investors to lose confidence in our reported financial information or our common stock listing on Nasdaq to be suspended or terminated, which could have a negative effect on the trading price of our common stock.</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Under applicable Oregon, California and Arizona insurance laws and regulations,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 Oregon, California and Arizona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8" w:name="page69"/>
    <w:bookmarkEnd w:id="68"/>
    <w:p>
      <w:pPr>
        <w:ind w:left="60" w:right="259"/>
        <w:spacing w:after="0" w:line="258" w:lineRule="auto"/>
        <w:rPr>
          <w:sz w:val="20"/>
          <w:szCs w:val="20"/>
          <w:color w:val="auto"/>
        </w:rPr>
      </w:pPr>
      <w:r>
        <w:rPr>
          <w:rFonts w:ascii="Times New Roman" w:cs="Times New Roman" w:eastAsia="Times New Roman" w:hAnsi="Times New Roman"/>
          <w:sz w:val="18"/>
          <w:szCs w:val="18"/>
          <w:color w:val="auto"/>
        </w:rPr>
        <w:t>filing requirements under Oregon, California and Arizona insurance laws and regulations, absent a disclaimer of control filing and its acceptance by the Oregon, California and Arizona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spacing w:after="0" w:line="17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transactions where we raise capital may negatively affect our stock price.</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spacing w:after="0" w:line="176"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or may decline regardless of our operating performance, and holders of our common stock could lose all or part of their investment.</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in each case, in light of the market volatility and uncertainty as a result of the Pandemic,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spacing w:after="0" w:line="138" w:lineRule="exact"/>
        <w:rPr>
          <w:sz w:val="20"/>
          <w:szCs w:val="20"/>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analysis and investors;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171" w:lineRule="exact"/>
        <w:rPr>
          <w:rFonts w:ascii="Times New Roman" w:cs="Times New Roman" w:eastAsia="Times New Roman" w:hAnsi="Times New Roman"/>
          <w:sz w:val="18"/>
          <w:szCs w:val="18"/>
          <w:color w:val="auto"/>
        </w:rPr>
      </w:pPr>
    </w:p>
    <w:p>
      <w:pPr>
        <w:ind w:left="1020" w:right="659" w:hanging="322"/>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0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our competitors or our acquisition targets;</w:t>
      </w:r>
    </w:p>
    <w:p>
      <w:pPr>
        <w:spacing w:after="0" w:line="171" w:lineRule="exact"/>
        <w:rPr>
          <w:rFonts w:ascii="Times New Roman" w:cs="Times New Roman" w:eastAsia="Times New Roman" w:hAnsi="Times New Roman"/>
          <w:sz w:val="18"/>
          <w:szCs w:val="18"/>
          <w:color w:val="auto"/>
        </w:rPr>
      </w:pPr>
    </w:p>
    <w:p>
      <w:pPr>
        <w:ind w:left="1020" w:right="479" w:hanging="322"/>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 including by our directors, executive officers and principal stockholders;</w:t>
      </w:r>
    </w:p>
    <w:p>
      <w:pPr>
        <w:spacing w:after="0" w:line="10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in our Board or Directors, senior management or other key personnel;</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69" w:name="page70"/>
    <w:bookmarkEnd w:id="69"/>
    <w:p>
      <w:pPr>
        <w:ind w:left="1020" w:right="299" w:hanging="322"/>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10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 including those caused by the Pandemic;</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may incur or securities we may issue in the future;</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w:t>
      </w:r>
    </w:p>
    <w:p>
      <w:pPr>
        <w:spacing w:after="0" w:line="171" w:lineRule="exact"/>
        <w:rPr>
          <w:rFonts w:ascii="Times New Roman" w:cs="Times New Roman" w:eastAsia="Times New Roman" w:hAnsi="Times New Roman"/>
          <w:sz w:val="18"/>
          <w:szCs w:val="18"/>
          <w:color w:val="auto"/>
        </w:rPr>
      </w:pPr>
    </w:p>
    <w:p>
      <w:pPr>
        <w:ind w:left="1020" w:right="659" w:hanging="322"/>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and credit market risks that adversely affect our investment portfolio or our capital resources;</w:t>
      </w:r>
    </w:p>
    <w:p>
      <w:pPr>
        <w:spacing w:after="0" w:line="107"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tax rates;</w:t>
      </w:r>
    </w:p>
    <w:p>
      <w:pPr>
        <w:spacing w:after="0" w:line="171"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and</w:t>
      </w:r>
    </w:p>
    <w:p>
      <w:pPr>
        <w:spacing w:after="0" w:line="171" w:lineRule="exact"/>
        <w:rPr>
          <w:rFonts w:ascii="Times New Roman" w:cs="Times New Roman" w:eastAsia="Times New Roman" w:hAnsi="Times New Roman"/>
          <w:sz w:val="18"/>
          <w:szCs w:val="18"/>
          <w:color w:val="auto"/>
        </w:rPr>
      </w:pPr>
    </w:p>
    <w:p>
      <w:pPr>
        <w:ind w:left="1020" w:right="559" w:hanging="322"/>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natural disasters, war, pandemics, acts of terrorism, cyber-attacks or responses to these events.</w:t>
      </w:r>
    </w:p>
    <w:p>
      <w:pPr>
        <w:spacing w:after="0" w:line="16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spacing w:after="0" w:line="183"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176"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a change in management and limit our share price.</w:t>
      </w:r>
    </w:p>
    <w:p>
      <w:pPr>
        <w:spacing w:after="0" w:line="15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Our charter documents contain anti-takeover provisions that will hinder takeover attempts and could reduce the market value of our common stock or prevent sale at a premium. Our anti-takeover provisions:</w:t>
      </w:r>
    </w:p>
    <w:p>
      <w:pPr>
        <w:spacing w:after="0" w:line="162" w:lineRule="exact"/>
        <w:rPr>
          <w:sz w:val="20"/>
          <w:szCs w:val="20"/>
          <w:color w:val="auto"/>
        </w:rPr>
      </w:pPr>
    </w:p>
    <w:p>
      <w:pPr>
        <w:ind w:left="1020" w:right="319" w:hanging="322"/>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53" w:lineRule="exact"/>
        <w:rPr>
          <w:rFonts w:ascii="Times New Roman" w:cs="Times New Roman" w:eastAsia="Times New Roman" w:hAnsi="Times New Roman"/>
          <w:sz w:val="18"/>
          <w:szCs w:val="18"/>
          <w:color w:val="auto"/>
        </w:rPr>
      </w:pPr>
    </w:p>
    <w:p>
      <w:pPr>
        <w:ind w:left="1020" w:right="179" w:hanging="322"/>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through 2027, that our Board of Directors are classified into three classes with staggered, three year terms and that directors may only be removed for cause;</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provisions in our certificate of incorporation and bylaws;</w:t>
      </w:r>
    </w:p>
    <w:p>
      <w:pPr>
        <w:spacing w:after="0" w:line="117" w:lineRule="exact"/>
        <w:rPr>
          <w:rFonts w:ascii="Times New Roman" w:cs="Times New Roman" w:eastAsia="Times New Roman" w:hAnsi="Times New Roman"/>
          <w:sz w:val="18"/>
          <w:szCs w:val="18"/>
          <w:color w:val="auto"/>
        </w:rPr>
      </w:pPr>
    </w:p>
    <w:p>
      <w:pPr>
        <w:ind w:left="1020" w:right="159" w:hanging="322"/>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70" w:name="page71"/>
    <w:bookmarkEnd w:id="70"/>
    <w:p>
      <w:pPr>
        <w:ind w:left="1020" w:hanging="32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020" w:right="219" w:hanging="322"/>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other than unanimous written consent;</w:t>
      </w:r>
    </w:p>
    <w:p>
      <w:pPr>
        <w:spacing w:after="0" w:line="117" w:lineRule="exact"/>
        <w:rPr>
          <w:rFonts w:ascii="Times New Roman" w:cs="Times New Roman" w:eastAsia="Times New Roman" w:hAnsi="Times New Roman"/>
          <w:sz w:val="18"/>
          <w:szCs w:val="18"/>
          <w:color w:val="auto"/>
        </w:rPr>
      </w:pPr>
    </w:p>
    <w:p>
      <w:pPr>
        <w:ind w:left="1020" w:right="199" w:hanging="322"/>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117" w:lineRule="exact"/>
        <w:rPr>
          <w:rFonts w:ascii="Times New Roman" w:cs="Times New Roman" w:eastAsia="Times New Roman" w:hAnsi="Times New Roman"/>
          <w:sz w:val="18"/>
          <w:szCs w:val="18"/>
          <w:color w:val="auto"/>
        </w:rPr>
      </w:pPr>
    </w:p>
    <w:p>
      <w:pPr>
        <w:ind w:left="1020" w:right="119" w:hanging="322"/>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4"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172"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exclusive forum for the following civil actions:</w:t>
      </w:r>
    </w:p>
    <w:p>
      <w:pPr>
        <w:spacing w:after="0" w:line="162" w:lineRule="exact"/>
        <w:rPr>
          <w:sz w:val="20"/>
          <w:szCs w:val="20"/>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right="51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by any of our directors, officers, employees or agents or our stockholders;</w:t>
      </w:r>
    </w:p>
    <w:p>
      <w:pPr>
        <w:spacing w:after="0" w:line="53" w:lineRule="exact"/>
        <w:rPr>
          <w:rFonts w:ascii="Times New Roman" w:cs="Times New Roman" w:eastAsia="Times New Roman" w:hAnsi="Times New Roman"/>
          <w:sz w:val="18"/>
          <w:szCs w:val="18"/>
          <w:color w:val="auto"/>
        </w:rPr>
      </w:pPr>
    </w:p>
    <w:p>
      <w:pPr>
        <w:ind w:left="1020" w:right="139" w:hanging="322"/>
        <w:spacing w:after="0" w:line="312" w:lineRule="auto"/>
        <w:tabs>
          <w:tab w:leader="none" w:pos="10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arising pursuant to any provision of the DGCL or our certificate of incorporation or bylaws or as to which the DGCL confers jurisdiction on the Court of Chancery of the State of Delaware;</w:t>
      </w:r>
    </w:p>
    <w:p>
      <w:pPr>
        <w:spacing w:after="0" w:line="31" w:lineRule="exact"/>
        <w:rPr>
          <w:rFonts w:ascii="Times New Roman" w:cs="Times New Roman" w:eastAsia="Times New Roman" w:hAnsi="Times New Roman"/>
          <w:sz w:val="17"/>
          <w:szCs w:val="17"/>
          <w:color w:val="auto"/>
        </w:rPr>
      </w:pPr>
    </w:p>
    <w:p>
      <w:pPr>
        <w:ind w:left="1020" w:right="559" w:hanging="322"/>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our bylaws; or</w:t>
      </w:r>
    </w:p>
    <w:p>
      <w:pPr>
        <w:spacing w:after="0" w:line="53" w:lineRule="exact"/>
        <w:rPr>
          <w:rFonts w:ascii="Times New Roman" w:cs="Times New Roman" w:eastAsia="Times New Roman" w:hAnsi="Times New Roman"/>
          <w:sz w:val="18"/>
          <w:szCs w:val="18"/>
          <w:color w:val="auto"/>
        </w:rPr>
      </w:pPr>
    </w:p>
    <w:p>
      <w:pPr>
        <w:ind w:left="1020" w:hanging="322"/>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11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86" w:lineRule="exact"/>
        <w:rPr>
          <w:sz w:val="20"/>
          <w:szCs w:val="20"/>
          <w:color w:val="auto"/>
        </w:rPr>
      </w:pPr>
    </w:p>
    <w:p>
      <w:pPr>
        <w:ind w:left="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and our industry. If one or more of the analysts who cover 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71" w:name="page72"/>
    <w:bookmarkEnd w:id="71"/>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On January 24, 2022, the Company’s Board of Directors approved the adoption of a share repurchase plan that authorizes the repurchase by the Company of up to $100 million of its outstanding shares of common stock through the period ending on March 31, 2024. The approved plan replaced the Company’s previous $40 million share repurchase program.</w:t>
      </w:r>
    </w:p>
    <w:p>
      <w:pPr>
        <w:spacing w:after="0" w:line="180"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Under the share repurchase program, shares may be repurchased from time to time in the open market or negotiated transactions at prevailing market rates, or by other means in accordance with federal securities laws. The Company purchased 399,198 shares for $23.3 million under this program during the nine months ended September 30, 2022 and $76.7 million remains available for future repurchases.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0" w:type="dxa"/>
            <w:vAlign w:val="bottom"/>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-10160</wp:posOffset>
            </wp:positionV>
            <wp:extent cx="5648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302 of the Sarbanes-Oxley Act of 2002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3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Section 302 of the Sarbanes-Oxley Act of 2002</w:t>
            </w:r>
          </w:p>
        </w:tc>
        <w:tc>
          <w:tcPr>
            <w:tcW w:w="6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3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Certifications pursuant to Section 906 of the Sarbanes-Oxley Act of 2002</w:t>
            </w:r>
          </w:p>
        </w:tc>
      </w:tr>
      <w:tr>
        <w:trPr>
          <w:trHeight w:val="65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80" w:type="dxa"/>
            <w:vAlign w:val="bottom"/>
            <w:gridSpan w:val="2"/>
          </w:tcPr>
          <w:p>
            <w:pPr>
              <w:spacing w:after="0"/>
              <w:rPr>
                <w:sz w:val="24"/>
                <w:szCs w:val="24"/>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200" w:hanging="1144"/>
        <w:spacing w:after="0"/>
        <w:tabs>
          <w:tab w:leader="none" w:pos="1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9" w:right="1440" w:bottom="1440" w:gutter="0" w:footer="0" w:header="0"/>
        </w:sectPr>
      </w:pPr>
    </w:p>
    <w:bookmarkStart w:id="72" w:name="page73"/>
    <w:bookmarkEnd w:id="72"/>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Palomar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3, 2022</w:t>
            </w:r>
          </w:p>
        </w:tc>
        <w:tc>
          <w:tcPr>
            <w:tcW w:w="58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Mac Armstrong</w:t>
            </w:r>
          </w:p>
        </w:tc>
      </w:tr>
      <w:tr>
        <w:trPr>
          <w:trHeight w:val="205"/>
        </w:trPr>
        <w:tc>
          <w:tcPr>
            <w:tcW w:w="3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Mac Armstrong</w:t>
            </w:r>
          </w:p>
        </w:tc>
      </w:tr>
      <w:tr>
        <w:trPr>
          <w:trHeight w:val="216"/>
        </w:trPr>
        <w:tc>
          <w:tcPr>
            <w:tcW w:w="3080" w:type="dxa"/>
            <w:vAlign w:val="bottom"/>
          </w:tcPr>
          <w:p>
            <w:pPr>
              <w:spacing w:after="0"/>
              <w:rPr>
                <w:sz w:val="18"/>
                <w:szCs w:val="18"/>
                <w:color w:val="auto"/>
              </w:rPr>
            </w:pPr>
          </w:p>
        </w:tc>
        <w:tc>
          <w:tcPr>
            <w:tcW w:w="58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3080" w:type="dxa"/>
            <w:vAlign w:val="bottom"/>
          </w:tcPr>
          <w:p>
            <w:pPr>
              <w:spacing w:after="0"/>
              <w:rPr>
                <w:sz w:val="20"/>
                <w:szCs w:val="20"/>
                <w:color w:val="auto"/>
              </w:rPr>
            </w:pPr>
          </w:p>
        </w:tc>
        <w:tc>
          <w:tcPr>
            <w:tcW w:w="58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45"/>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3, 2022</w:t>
            </w:r>
          </w:p>
        </w:tc>
        <w:tc>
          <w:tcPr>
            <w:tcW w:w="584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T. Christopher Uchida</w:t>
            </w:r>
          </w:p>
        </w:tc>
      </w:tr>
      <w:tr>
        <w:trPr>
          <w:trHeight w:val="205"/>
        </w:trPr>
        <w:tc>
          <w:tcPr>
            <w:tcW w:w="3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2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 Christopher Uchida</w:t>
            </w:r>
          </w:p>
        </w:tc>
      </w:tr>
      <w:tr>
        <w:trPr>
          <w:trHeight w:val="216"/>
        </w:trPr>
        <w:tc>
          <w:tcPr>
            <w:tcW w:w="3080" w:type="dxa"/>
            <w:vAlign w:val="bottom"/>
          </w:tcPr>
          <w:p>
            <w:pPr>
              <w:spacing w:after="0"/>
              <w:rPr>
                <w:sz w:val="18"/>
                <w:szCs w:val="18"/>
                <w:color w:val="auto"/>
              </w:rPr>
            </w:pPr>
          </w:p>
        </w:tc>
        <w:tc>
          <w:tcPr>
            <w:tcW w:w="58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80" w:type="dxa"/>
            <w:vAlign w:val="bottom"/>
          </w:tcPr>
          <w:p>
            <w:pPr>
              <w:spacing w:after="0"/>
              <w:rPr>
                <w:sz w:val="20"/>
                <w:szCs w:val="20"/>
                <w:color w:val="auto"/>
              </w:rPr>
            </w:pPr>
          </w:p>
        </w:tc>
        <w:tc>
          <w:tcPr>
            <w:tcW w:w="584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093"/>
        </w:trPr>
        <w:tc>
          <w:tcPr>
            <w:tcW w:w="3080" w:type="dxa"/>
            <w:vAlign w:val="bottom"/>
          </w:tcPr>
          <w:p>
            <w:pPr>
              <w:spacing w:after="0"/>
              <w:rPr>
                <w:sz w:val="24"/>
                <w:szCs w:val="24"/>
                <w:color w:val="auto"/>
              </w:rPr>
            </w:pPr>
          </w:p>
        </w:tc>
        <w:tc>
          <w:tcPr>
            <w:tcW w:w="16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73</w:t>
            </w:r>
          </w:p>
        </w:tc>
        <w:tc>
          <w:tcPr>
            <w:tcW w:w="4220" w:type="dxa"/>
            <w:vAlign w:val="bottom"/>
          </w:tcPr>
          <w:p>
            <w:pPr>
              <w:spacing w:after="0"/>
              <w:rPr>
                <w:sz w:val="24"/>
                <w:szCs w:val="24"/>
                <w:color w:val="auto"/>
              </w:rPr>
            </w:pPr>
          </w:p>
        </w:tc>
      </w:tr>
      <w:tr>
        <w:trPr>
          <w:trHeight w:val="547"/>
        </w:trPr>
        <w:tc>
          <w:tcPr>
            <w:tcW w:w="30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40" w:right="1440" w:bottom="1440" w:gutter="0" w:footer="0" w:header="0"/>
        </w:sectPr>
      </w:pPr>
    </w:p>
    <w:bookmarkStart w:id="73" w:name="page74"/>
    <w:bookmarkEnd w:id="7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Mac Armstrong, certify that:</w:t>
      </w:r>
    </w:p>
    <w:p>
      <w:pPr>
        <w:spacing w:after="0" w:line="225" w:lineRule="exact"/>
        <w:rPr>
          <w:sz w:val="20"/>
          <w:szCs w:val="20"/>
          <w:color w:val="auto"/>
        </w:rPr>
      </w:pPr>
    </w:p>
    <w:p>
      <w:pPr>
        <w:ind w:left="860" w:hanging="327"/>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Palomar Holdings, Inc.;</w:t>
      </w:r>
    </w:p>
    <w:p>
      <w:pPr>
        <w:spacing w:after="0" w:line="225" w:lineRule="exact"/>
        <w:rPr>
          <w:rFonts w:ascii="Times New Roman" w:cs="Times New Roman" w:eastAsia="Times New Roman" w:hAnsi="Times New Roman"/>
          <w:sz w:val="18"/>
          <w:szCs w:val="18"/>
          <w:color w:val="auto"/>
        </w:rPr>
      </w:pPr>
    </w:p>
    <w:p>
      <w:pPr>
        <w:ind w:left="860" w:right="279" w:hanging="327"/>
        <w:spacing w:after="0" w:line="266"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60" w:right="599" w:hanging="327"/>
        <w:spacing w:after="0" w:line="266"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60" w:right="279" w:hanging="327"/>
        <w:spacing w:after="0" w:line="266"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239" w:hanging="319"/>
        <w:spacing w:after="0" w:line="261"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500" w:right="299" w:hanging="319"/>
        <w:spacing w:after="0" w:line="261" w:lineRule="auto"/>
        <w:tabs>
          <w:tab w:leader="none" w:pos="15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500" w:right="479" w:hanging="319"/>
        <w:spacing w:after="0" w:line="266"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00" w:right="299" w:hanging="319"/>
        <w:spacing w:after="0" w:line="261"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60" w:right="359" w:hanging="327"/>
        <w:spacing w:after="0" w:line="266" w:lineRule="auto"/>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00" w:right="519" w:hanging="319"/>
        <w:spacing w:after="0" w:line="266"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739" w:hanging="319"/>
        <w:spacing w:after="0" w:line="282" w:lineRule="auto"/>
        <w:tabs>
          <w:tab w:leader="none" w:pos="15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Mac Armstrong</w:t>
            </w:r>
          </w:p>
        </w:tc>
      </w:tr>
      <w:tr>
        <w:trPr>
          <w:trHeight w:val="191"/>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3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Mac Armstrong</w:t>
            </w: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804"/>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4" w:name="page75"/>
    <w:bookmarkEnd w:id="7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31.2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ertification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302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arbanes</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xley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2002</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T. Christopher Uchida, certify that:</w:t>
      </w:r>
    </w:p>
    <w:p>
      <w:pPr>
        <w:spacing w:after="0" w:line="225" w:lineRule="exact"/>
        <w:rPr>
          <w:sz w:val="20"/>
          <w:szCs w:val="20"/>
          <w:color w:val="auto"/>
        </w:rPr>
      </w:pPr>
    </w:p>
    <w:p>
      <w:pPr>
        <w:ind w:left="860" w:hanging="327"/>
        <w:spacing w:after="0"/>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Palomar Holdings, Inc.;</w:t>
      </w:r>
    </w:p>
    <w:p>
      <w:pPr>
        <w:spacing w:after="0" w:line="225" w:lineRule="exact"/>
        <w:rPr>
          <w:rFonts w:ascii="Times New Roman" w:cs="Times New Roman" w:eastAsia="Times New Roman" w:hAnsi="Times New Roman"/>
          <w:sz w:val="18"/>
          <w:szCs w:val="18"/>
          <w:color w:val="auto"/>
        </w:rPr>
      </w:pPr>
    </w:p>
    <w:p>
      <w:pPr>
        <w:ind w:left="860" w:right="279" w:hanging="327"/>
        <w:spacing w:after="0" w:line="266"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60" w:right="599" w:hanging="327"/>
        <w:spacing w:after="0" w:line="266"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860" w:right="279" w:hanging="327"/>
        <w:spacing w:after="0" w:line="266"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239" w:hanging="319"/>
        <w:spacing w:after="0" w:line="261" w:lineRule="auto"/>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500" w:right="299" w:hanging="319"/>
        <w:spacing w:after="0" w:line="261" w:lineRule="auto"/>
        <w:tabs>
          <w:tab w:leader="none" w:pos="154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500" w:right="479" w:hanging="319"/>
        <w:spacing w:after="0" w:line="266" w:lineRule="auto"/>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500" w:right="299" w:hanging="319"/>
        <w:spacing w:after="0" w:line="261" w:lineRule="auto"/>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60" w:right="359" w:hanging="327"/>
        <w:spacing w:after="0" w:line="266" w:lineRule="auto"/>
        <w:tabs>
          <w:tab w:leader="none" w:pos="8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00" w:right="519" w:hanging="319"/>
        <w:spacing w:after="0" w:line="266" w:lineRule="auto"/>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right="739" w:hanging="319"/>
        <w:spacing w:after="0" w:line="282" w:lineRule="auto"/>
        <w:tabs>
          <w:tab w:leader="none" w:pos="15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 T. Christopher Uchida</w:t>
            </w:r>
          </w:p>
        </w:tc>
      </w:tr>
      <w:tr>
        <w:trPr>
          <w:trHeight w:val="191"/>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30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3"/>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5" w:name="page76"/>
    <w:bookmarkEnd w:id="75"/>
    <w:p>
      <w:pPr>
        <w:ind w:left="76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ind w:left="1660" w:right="600"/>
        <w:spacing w:after="0" w:line="333"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left="200" w:right="379" w:firstLine="648"/>
        <w:spacing w:after="0" w:line="305" w:lineRule="auto"/>
        <w:rPr>
          <w:sz w:val="20"/>
          <w:szCs w:val="20"/>
          <w:color w:val="auto"/>
        </w:rPr>
      </w:pPr>
      <w:r>
        <w:rPr>
          <w:rFonts w:ascii="Times New Roman" w:cs="Times New Roman" w:eastAsia="Times New Roman" w:hAnsi="Times New Roman"/>
          <w:sz w:val="18"/>
          <w:szCs w:val="18"/>
          <w:color w:val="auto"/>
        </w:rPr>
        <w:t>In connection with the Quarterly Report on Form 10-Q of Palomar Holdings, Inc. (the “Company”) for the quarter ended September 30, 2022,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spacing w:after="0" w:line="183" w:lineRule="exact"/>
        <w:rPr>
          <w:sz w:val="20"/>
          <w:szCs w:val="20"/>
          <w:color w:val="auto"/>
        </w:rPr>
      </w:pPr>
    </w:p>
    <w:p>
      <w:pPr>
        <w:ind w:left="1180" w:right="299" w:hanging="323"/>
        <w:spacing w:after="0" w:line="329" w:lineRule="auto"/>
        <w:tabs>
          <w:tab w:leader="none" w:pos="11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180" w:right="219" w:hanging="323"/>
        <w:spacing w:after="0" w:line="329" w:lineRule="auto"/>
        <w:tabs>
          <w:tab w:leader="none" w:pos="11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1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 Armstrong</w:t>
            </w:r>
          </w:p>
        </w:tc>
      </w:tr>
      <w:tr>
        <w:trPr>
          <w:trHeight w:val="191"/>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720" w:type="dxa"/>
            <w:vAlign w:val="bottom"/>
          </w:tcPr>
          <w:p>
            <w:pPr>
              <w:ind w:left="124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Mac Armstrong</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Title: Chairman of the Board and Chief Executive Officer</w:t>
            </w: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November 3, 2022</w:t>
            </w:r>
          </w:p>
        </w:tc>
        <w:tc>
          <w:tcPr>
            <w:tcW w:w="17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Uchida</w:t>
            </w:r>
          </w:p>
        </w:tc>
      </w:tr>
      <w:tr>
        <w:trPr>
          <w:trHeight w:val="191"/>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720" w:type="dxa"/>
            <w:vAlign w:val="bottom"/>
          </w:tcPr>
          <w:p>
            <w:pPr>
              <w:ind w:left="124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3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5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03"/>
        </w:trPr>
        <w:tc>
          <w:tcPr>
            <w:tcW w:w="20" w:type="dxa"/>
            <w:vAlign w:val="bottom"/>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lvl w:ilvl="1">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04"/>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2022-11-03T18:10:15Z</dcterms:created>
  <dcterms:modified xsi:type="dcterms:W3CDTF">2022-11-03T18:10:15Z</dcterms:modified>
</cp:coreProperties>
</file>