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lmr-20260506.htm"/>
      <w:bookmarkStart w:id="1" w:name="ksplmr202605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Palomar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997"/>
        <w:gridCol w:w="909"/>
        <w:gridCol w:w="914"/>
        <w:gridCol w:w="1846"/>
        <w:gridCol w:w="1336"/>
      </w:tblGrid>
      <w:tr>
        <w:trPr/>
        <w:tc>
          <w:tcPr>
            <w:tcW w:w="9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001-38873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83-3972551</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7979 Ivanhoe Avenue, 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 Jolla,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92037</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619</w:t>
            </w:r>
            <w:r>
              <w:rPr>
                <w:rFonts w:ascii="Times New Roman" w:hAnsi="Times New Roman"/>
                <w:color w:val="000000"/>
                <w:sz w:val="20"/>
              </w:rPr>
              <w:t xml:space="preserve"> </w:t>
            </w:r>
            <w:r>
              <w:rPr>
                <w:rFonts w:ascii="Times New Roman" w:hAnsi="Times New Roman"/>
                <w:b/>
                <w:color w:val="000000"/>
                <w:sz w:val="20"/>
              </w:rPr>
              <w:t>567-5290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PLMR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May 6, 2026, Palomar Holdings, Inc. (the “Company”) issued a press release announcing its financial results for the fiscal quarter ended March 31, 2026. A copy of the press release is attached hereto as Exhibit 99.1.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under this Item 2.02, including Exhibit 99.1 attached hereto, shall not be deemed “filed” for purposes of Section 18 of the Securities Exchange Act of 1934, as amended (the “Exchange Act”), or otherwise subject to the liability of that section, nor shall it be deemed incorporated by reference in any filing under the Securities Act of 1933, as amended, or under the Exchange Act, regardless of any general incorporation language in any such filing, unless the Company expressly sets forth in such filing that such information is to be considered “filed” or incorporated by reference therein.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April 30, 2026, the Company’s Board of Directors approved the adoption of a share repurchase plan (the “Plan”), effective May 6, 2026, that authorizes the purchase of up to $200 million of the outstanding shares of Company common stock, as conditions warrant, with a term of two years from the effective date. Upon the effectiveness of the Plan, the Company’s existing share repurchase plan was terminated.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Attached hereto as Exhibit 99.1 is the press release issued by the Company which is incorporated herein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682" w:type="dxa"/>
        <w:jc w:val="left"/>
        <w:tblInd w:w="0" w:type="dxa"/>
        <w:tblLayout w:type="fixed"/>
        <w:tblCellMar>
          <w:top w:w="28" w:type="dxa"/>
          <w:left w:w="28" w:type="dxa"/>
          <w:bottom w:w="28" w:type="dxa"/>
          <w:right w:w="28" w:type="dxa"/>
        </w:tblCellMar>
      </w:tblPr>
      <w:tblGrid>
        <w:gridCol w:w="1081"/>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plmr-ex99_1.htm">
              <w:r>
                <w:rPr>
                  <w:rStyle w:val="InternetLink"/>
                  <w:rFonts w:ascii="Times New Roman" w:hAnsi="Times New Roman"/>
                  <w:color w:val="0000FF"/>
                  <w:sz w:val="20"/>
                  <w:u w:val="single"/>
                </w:rPr>
                <w:t>Press Release, dated May 6,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14" w:type="dxa"/>
        <w:jc w:val="left"/>
        <w:tblInd w:w="0" w:type="dxa"/>
        <w:tblLayout w:type="fixed"/>
        <w:tblCellMar>
          <w:top w:w="28" w:type="dxa"/>
          <w:left w:w="28" w:type="dxa"/>
          <w:bottom w:w="28" w:type="dxa"/>
          <w:right w:w="28" w:type="dxa"/>
        </w:tblCellMar>
      </w:tblPr>
      <w:tblGrid>
        <w:gridCol w:w="556"/>
        <w:gridCol w:w="1141"/>
        <w:gridCol w:w="451"/>
        <w:gridCol w:w="3766"/>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PALOMAR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 Christopher Uchida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T. Christopher Uchida</w:t>
              <w:br/>
              <w:t>Chief Financial Officer</w:t>
              <w:b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plmr-ex99_1.htm"/>
      <w:bookmarkStart w:id="3" w:name="ksplmrex99_1"/>
      <w:bookmarkEnd w:id="2"/>
      <w:bookmarkEnd w:id="3"/>
      <w:r>
        <w:rPr>
          <w:rFonts w:ascii="Times New Roman" w:hAnsi="Times New Roman"/>
          <w:b/>
          <w:color w:val="000000"/>
          <w:sz w:val="20"/>
        </w:rPr>
        <w:t>Exhibit 99.1</w:t>
      </w:r>
      <w:r>
        <w:br w:type="page"/>
      </w:r>
    </w:p>
    <w:p>
      <w:pPr>
        <w:pStyle w:val="TextBody"/>
        <w:bidi w:val="0"/>
        <w:jc w:val="center"/>
        <w:rPr/>
      </w:pPr>
      <w:r>
        <w:rPr/>
        <w:drawing>
          <wp:inline distT="0" distB="0" distL="0" distR="0">
            <wp:extent cx="30861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86100" cy="428625"/>
                    </a:xfrm>
                    <a:prstGeom prst="rect">
                      <a:avLst/>
                    </a:prstGeom>
                  </pic:spPr>
                </pic:pic>
              </a:graphicData>
            </a:graphic>
          </wp:inline>
        </w:drawing>
      </w:r>
    </w:p>
    <w:p>
      <w:pPr>
        <w:pStyle w:val="TextBody"/>
        <w:bidi w:val="0"/>
        <w:jc w:val="center"/>
        <w:rPr>
          <w:rFonts w:ascii="Times New Roman" w:hAnsi="Times New Roman"/>
          <w:sz w:val="20"/>
        </w:rPr>
      </w:pPr>
      <w:bookmarkStart w:id="4" w:name="led408018f20236171689626172083"/>
      <w:bookmarkEnd w:id="4"/>
      <w:r>
        <w:rPr>
          <w:rFonts w:ascii="Times New Roman" w:hAnsi="Times New Roman"/>
          <w:b/>
          <w:color w:val="000000"/>
          <w:sz w:val="20"/>
        </w:rPr>
        <w:t xml:space="preserve">Palomar Holdings, Inc. Reports </w:t>
      </w:r>
      <w:bookmarkStart w:id="5" w:name="led408017f20236171689626157397"/>
      <w:bookmarkEnd w:id="5"/>
      <w:r>
        <w:rPr>
          <w:rFonts w:ascii="Times New Roman" w:hAnsi="Times New Roman"/>
          <w:b/>
          <w:color w:val="000000"/>
          <w:sz w:val="20"/>
        </w:rPr>
        <w:t>First Quarter</w:t>
      </w:r>
      <w:r>
        <w:rPr>
          <w:rFonts w:ascii="Times New Roman" w:hAnsi="Times New Roman"/>
          <w:color w:val="000000"/>
          <w:sz w:val="20"/>
        </w:rPr>
        <w:t xml:space="preserve"> </w:t>
      </w:r>
      <w:r>
        <w:rPr>
          <w:rFonts w:ascii="Times New Roman" w:hAnsi="Times New Roman"/>
          <w:b/>
          <w:color w:val="000000"/>
          <w:sz w:val="20"/>
        </w:rPr>
        <w:t>2026 Results</w:t>
      </w:r>
    </w:p>
    <w:p>
      <w:pPr>
        <w:pStyle w:val="TextBody"/>
        <w:bidi w:val="0"/>
        <w:jc w:val="both"/>
        <w:rPr>
          <w:rFonts w:ascii="Times New Roman" w:hAnsi="Times New Roman"/>
          <w:sz w:val="20"/>
        </w:rPr>
      </w:pPr>
      <w:bookmarkStart w:id="6" w:name="led407436f20236171689637294624"/>
      <w:bookmarkEnd w:id="6"/>
      <w:r>
        <w:rPr>
          <w:rFonts w:ascii="Times New Roman" w:hAnsi="Times New Roman"/>
          <w:color w:val="000000"/>
          <w:sz w:val="20"/>
        </w:rPr>
        <w:t xml:space="preserve">LA JOLLA, Calif. (May 6, 2026) — Palomar Holdings, Inc. (NASDAQ:PLMR) (“Palomar” or “Company”) reported net income of $42.9 million, or </w:t>
      </w:r>
      <w:bookmarkStart w:id="7" w:name="led407435f20236261690413314302"/>
      <w:bookmarkEnd w:id="7"/>
      <w:r>
        <w:rPr>
          <w:rFonts w:ascii="Times New Roman" w:hAnsi="Times New Roman"/>
          <w:color w:val="000000"/>
          <w:sz w:val="20"/>
        </w:rPr>
        <w:t xml:space="preserve">$1.57 per diluted share, for the </w:t>
      </w:r>
      <w:bookmarkStart w:id="8" w:name="led408017f20236171689637646353"/>
      <w:bookmarkEnd w:id="8"/>
      <w:r>
        <w:rPr>
          <w:rFonts w:ascii="Times New Roman" w:hAnsi="Times New Roman"/>
          <w:color w:val="000000"/>
          <w:sz w:val="20"/>
        </w:rPr>
        <w:t>first quarter of 2026</w:t>
      </w:r>
      <w:bookmarkStart w:id="9" w:name="led408017f2024331712181622588"/>
      <w:bookmarkEnd w:id="9"/>
      <w:r>
        <w:rPr>
          <w:rFonts w:ascii="Times New Roman" w:hAnsi="Times New Roman"/>
          <w:color w:val="000000"/>
          <w:sz w:val="20"/>
        </w:rPr>
        <w:t xml:space="preserve"> compared to net income of </w:t>
      </w:r>
      <w:bookmarkStart w:id="10" w:name="led407436f20236171689637497567"/>
      <w:bookmarkEnd w:id="10"/>
      <w:r>
        <w:rPr>
          <w:rFonts w:ascii="Times New Roman" w:hAnsi="Times New Roman"/>
          <w:color w:val="000000"/>
          <w:sz w:val="20"/>
        </w:rPr>
        <w:t xml:space="preserve">$42.9 million, or </w:t>
      </w:r>
      <w:bookmarkStart w:id="11" w:name="led407435f20236261690413324922"/>
      <w:bookmarkEnd w:id="11"/>
      <w:r>
        <w:rPr>
          <w:rFonts w:ascii="Times New Roman" w:hAnsi="Times New Roman"/>
          <w:color w:val="000000"/>
          <w:sz w:val="20"/>
        </w:rPr>
        <w:t xml:space="preserve">$1.57 per diluted share, for the </w:t>
      </w:r>
      <w:bookmarkStart w:id="12" w:name="led408017f2024331712181643759"/>
      <w:bookmarkStart w:id="13" w:name="led408017f20236171689637655158"/>
      <w:bookmarkEnd w:id="12"/>
      <w:bookmarkEnd w:id="13"/>
      <w:r>
        <w:rPr>
          <w:rFonts w:ascii="Times New Roman" w:hAnsi="Times New Roman"/>
          <w:color w:val="000000"/>
          <w:sz w:val="20"/>
        </w:rPr>
        <w:t>first quarter of 2025. Adjusted net income</w:t>
      </w:r>
      <w:r>
        <w:rPr>
          <w:rFonts w:ascii="Times New Roman" w:hAnsi="Times New Roman"/>
          <w:color w:val="000000"/>
          <w:sz w:val="11"/>
        </w:rPr>
        <w:t>(1)</w:t>
      </w:r>
      <w:r>
        <w:rPr>
          <w:rFonts w:ascii="Times New Roman" w:hAnsi="Times New Roman"/>
          <w:color w:val="000000"/>
          <w:sz w:val="20"/>
        </w:rPr>
        <w:t xml:space="preserve"> was </w:t>
      </w:r>
      <w:bookmarkStart w:id="14" w:name="led407436f20236171689637542275"/>
      <w:bookmarkEnd w:id="14"/>
      <w:r>
        <w:rPr>
          <w:rFonts w:ascii="Times New Roman" w:hAnsi="Times New Roman"/>
          <w:color w:val="000000"/>
          <w:sz w:val="20"/>
        </w:rPr>
        <w:t xml:space="preserve">$63.1 million, or </w:t>
      </w:r>
      <w:bookmarkStart w:id="15" w:name="led407436f20236261690413344744"/>
      <w:bookmarkEnd w:id="15"/>
      <w:r>
        <w:rPr>
          <w:rFonts w:ascii="Times New Roman" w:hAnsi="Times New Roman"/>
          <w:color w:val="000000"/>
          <w:sz w:val="20"/>
        </w:rPr>
        <w:t xml:space="preserve">$2.31 per diluted share, for the </w:t>
      </w:r>
      <w:bookmarkStart w:id="16" w:name="led408017f20236171689637663813"/>
      <w:bookmarkEnd w:id="16"/>
      <w:r>
        <w:rPr>
          <w:rFonts w:ascii="Times New Roman" w:hAnsi="Times New Roman"/>
          <w:color w:val="000000"/>
          <w:sz w:val="20"/>
        </w:rPr>
        <w:t xml:space="preserve">first quarter of 2026 as compared to </w:t>
      </w:r>
      <w:bookmarkStart w:id="17" w:name="led407436f20236171689637559420"/>
      <w:bookmarkEnd w:id="17"/>
      <w:r>
        <w:rPr>
          <w:rFonts w:ascii="Times New Roman" w:hAnsi="Times New Roman"/>
          <w:color w:val="000000"/>
          <w:sz w:val="20"/>
        </w:rPr>
        <w:t xml:space="preserve">$51.3 million, or </w:t>
      </w:r>
      <w:bookmarkStart w:id="18" w:name="led407436f20236261690413353272"/>
      <w:bookmarkEnd w:id="18"/>
      <w:r>
        <w:rPr>
          <w:rFonts w:ascii="Times New Roman" w:hAnsi="Times New Roman"/>
          <w:color w:val="000000"/>
          <w:sz w:val="20"/>
        </w:rPr>
        <w:t xml:space="preserve">$1.87 per diluted share, for the </w:t>
      </w:r>
      <w:bookmarkStart w:id="19" w:name="led408017f2024331712181795535"/>
      <w:bookmarkStart w:id="20" w:name="led408017f20236171689637674500"/>
      <w:bookmarkEnd w:id="19"/>
      <w:bookmarkEnd w:id="20"/>
      <w:r>
        <w:rPr>
          <w:rFonts w:ascii="Times New Roman" w:hAnsi="Times New Roman"/>
          <w:color w:val="000000"/>
          <w:sz w:val="20"/>
        </w:rPr>
        <w:t>first quarter of 2025.</w:t>
      </w:r>
    </w:p>
    <w:p>
      <w:pPr>
        <w:pStyle w:val="TextBody"/>
        <w:bidi w:val="0"/>
        <w:jc w:val="both"/>
        <w:rPr>
          <w:rFonts w:ascii="Times New Roman" w:hAnsi="Times New Roman"/>
          <w:sz w:val="20"/>
        </w:rPr>
      </w:pPr>
      <w:r>
        <w:rPr>
          <w:rFonts w:ascii="Times New Roman" w:hAnsi="Times New Roman"/>
          <w:b/>
          <w:color w:val="000000"/>
          <w:sz w:val="20"/>
        </w:rPr>
        <w:t>First Quarter 2026 Highlights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Gross written premiums increased by 42.4% to $629.8 million compared to $442.2 million in the first quarter of 2025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Net income increased 0.1% and was $42.9 million in both quarters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Adjusted net income</w:t>
      </w:r>
      <w:r>
        <w:rPr>
          <w:rFonts w:ascii="Times New Roman" w:hAnsi="Times New Roman"/>
          <w:color w:val="000000"/>
          <w:sz w:val="11"/>
        </w:rPr>
        <w:t>(1)</w:t>
      </w:r>
      <w:r>
        <w:rPr>
          <w:color w:val="000000"/>
        </w:rPr>
        <w:t xml:space="preserve"> </w:t>
      </w:r>
      <w:r>
        <w:rPr>
          <w:rFonts w:ascii="Times New Roman" w:hAnsi="Times New Roman"/>
          <w:color w:val="000000"/>
          <w:sz w:val="20"/>
        </w:rPr>
        <w:t>increased 23.1% to $63.1 million compared to $51.3 million in the first quarter of 2025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loss ratio of 33.3% compared to 23.6% in the first quarter of 2025</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Catastrophe loss ratio</w:t>
      </w:r>
      <w:r>
        <w:rPr>
          <w:rFonts w:ascii="Times New Roman" w:hAnsi="Times New Roman"/>
          <w:color w:val="000000"/>
          <w:sz w:val="11"/>
        </w:rPr>
        <w:t>(1)</w:t>
      </w:r>
      <w:r>
        <w:rPr>
          <w:color w:val="000000"/>
        </w:rPr>
        <w:t xml:space="preserve"> </w:t>
      </w:r>
      <w:r>
        <w:rPr>
          <w:rFonts w:ascii="Times New Roman" w:hAnsi="Times New Roman"/>
          <w:color w:val="000000"/>
          <w:sz w:val="20"/>
        </w:rPr>
        <w:t>of 0.1% compared to (0.3)% in the first quarter of 2025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Combined ratio of 84.5% compared to 73.1% in the first quarter of 2025</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Adjusted combined ratio</w:t>
      </w:r>
      <w:r>
        <w:rPr>
          <w:rFonts w:ascii="Times New Roman" w:hAnsi="Times New Roman"/>
          <w:color w:val="000000"/>
          <w:sz w:val="11"/>
        </w:rPr>
        <w:t>(1)</w:t>
      </w:r>
      <w:r>
        <w:rPr>
          <w:color w:val="000000"/>
        </w:rPr>
        <w:t xml:space="preserve"> </w:t>
      </w:r>
      <w:r>
        <w:rPr>
          <w:rFonts w:ascii="Times New Roman" w:hAnsi="Times New Roman"/>
          <w:color w:val="000000"/>
          <w:sz w:val="20"/>
        </w:rPr>
        <w:t>of 76.0% compared to 68.5%, in the first quarter of 2025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Annualized return on equity of 18.1% compared to 22.6% in the first quarter of 2025</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Annualized adjusted return on equity</w:t>
      </w:r>
      <w:r>
        <w:rPr>
          <w:rFonts w:ascii="Times New Roman" w:hAnsi="Times New Roman"/>
          <w:color w:val="000000"/>
          <w:sz w:val="11"/>
        </w:rPr>
        <w:t>(1)</w:t>
      </w:r>
      <w:r>
        <w:rPr>
          <w:color w:val="000000"/>
        </w:rPr>
        <w:t xml:space="preserve"> </w:t>
      </w:r>
      <w:r>
        <w:rPr>
          <w:rFonts w:ascii="Times New Roman" w:hAnsi="Times New Roman"/>
          <w:color w:val="000000"/>
          <w:sz w:val="20"/>
        </w:rPr>
        <w:t>of 26.6% compared to 27.0% in the first quarter of 2025</w:t>
      </w:r>
    </w:p>
    <w:p>
      <w:pPr>
        <w:pStyle w:val="TextBody"/>
        <w:bidi w:val="0"/>
        <w:jc w:val="left"/>
        <w:rPr>
          <w:rFonts w:ascii="Times New Roman" w:hAnsi="Times New Roman"/>
          <w:sz w:val="20"/>
        </w:rPr>
      </w:pPr>
      <w:r>
        <w:rPr>
          <w:rFonts w:ascii="Times New Roman" w:hAnsi="Times New Roman"/>
          <w:i/>
          <w:color w:val="000000"/>
          <w:sz w:val="20"/>
        </w:rPr>
        <w:t>(1)</w:t>
      </w:r>
      <w:r>
        <w:rPr>
          <w:rFonts w:ascii="Times New Roman" w:hAnsi="Times New Roman"/>
          <w:color w:val="000000"/>
          <w:sz w:val="20"/>
        </w:rPr>
        <w:t xml:space="preserve"> </w:t>
      </w:r>
      <w:r>
        <w:rPr>
          <w:rFonts w:ascii="Times New Roman" w:hAnsi="Times New Roman"/>
          <w:i/>
          <w:color w:val="000000"/>
          <w:sz w:val="20"/>
        </w:rPr>
        <w:t xml:space="preserve">See discussion of </w:t>
      </w:r>
      <w:r>
        <w:rPr>
          <w:rFonts w:ascii="Times New Roman" w:hAnsi="Times New Roman"/>
          <w:color w:val="000000"/>
          <w:sz w:val="20"/>
        </w:rPr>
        <w:t>“</w:t>
      </w:r>
      <w:r>
        <w:rPr>
          <w:rFonts w:ascii="Times New Roman" w:hAnsi="Times New Roman"/>
          <w:i/>
          <w:color w:val="000000"/>
          <w:sz w:val="20"/>
        </w:rPr>
        <w:t>Non-GAAP and Key Performance Indicators</w:t>
      </w:r>
      <w:r>
        <w:rPr>
          <w:rFonts w:ascii="Times New Roman" w:hAnsi="Times New Roman"/>
          <w:color w:val="000000"/>
          <w:sz w:val="20"/>
        </w:rPr>
        <w:t xml:space="preserve">” </w:t>
      </w:r>
      <w:r>
        <w:rPr>
          <w:rFonts w:ascii="Times New Roman" w:hAnsi="Times New Roman"/>
          <w:i/>
          <w:color w:val="000000"/>
          <w:sz w:val="20"/>
        </w:rPr>
        <w:t>below.</w:t>
      </w:r>
    </w:p>
    <w:p>
      <w:pPr>
        <w:pStyle w:val="TextBody"/>
        <w:bidi w:val="0"/>
        <w:jc w:val="left"/>
        <w:rPr>
          <w:rFonts w:ascii="Times New Roman" w:hAnsi="Times New Roman"/>
          <w:color w:val="000000"/>
          <w:sz w:val="20"/>
        </w:rPr>
      </w:pPr>
      <w:r>
        <w:rPr>
          <w:rFonts w:ascii="Times New Roman" w:hAnsi="Times New Roman"/>
          <w:color w:val="000000"/>
          <w:sz w:val="20"/>
        </w:rPr>
        <w:t>Mac Armstrong, Chairman and Chief Executive Officer, commented, “The first quarter was another demonstration of our sustained profitable growth. Our unique, ‘one of one’ specialty products portfolio is purposely built to generate consistent earnings and compelling margins in any market cycle. The combination of Palomar’s mix of personal and commercial lines products written on both an admitted and excess and surplus basis, and strong growth from our Crop and Surety franchises made for a great start to the year.”</w:t>
      </w:r>
    </w:p>
    <w:p>
      <w:pPr>
        <w:pStyle w:val="TextBody"/>
        <w:bidi w:val="0"/>
        <w:jc w:val="left"/>
        <w:rPr>
          <w:rFonts w:ascii="Times New Roman" w:hAnsi="Times New Roman"/>
          <w:color w:val="000000"/>
          <w:sz w:val="20"/>
        </w:rPr>
      </w:pPr>
      <w:r>
        <w:rPr>
          <w:rFonts w:ascii="Times New Roman" w:hAnsi="Times New Roman"/>
          <w:color w:val="000000"/>
          <w:sz w:val="20"/>
        </w:rPr>
        <w:t>Mr. Armstrong continued, “Importantly, our growth wasn’t limited to one product set. In fact, we grew across all five categories, including Earthquake, this quarter. I’m happy to share that our profits and capital efficiency stayed strong in the first quarter, with an adjusted combined ratio of 76% and an adjusted return on equity of 27%.”</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Underwriting Results</w:t>
      </w:r>
    </w:p>
    <w:p>
      <w:pPr>
        <w:pStyle w:val="TextBody"/>
        <w:bidi w:val="0"/>
        <w:jc w:val="both"/>
        <w:rPr>
          <w:rFonts w:ascii="Times New Roman" w:hAnsi="Times New Roman"/>
          <w:sz w:val="20"/>
        </w:rPr>
      </w:pPr>
      <w:bookmarkStart w:id="21" w:name="led408017f2024331712182246936"/>
      <w:bookmarkEnd w:id="21"/>
      <w:r>
        <w:rPr>
          <w:rFonts w:ascii="Times New Roman" w:hAnsi="Times New Roman"/>
          <w:color w:val="000000"/>
          <w:sz w:val="20"/>
        </w:rPr>
        <w:t xml:space="preserve">Gross written premiums increased 42.4% to $629.8 million compared to $442.2 million in the first quarter of 2025, while net earned premiums increased </w:t>
      </w:r>
      <w:bookmarkStart w:id="22" w:name="led407436f20236171689638326874"/>
      <w:bookmarkEnd w:id="22"/>
      <w:r>
        <w:rPr>
          <w:rFonts w:ascii="Times New Roman" w:hAnsi="Times New Roman"/>
          <w:color w:val="000000"/>
          <w:sz w:val="20"/>
        </w:rPr>
        <w:t xml:space="preserve">59.3% compared to the prior year’s </w:t>
      </w:r>
      <w:bookmarkStart w:id="23" w:name="led408017f2024331712182262986"/>
      <w:bookmarkEnd w:id="23"/>
      <w:r>
        <w:rPr>
          <w:rFonts w:ascii="Times New Roman" w:hAnsi="Times New Roman"/>
          <w:color w:val="000000"/>
          <w:sz w:val="20"/>
        </w:rPr>
        <w:t>first quarter.</w:t>
      </w:r>
    </w:p>
    <w:p>
      <w:pPr>
        <w:pStyle w:val="TextBody"/>
        <w:bidi w:val="0"/>
        <w:jc w:val="both"/>
        <w:rPr>
          <w:rFonts w:ascii="Times New Roman" w:hAnsi="Times New Roman"/>
          <w:sz w:val="20"/>
        </w:rPr>
      </w:pPr>
      <w:bookmarkStart w:id="24" w:name="led408017f2024331712182946015"/>
      <w:bookmarkEnd w:id="24"/>
      <w:r>
        <w:rPr>
          <w:rFonts w:ascii="Times New Roman" w:hAnsi="Times New Roman"/>
          <w:color w:val="000000"/>
          <w:sz w:val="20"/>
        </w:rPr>
        <w:t xml:space="preserve">Losses and loss adjustment expenses for the first quarter were </w:t>
      </w:r>
      <w:bookmarkStart w:id="25" w:name="led407436f20236171689638357504"/>
      <w:bookmarkEnd w:id="25"/>
      <w:r>
        <w:rPr>
          <w:rFonts w:ascii="Times New Roman" w:hAnsi="Times New Roman"/>
          <w:color w:val="000000"/>
          <w:sz w:val="20"/>
        </w:rPr>
        <w:t xml:space="preserve">$87.1 million, comprised of $86.8 million of attritional losses and $0.3 million of catastrophe losses. The loss ratio for the quarter was </w:t>
      </w:r>
      <w:bookmarkStart w:id="26" w:name="led407437f20236181689640464796"/>
      <w:bookmarkEnd w:id="26"/>
      <w:r>
        <w:rPr>
          <w:rFonts w:ascii="Times New Roman" w:hAnsi="Times New Roman"/>
          <w:color w:val="000000"/>
          <w:sz w:val="20"/>
        </w:rPr>
        <w:t xml:space="preserve">33.3%, comprised of an attritional loss ratio of </w:t>
      </w:r>
      <w:bookmarkStart w:id="27" w:name="led407436f20249181729286928043"/>
      <w:bookmarkEnd w:id="27"/>
      <w:r>
        <w:rPr>
          <w:rFonts w:ascii="Times New Roman" w:hAnsi="Times New Roman"/>
          <w:color w:val="000000"/>
          <w:sz w:val="20"/>
        </w:rPr>
        <w:t>33.2% and a catastrophe loss ratio</w:t>
      </w:r>
      <w:r>
        <w:rPr>
          <w:rFonts w:ascii="Times New Roman" w:hAnsi="Times New Roman"/>
          <w:color w:val="000000"/>
          <w:sz w:val="11"/>
        </w:rPr>
        <w:t>(1)</w:t>
      </w:r>
      <w:r>
        <w:rPr>
          <w:rFonts w:ascii="Times New Roman" w:hAnsi="Times New Roman"/>
          <w:color w:val="000000"/>
          <w:sz w:val="20"/>
        </w:rPr>
        <w:t xml:space="preserve"> of </w:t>
      </w:r>
      <w:bookmarkStart w:id="28" w:name="led407436f20236181689640492809"/>
      <w:bookmarkEnd w:id="28"/>
      <w:r>
        <w:rPr>
          <w:rFonts w:ascii="Times New Roman" w:hAnsi="Times New Roman"/>
          <w:color w:val="000000"/>
          <w:sz w:val="20"/>
        </w:rPr>
        <w:t xml:space="preserve">0.1% compared to a loss ratio of </w:t>
      </w:r>
      <w:bookmarkStart w:id="29" w:name="led407437f20236181689640527307"/>
      <w:bookmarkEnd w:id="29"/>
      <w:r>
        <w:rPr>
          <w:rFonts w:ascii="Times New Roman" w:hAnsi="Times New Roman"/>
          <w:color w:val="000000"/>
          <w:sz w:val="20"/>
        </w:rPr>
        <w:t xml:space="preserve">23.6% during the same period last year comprised of an attritional loss ratio of </w:t>
      </w:r>
      <w:bookmarkStart w:id="30" w:name="led407436f20248301727730009797"/>
      <w:bookmarkEnd w:id="30"/>
      <w:r>
        <w:rPr>
          <w:rFonts w:ascii="Times New Roman" w:hAnsi="Times New Roman"/>
          <w:color w:val="000000"/>
          <w:sz w:val="20"/>
        </w:rPr>
        <w:t>23.9% and a catastrophe loss ratio</w:t>
      </w:r>
      <w:r>
        <w:rPr>
          <w:rFonts w:ascii="Times New Roman" w:hAnsi="Times New Roman"/>
          <w:color w:val="000000"/>
          <w:sz w:val="11"/>
        </w:rPr>
        <w:t>(1)</w:t>
      </w:r>
      <w:r>
        <w:rPr>
          <w:rFonts w:ascii="Times New Roman" w:hAnsi="Times New Roman"/>
          <w:color w:val="000000"/>
          <w:sz w:val="20"/>
        </w:rPr>
        <w:t xml:space="preserve"> of </w:t>
      </w:r>
      <w:bookmarkStart w:id="31" w:name="led407436f20236181689640554660"/>
      <w:bookmarkEnd w:id="31"/>
      <w:r>
        <w:rPr>
          <w:rFonts w:ascii="Times New Roman" w:hAnsi="Times New Roman"/>
          <w:color w:val="000000"/>
          <w:sz w:val="20"/>
        </w:rPr>
        <w:t>(0.3)%. Additionally, our first quarter results include $7.6 million of attritional and $2.7 million of catastrophe loss favorable prior year development, 2.9 points and 1.0 point of loss ratio favorability respectively, primarily from our short tail Inland Marine and Property business.</w:t>
      </w:r>
    </w:p>
    <w:p>
      <w:pPr>
        <w:pStyle w:val="TextBody"/>
        <w:bidi w:val="0"/>
        <w:jc w:val="both"/>
        <w:rPr>
          <w:rFonts w:ascii="Times New Roman" w:hAnsi="Times New Roman"/>
          <w:sz w:val="20"/>
        </w:rPr>
      </w:pPr>
      <w:bookmarkStart w:id="32" w:name="led408017f2024331712182797011"/>
      <w:bookmarkEnd w:id="32"/>
      <w:r>
        <w:rPr>
          <w:rFonts w:ascii="Times New Roman" w:hAnsi="Times New Roman"/>
          <w:color w:val="000000"/>
          <w:sz w:val="20"/>
        </w:rPr>
        <w:t>Underwriting income</w:t>
      </w:r>
      <w:r>
        <w:rPr>
          <w:rFonts w:ascii="Times New Roman" w:hAnsi="Times New Roman"/>
          <w:color w:val="000000"/>
          <w:sz w:val="11"/>
        </w:rPr>
        <w:t>(1)</w:t>
      </w:r>
      <w:r>
        <w:rPr>
          <w:rFonts w:ascii="Times New Roman" w:hAnsi="Times New Roman"/>
          <w:color w:val="000000"/>
          <w:sz w:val="20"/>
        </w:rPr>
        <w:t xml:space="preserve"> for the first quarter was $40.5 million resulting in a combined ratio of </w:t>
      </w:r>
      <w:bookmarkStart w:id="33" w:name="led407437f20236181689640235609"/>
      <w:bookmarkEnd w:id="33"/>
      <w:r>
        <w:rPr>
          <w:rFonts w:ascii="Times New Roman" w:hAnsi="Times New Roman"/>
          <w:color w:val="000000"/>
          <w:sz w:val="20"/>
        </w:rPr>
        <w:t xml:space="preserve">84.5% compared to underwriting income of $44.1 million resulting in a combined ratio of </w:t>
      </w:r>
      <w:bookmarkStart w:id="34" w:name="led407437f20236181689640225139"/>
      <w:bookmarkEnd w:id="34"/>
      <w:r>
        <w:rPr>
          <w:rFonts w:ascii="Times New Roman" w:hAnsi="Times New Roman"/>
          <w:color w:val="000000"/>
          <w:sz w:val="20"/>
        </w:rPr>
        <w:t>73.1% during the same period last year. The Company’s adjusted underwriting income</w:t>
      </w:r>
      <w:r>
        <w:rPr>
          <w:rFonts w:ascii="Times New Roman" w:hAnsi="Times New Roman"/>
          <w:color w:val="000000"/>
          <w:sz w:val="11"/>
        </w:rPr>
        <w:t>(1)</w:t>
      </w:r>
      <w:r>
        <w:rPr>
          <w:rFonts w:ascii="Times New Roman" w:hAnsi="Times New Roman"/>
          <w:color w:val="000000"/>
          <w:sz w:val="20"/>
        </w:rPr>
        <w:t xml:space="preserve"> was </w:t>
      </w:r>
      <w:bookmarkStart w:id="35" w:name="led407454f20236181689640136684"/>
      <w:bookmarkEnd w:id="35"/>
      <w:r>
        <w:rPr>
          <w:rFonts w:ascii="Times New Roman" w:hAnsi="Times New Roman"/>
          <w:color w:val="000000"/>
          <w:sz w:val="20"/>
        </w:rPr>
        <w:t>$62.8 million, an increase of 21.6%, resulting in an adjusted combined ratio</w:t>
      </w:r>
      <w:r>
        <w:rPr>
          <w:rFonts w:ascii="Times New Roman" w:hAnsi="Times New Roman"/>
          <w:color w:val="000000"/>
          <w:sz w:val="11"/>
        </w:rPr>
        <w:t>(1)</w:t>
      </w:r>
      <w:r>
        <w:rPr>
          <w:rFonts w:ascii="Times New Roman" w:hAnsi="Times New Roman"/>
          <w:color w:val="000000"/>
          <w:sz w:val="20"/>
        </w:rPr>
        <w:t xml:space="preserve"> of </w:t>
      </w:r>
      <w:bookmarkStart w:id="36" w:name="led407437f20236181689640249387"/>
      <w:bookmarkEnd w:id="36"/>
      <w:r>
        <w:rPr>
          <w:rFonts w:ascii="Times New Roman" w:hAnsi="Times New Roman"/>
          <w:color w:val="000000"/>
          <w:sz w:val="20"/>
        </w:rPr>
        <w:t>76.0% in the first quarter compared to adjusted underwriting income</w:t>
      </w:r>
      <w:r>
        <w:rPr>
          <w:rFonts w:ascii="Times New Roman" w:hAnsi="Times New Roman"/>
          <w:color w:val="000000"/>
          <w:sz w:val="11"/>
        </w:rPr>
        <w:t xml:space="preserve">(1) </w:t>
      </w:r>
      <w:r>
        <w:rPr>
          <w:rFonts w:ascii="Times New Roman" w:hAnsi="Times New Roman"/>
          <w:color w:val="000000"/>
          <w:sz w:val="20"/>
        </w:rPr>
        <w:t xml:space="preserve">of </w:t>
      </w:r>
      <w:bookmarkStart w:id="37" w:name="led407454f20236181689640148857"/>
      <w:bookmarkEnd w:id="37"/>
      <w:r>
        <w:rPr>
          <w:rFonts w:ascii="Times New Roman" w:hAnsi="Times New Roman"/>
          <w:color w:val="000000"/>
          <w:sz w:val="20"/>
        </w:rPr>
        <w:t>$51.6 million and an adjusted combined ratio</w:t>
      </w:r>
      <w:r>
        <w:rPr>
          <w:rFonts w:ascii="Times New Roman" w:hAnsi="Times New Roman"/>
          <w:color w:val="000000"/>
          <w:sz w:val="11"/>
        </w:rPr>
        <w:t>(1)</w:t>
      </w:r>
      <w:r>
        <w:rPr>
          <w:rFonts w:ascii="Times New Roman" w:hAnsi="Times New Roman"/>
          <w:color w:val="000000"/>
          <w:sz w:val="20"/>
        </w:rPr>
        <w:t xml:space="preserve"> of </w:t>
      </w:r>
      <w:bookmarkStart w:id="38" w:name="led407437f20236181689640259324"/>
      <w:bookmarkEnd w:id="38"/>
      <w:r>
        <w:rPr>
          <w:rFonts w:ascii="Times New Roman" w:hAnsi="Times New Roman"/>
          <w:color w:val="000000"/>
          <w:sz w:val="20"/>
        </w:rPr>
        <w:t>68.5% during the same period last year. The Company’s adjusted combined ratio excluding catastrophe losses</w:t>
      </w:r>
      <w:r>
        <w:rPr>
          <w:rFonts w:ascii="Times New Roman" w:hAnsi="Times New Roman"/>
          <w:color w:val="000000"/>
          <w:sz w:val="11"/>
        </w:rPr>
        <w:t>(1)</w:t>
      </w:r>
      <w:r>
        <w:rPr>
          <w:rFonts w:ascii="Times New Roman" w:hAnsi="Times New Roman"/>
          <w:color w:val="000000"/>
          <w:sz w:val="20"/>
        </w:rPr>
        <w:t xml:space="preserve"> was 75.9% compared to 68.9% during the same period last year.</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Investment Results</w:t>
      </w:r>
    </w:p>
    <w:p>
      <w:pPr>
        <w:pStyle w:val="TextBody"/>
        <w:bidi w:val="0"/>
        <w:jc w:val="both"/>
        <w:rPr>
          <w:rFonts w:ascii="Times New Roman" w:hAnsi="Times New Roman"/>
          <w:sz w:val="20"/>
        </w:rPr>
      </w:pPr>
      <w:bookmarkStart w:id="39" w:name="led407436f20236181689638927702"/>
      <w:bookmarkEnd w:id="39"/>
      <w:r>
        <w:rPr>
          <w:rFonts w:ascii="Times New Roman" w:hAnsi="Times New Roman"/>
          <w:color w:val="000000"/>
          <w:sz w:val="20"/>
        </w:rPr>
        <w:t xml:space="preserve">Net investment income increased by 49.0% to </w:t>
      </w:r>
      <w:bookmarkStart w:id="40" w:name="led407436f20236181689638943346"/>
      <w:bookmarkEnd w:id="40"/>
      <w:r>
        <w:rPr>
          <w:rFonts w:ascii="Times New Roman" w:hAnsi="Times New Roman"/>
          <w:color w:val="000000"/>
          <w:sz w:val="20"/>
        </w:rPr>
        <w:t xml:space="preserve">$18.0 million compared to </w:t>
      </w:r>
      <w:bookmarkStart w:id="41" w:name="led407436f20236181689638960057"/>
      <w:bookmarkEnd w:id="41"/>
      <w:r>
        <w:rPr>
          <w:rFonts w:ascii="Times New Roman" w:hAnsi="Times New Roman"/>
          <w:color w:val="000000"/>
          <w:sz w:val="20"/>
        </w:rPr>
        <w:t xml:space="preserve">$12.1 million in the prior year’s </w:t>
      </w:r>
      <w:bookmarkStart w:id="42" w:name="led408017f2024331712182788300"/>
      <w:bookmarkEnd w:id="42"/>
      <w:r>
        <w:rPr>
          <w:rFonts w:ascii="Times New Roman" w:hAnsi="Times New Roman"/>
          <w:color w:val="000000"/>
          <w:sz w:val="20"/>
        </w:rPr>
        <w:t xml:space="preserve">first quarter. The increase was primarily due to higher yields on invested assets and a higher average balance of investments held during the three months ended </w:t>
      </w:r>
      <w:bookmarkStart w:id="43" w:name="led408017f2024331712182572102"/>
      <w:bookmarkEnd w:id="43"/>
      <w:r>
        <w:rPr>
          <w:rFonts w:ascii="Times New Roman" w:hAnsi="Times New Roman"/>
          <w:color w:val="000000"/>
          <w:sz w:val="20"/>
        </w:rPr>
        <w:t xml:space="preserve">March 31, 2026 due to cash generated from operations. The weighted average duration of the fixed-maturity investment portfolio, including cash equivalents, was 4.21 years at March 31, 2026. Cash and invested assets totaled $1.6 billion at March 31, 2026. During the </w:t>
      </w:r>
      <w:bookmarkStart w:id="44" w:name="led408017f2024331712182737801"/>
      <w:bookmarkEnd w:id="44"/>
      <w:r>
        <w:rPr>
          <w:rFonts w:ascii="Times New Roman" w:hAnsi="Times New Roman"/>
          <w:color w:val="000000"/>
          <w:sz w:val="20"/>
        </w:rPr>
        <w:t xml:space="preserve">first quarter, the Company recorded </w:t>
      </w:r>
      <w:bookmarkStart w:id="45" w:name="led407436f20249181729287221091"/>
      <w:bookmarkEnd w:id="45"/>
      <w:r>
        <w:rPr>
          <w:rFonts w:ascii="Times New Roman" w:hAnsi="Times New Roman"/>
          <w:color w:val="000000"/>
          <w:sz w:val="20"/>
        </w:rPr>
        <w:t xml:space="preserve">$1.9 million net realized and unrealized losses related to its investment portfolio as compared to net realized and unrealized losses of </w:t>
      </w:r>
      <w:bookmarkStart w:id="46" w:name="led407436f20236181689639361060"/>
      <w:bookmarkEnd w:id="46"/>
      <w:r>
        <w:rPr>
          <w:rFonts w:ascii="Times New Roman" w:hAnsi="Times New Roman"/>
          <w:color w:val="000000"/>
          <w:sz w:val="20"/>
        </w:rPr>
        <w:t>$2.3 million during the same period last year.</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Tax Rate</w:t>
      </w:r>
    </w:p>
    <w:p>
      <w:pPr>
        <w:pStyle w:val="TextBody"/>
        <w:bidi w:val="0"/>
        <w:jc w:val="both"/>
        <w:rPr>
          <w:rFonts w:ascii="Times New Roman" w:hAnsi="Times New Roman"/>
          <w:sz w:val="20"/>
        </w:rPr>
      </w:pPr>
      <w:bookmarkStart w:id="47" w:name="led407436f20236181689638872134"/>
      <w:bookmarkEnd w:id="47"/>
      <w:r>
        <w:rPr>
          <w:rFonts w:ascii="Times New Roman" w:hAnsi="Times New Roman"/>
          <w:color w:val="000000"/>
          <w:sz w:val="20"/>
        </w:rPr>
        <w:t xml:space="preserve">The effective tax rate for the three months ended March 31, 2026 was 19.7% compared to </w:t>
      </w:r>
      <w:bookmarkStart w:id="48" w:name="led407436f20236181689638881861"/>
      <w:bookmarkEnd w:id="48"/>
      <w:r>
        <w:rPr>
          <w:rFonts w:ascii="Times New Roman" w:hAnsi="Times New Roman"/>
          <w:color w:val="000000"/>
          <w:sz w:val="20"/>
        </w:rPr>
        <w:t xml:space="preserve">20.1% for the three months ended </w:t>
      </w:r>
      <w:bookmarkStart w:id="49" w:name="led408017f2024331712182583385"/>
      <w:bookmarkEnd w:id="49"/>
      <w:r>
        <w:rPr>
          <w:rFonts w:ascii="Times New Roman" w:hAnsi="Times New Roman"/>
          <w:color w:val="000000"/>
          <w:sz w:val="20"/>
        </w:rPr>
        <w:t>March 31, 2025. For the current quarter, the Company’s income tax rate differed from the statutory rate due primarily to the tax impact of the permanent component of employee stock options offset by non-deductible executive compensation expense.</w:t>
      </w:r>
    </w:p>
    <w:p>
      <w:pPr>
        <w:pStyle w:val="TextBody"/>
        <w:bidi w:val="0"/>
        <w:jc w:val="both"/>
        <w:rPr>
          <w:rFonts w:ascii="Times New Roman" w:hAnsi="Times New Roman"/>
          <w:sz w:val="20"/>
        </w:rPr>
      </w:pPr>
      <w:r>
        <w:rPr>
          <w:rFonts w:ascii="Times New Roman" w:hAnsi="Times New Roman"/>
          <w:b/>
          <w:color w:val="000000"/>
          <w:sz w:val="20"/>
          <w:u w:val="single"/>
        </w:rPr>
        <w:t>Stockholders</w:t>
      </w:r>
      <w:r>
        <w:rPr>
          <w:rFonts w:ascii="Times New Roman" w:hAnsi="Times New Roman"/>
          <w:color w:val="000000"/>
          <w:sz w:val="20"/>
          <w:u w:val="single"/>
        </w:rPr>
        <w:t xml:space="preserve">’ </w:t>
      </w:r>
      <w:r>
        <w:rPr>
          <w:rFonts w:ascii="Times New Roman" w:hAnsi="Times New Roman"/>
          <w:b/>
          <w:color w:val="000000"/>
          <w:sz w:val="20"/>
          <w:u w:val="single"/>
        </w:rPr>
        <w:t>Equity and Returns</w:t>
      </w:r>
    </w:p>
    <w:p>
      <w:pPr>
        <w:pStyle w:val="TextBody"/>
        <w:bidi w:val="0"/>
        <w:jc w:val="both"/>
        <w:rPr>
          <w:rFonts w:ascii="Times New Roman" w:hAnsi="Times New Roman"/>
          <w:sz w:val="20"/>
        </w:rPr>
      </w:pPr>
      <w:bookmarkStart w:id="50" w:name="led407397f20236181689638637594"/>
      <w:bookmarkEnd w:id="50"/>
      <w:r>
        <w:rPr>
          <w:rFonts w:ascii="Times New Roman" w:hAnsi="Times New Roman"/>
          <w:color w:val="000000"/>
          <w:sz w:val="20"/>
        </w:rPr>
        <w:t xml:space="preserve">Stockholders’ equity was $959.0 million at March 31, 2026, compared to $942.7 million at March 31, 2025. For the three months ended March 31, 2026, the Company’s annualized return on equity was </w:t>
      </w:r>
      <w:bookmarkStart w:id="51" w:name="led407437f20236181689638733820"/>
      <w:bookmarkEnd w:id="51"/>
      <w:r>
        <w:rPr>
          <w:rFonts w:ascii="Times New Roman" w:hAnsi="Times New Roman"/>
          <w:color w:val="000000"/>
          <w:sz w:val="20"/>
        </w:rPr>
        <w:t xml:space="preserve">18.1% compared to </w:t>
      </w:r>
      <w:bookmarkStart w:id="52" w:name="led407437f20236181689638747424"/>
      <w:bookmarkEnd w:id="52"/>
      <w:r>
        <w:rPr>
          <w:rFonts w:ascii="Times New Roman" w:hAnsi="Times New Roman"/>
          <w:color w:val="000000"/>
          <w:sz w:val="20"/>
        </w:rPr>
        <w:t>22.6% for the same period in the prior year while adjusted return on equity</w:t>
      </w:r>
      <w:r>
        <w:rPr>
          <w:rFonts w:ascii="Times New Roman" w:hAnsi="Times New Roman"/>
          <w:color w:val="000000"/>
          <w:sz w:val="11"/>
        </w:rPr>
        <w:t>(1)</w:t>
      </w:r>
      <w:r>
        <w:rPr>
          <w:rFonts w:ascii="Times New Roman" w:hAnsi="Times New Roman"/>
          <w:color w:val="000000"/>
          <w:sz w:val="20"/>
        </w:rPr>
        <w:t xml:space="preserve"> was </w:t>
      </w:r>
      <w:bookmarkStart w:id="53" w:name="led407437f20236181689638761420"/>
      <w:bookmarkEnd w:id="53"/>
      <w:r>
        <w:rPr>
          <w:rFonts w:ascii="Times New Roman" w:hAnsi="Times New Roman"/>
          <w:color w:val="000000"/>
          <w:sz w:val="20"/>
        </w:rPr>
        <w:t xml:space="preserve">26.6% compared to </w:t>
      </w:r>
      <w:bookmarkStart w:id="54" w:name="led407437f20236181689638771440"/>
      <w:bookmarkEnd w:id="54"/>
      <w:r>
        <w:rPr>
          <w:rFonts w:ascii="Times New Roman" w:hAnsi="Times New Roman"/>
          <w:color w:val="000000"/>
          <w:sz w:val="20"/>
        </w:rPr>
        <w:t>27.0% for the same period in the prior year. During the current quarter, the Company repurchased 190,255 shares of its common stock for $23.1 million.</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Gray Acquisition and Impact on Results</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31, 2026, the Company completed the acquisition of The Gray Casualty &amp; Surety Company (subsequently renamed to Palomar Casualty &amp; Surety Company (“PCSC”). The Company’s first quarter 2026 results of operations include two months of PCSC activity. </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New Share Repurchase Program</w:t>
      </w:r>
    </w:p>
    <w:p>
      <w:pPr>
        <w:pStyle w:val="TextBody"/>
        <w:bidi w:val="0"/>
        <w:jc w:val="both"/>
        <w:rPr>
          <w:rFonts w:ascii="Times New Roman" w:hAnsi="Times New Roman"/>
          <w:color w:val="000000"/>
          <w:sz w:val="20"/>
        </w:rPr>
      </w:pPr>
      <w:r>
        <w:rPr>
          <w:rFonts w:ascii="Times New Roman" w:hAnsi="Times New Roman"/>
          <w:color w:val="000000"/>
          <w:sz w:val="20"/>
        </w:rPr>
        <w:t>On April 30, 2026, the Company’s Board of Directors approved a share repurchase program, effective May 6, 2026, which replaces the previous program, and authorizes the repurchase of up to $200 million of the Company’s outstanding common stock through May 6, 2028. Under this new share repurchase program, shares may be repurchased from time to time in the open market or negotiated transactions at prevailing market rates, or by other means in accordance with federal securities laws.</w:t>
      </w:r>
    </w:p>
    <w:p>
      <w:pPr>
        <w:pStyle w:val="TextBody"/>
        <w:bidi w:val="0"/>
        <w:jc w:val="left"/>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Full Year 2026 Outlook</w:t>
      </w:r>
    </w:p>
    <w:p>
      <w:pPr>
        <w:pStyle w:val="TextBody"/>
        <w:bidi w:val="0"/>
        <w:jc w:val="both"/>
        <w:rPr>
          <w:rFonts w:ascii="Times New Roman" w:hAnsi="Times New Roman"/>
          <w:color w:val="000000"/>
          <w:sz w:val="20"/>
        </w:rPr>
      </w:pPr>
      <w:r>
        <w:rPr>
          <w:rFonts w:ascii="Times New Roman" w:hAnsi="Times New Roman"/>
          <w:color w:val="000000"/>
          <w:sz w:val="20"/>
        </w:rPr>
        <w:t>For the full year 2026, the Company expects to achieve adjusted net income of $262 million to $278 million. This includes an estimate of $8 million to $12 million of catastrophe losses for the year.</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Conference Call</w:t>
      </w:r>
    </w:p>
    <w:p>
      <w:pPr>
        <w:pStyle w:val="TextBody"/>
        <w:bidi w:val="0"/>
        <w:jc w:val="both"/>
        <w:rPr>
          <w:rFonts w:ascii="Times New Roman" w:hAnsi="Times New Roman"/>
          <w:sz w:val="20"/>
        </w:rPr>
      </w:pPr>
      <w:bookmarkStart w:id="55" w:name="led408017f2024331712182462999"/>
      <w:bookmarkEnd w:id="55"/>
      <w:r>
        <w:rPr>
          <w:rFonts w:ascii="Times New Roman" w:hAnsi="Times New Roman"/>
          <w:color w:val="000000"/>
          <w:sz w:val="20"/>
        </w:rPr>
        <w:t xml:space="preserve">As previously announced, Palomar will host a conference call Thursday, May 7, 2026, to discuss its first quarter 2026 results at 12:00 p.m. (Eastern Time). The conference call can be accessed live by dialing 1-877-423-9813 or for international callers, 1-201-689-8573, and requesting to be joined to the Palomar </w:t>
      </w:r>
      <w:bookmarkStart w:id="56" w:name="led408017f2024331712182503669"/>
      <w:bookmarkEnd w:id="56"/>
      <w:r>
        <w:rPr>
          <w:rFonts w:ascii="Times New Roman" w:hAnsi="Times New Roman"/>
          <w:color w:val="000000"/>
          <w:sz w:val="20"/>
        </w:rPr>
        <w:t xml:space="preserve">First Quarter </w:t>
      </w:r>
      <w:bookmarkStart w:id="57" w:name="led408017f2024331712182514412"/>
      <w:bookmarkEnd w:id="57"/>
      <w:r>
        <w:rPr>
          <w:rFonts w:ascii="Times New Roman" w:hAnsi="Times New Roman"/>
          <w:color w:val="000000"/>
          <w:sz w:val="20"/>
        </w:rPr>
        <w:t>2026 Earnings Conference Call. A replay will be available starting at 4:00 p.m. (Eastern Time) on May 7, 2026, and can be accessed by dialing 1-844-512-2921, or for international callers, 1-412-317-6671. The passcode for the replay is 13759747. The replay will be available until 11:59 p.m. (Eastern Time) on May 14, 2026.</w:t>
      </w:r>
    </w:p>
    <w:p>
      <w:pPr>
        <w:pStyle w:val="TextBody"/>
        <w:bidi w:val="0"/>
        <w:jc w:val="both"/>
        <w:rPr>
          <w:rFonts w:ascii="Times New Roman" w:hAnsi="Times New Roman"/>
          <w:color w:val="000000"/>
          <w:sz w:val="20"/>
        </w:rPr>
      </w:pPr>
      <w:r>
        <w:rPr>
          <w:rFonts w:ascii="Times New Roman" w:hAnsi="Times New Roman"/>
          <w:color w:val="000000"/>
          <w:sz w:val="20"/>
        </w:rPr>
        <w:t>Interested investors and other parties may also listen to a simultaneous webcast of the conference call by logging onto the investor relations section of the Company’s website at http://ir.palomarspecialty.com/. The online replay will remain available for a limited time beginning immediately following the call.</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About Palomar Holdings, Inc.</w:t>
      </w:r>
    </w:p>
    <w:p>
      <w:pPr>
        <w:pStyle w:val="TextBody"/>
        <w:bidi w:val="0"/>
        <w:jc w:val="both"/>
        <w:rPr>
          <w:rFonts w:ascii="Times New Roman" w:hAnsi="Times New Roman"/>
          <w:color w:val="000000"/>
          <w:sz w:val="20"/>
        </w:rPr>
      </w:pPr>
      <w:r>
        <w:rPr>
          <w:rFonts w:ascii="Times New Roman" w:hAnsi="Times New Roman"/>
          <w:color w:val="000000"/>
          <w:sz w:val="20"/>
        </w:rPr>
        <w:t>Palomar Holdings, Inc. is the holding company of subsidiaries Palomar Specialty Insurance Company (“PSIC”), Palomar Specialty Reinsurance Company Bermuda Ltd. (“PSRE”), Palomar Insurance Agency, Inc., Palomar Excess and Surplus Insurance Company (“PESIC”), Palomar Underwriters Exchange Organization, Inc. (“PUEO”), First Indemnity of America Insurance Co. (“FIA”), Palomar Crop Insurance Services, Inc. (“PCIS”), and Palomar Casualty and Surety Company (“PCSC”). Palomar’s consolidated results also include Laulima Exchange (“Laulima”), a variable interest entity for which the Company is the primary beneficiary. Palomar is an innovative specialty insurer serving residential and commercial clients in five product categories: Earthquake, Inland Marine and Property, Casualty, Surety &amp; Credit, and Crop. Palomar’s insurance subsidiaries, PSIC, PSRE, PESIC, and FIA have a financial strength rating of “A” (Excellent) from A.M. Best and PCSC has a financial strength rating of “A-” (Excellent) from A.M. Best.</w:t>
      </w:r>
    </w:p>
    <w:p>
      <w:pPr>
        <w:pStyle w:val="TextBody"/>
        <w:bidi w:val="0"/>
        <w:jc w:val="both"/>
        <w:rPr>
          <w:rFonts w:ascii="Times New Roman" w:hAnsi="Times New Roman"/>
          <w:color w:val="000000"/>
          <w:sz w:val="20"/>
        </w:rPr>
      </w:pPr>
      <w:r>
        <w:rPr>
          <w:rFonts w:ascii="Times New Roman" w:hAnsi="Times New Roman"/>
          <w:color w:val="000000"/>
          <w:sz w:val="20"/>
        </w:rPr>
        <w:t>To learn more, visit PLMR.com.</w:t>
      </w:r>
    </w:p>
    <w:p>
      <w:pPr>
        <w:pStyle w:val="TextBody"/>
        <w:bidi w:val="0"/>
        <w:jc w:val="both"/>
        <w:rPr>
          <w:rFonts w:ascii="Times New Roman" w:hAnsi="Times New Roman"/>
          <w:b/>
          <w:color w:val="000000"/>
          <w:sz w:val="20"/>
        </w:rPr>
      </w:pPr>
      <w:r>
        <w:rPr>
          <w:rFonts w:ascii="Times New Roman" w:hAnsi="Times New Roman"/>
          <w:b/>
          <w:color w:val="000000"/>
          <w:sz w:val="20"/>
        </w:rPr>
        <w:t>Non-GAAP and Key Performance Indicators</w:t>
      </w:r>
    </w:p>
    <w:p>
      <w:pPr>
        <w:pStyle w:val="TextBody"/>
        <w:bidi w:val="0"/>
        <w:jc w:val="both"/>
        <w:rPr>
          <w:rFonts w:ascii="Times New Roman" w:hAnsi="Times New Roman"/>
          <w:color w:val="000000"/>
          <w:sz w:val="20"/>
        </w:rPr>
      </w:pPr>
      <w:r>
        <w:rPr>
          <w:rFonts w:ascii="Times New Roman" w:hAnsi="Times New Roman"/>
          <w:color w:val="000000"/>
          <w:sz w:val="20"/>
        </w:rPr>
        <w:t>Palomar discusses certain key performance indicators, described below, which provide useful information about the Company’s business and the operational factors underlying the Company’s financial performance.</w:t>
      </w:r>
    </w:p>
    <w:p>
      <w:pPr>
        <w:pStyle w:val="TextBody"/>
        <w:bidi w:val="0"/>
        <w:jc w:val="both"/>
        <w:rPr>
          <w:rFonts w:ascii="Times New Roman" w:hAnsi="Times New Roman"/>
          <w:sz w:val="20"/>
        </w:rPr>
      </w:pPr>
      <w:r>
        <w:rPr>
          <w:rFonts w:ascii="Times New Roman" w:hAnsi="Times New Roman"/>
          <w:i/>
          <w:color w:val="000000"/>
          <w:sz w:val="20"/>
        </w:rPr>
        <w:t>Underwriting revenue</w:t>
      </w:r>
      <w:r>
        <w:rPr>
          <w:rFonts w:ascii="Times New Roman" w:hAnsi="Times New Roman"/>
          <w:color w:val="000000"/>
          <w:sz w:val="20"/>
        </w:rPr>
        <w:t xml:space="preserve"> is a non-GAAP financial measure defined as total revenue, excluding net investment income and net realized and unrealized gains and losses on investments. See “Reconciliation of Non-GAAP Financial Measures” for a reconciliation of total revenue calculated in accordance with GAAP to underwriting revenue.</w:t>
      </w:r>
    </w:p>
    <w:p>
      <w:pPr>
        <w:pStyle w:val="TextBody"/>
        <w:bidi w:val="0"/>
        <w:jc w:val="both"/>
        <w:rPr>
          <w:rFonts w:ascii="Times New Roman" w:hAnsi="Times New Roman"/>
          <w:sz w:val="20"/>
        </w:rPr>
      </w:pPr>
      <w:r>
        <w:rPr>
          <w:rFonts w:ascii="Times New Roman" w:hAnsi="Times New Roman"/>
          <w:i/>
          <w:color w:val="000000"/>
          <w:sz w:val="20"/>
        </w:rPr>
        <w:t>Underwriting income</w:t>
      </w:r>
      <w:r>
        <w:rPr>
          <w:rFonts w:ascii="Times New Roman" w:hAnsi="Times New Roman"/>
          <w:color w:val="000000"/>
          <w:sz w:val="20"/>
        </w:rPr>
        <w:t xml:space="preserve"> is a non-GAAP financial measure defined as income before income taxes excluding net investment income, net realized and unrealized gains and losses on investments, and interest expense. See “Reconciliation of Non-GAAP Financial Measures” for a reconciliation of income before income taxes calculated in accordance with GAAP to underwriting income.</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i/>
          <w:color w:val="000000"/>
          <w:sz w:val="20"/>
        </w:rPr>
        <w:t>Adjusted net income</w:t>
      </w:r>
      <w:r>
        <w:rPr>
          <w:rFonts w:ascii="Times New Roman" w:hAnsi="Times New Roman"/>
          <w:color w:val="000000"/>
          <w:sz w:val="20"/>
        </w:rPr>
        <w:t xml:space="preserve"> is a non-GAAP financial measure defined as net income excluding the impact of certain items that may not be indicative of underlying business trends, operating results, or future outlook, net of tax impact. Palomar calculates the tax impact only on adjustments which would be included in calculating the Company’s income tax expense using the estimated tax rate at which the company received a deduction for these adjustments. See “Reconciliation of Non-GAAP Financial Measures” for a reconciliation of net income calculated in accordance with GAAP to adjusted net income.</w:t>
      </w:r>
    </w:p>
    <w:p>
      <w:pPr>
        <w:pStyle w:val="TextBody"/>
        <w:bidi w:val="0"/>
        <w:jc w:val="both"/>
        <w:rPr>
          <w:rFonts w:ascii="Times New Roman" w:hAnsi="Times New Roman"/>
          <w:sz w:val="20"/>
        </w:rPr>
      </w:pPr>
      <w:r>
        <w:rPr>
          <w:rFonts w:ascii="Times New Roman" w:hAnsi="Times New Roman"/>
          <w:i/>
          <w:color w:val="000000"/>
          <w:sz w:val="20"/>
        </w:rPr>
        <w:t>Annualized Return on equity</w:t>
      </w:r>
      <w:r>
        <w:rPr>
          <w:rFonts w:ascii="Times New Roman" w:hAnsi="Times New Roman"/>
          <w:color w:val="000000"/>
          <w:sz w:val="20"/>
        </w:rPr>
        <w:t xml:space="preserve"> is net income expressed on an annualized basis as a percentage of average beginning and ending stockholders’ equity during the period.</w:t>
      </w:r>
    </w:p>
    <w:p>
      <w:pPr>
        <w:pStyle w:val="TextBody"/>
        <w:bidi w:val="0"/>
        <w:jc w:val="both"/>
        <w:rPr>
          <w:rFonts w:ascii="Times New Roman" w:hAnsi="Times New Roman"/>
          <w:sz w:val="20"/>
        </w:rPr>
      </w:pPr>
      <w:r>
        <w:rPr>
          <w:rFonts w:ascii="Times New Roman" w:hAnsi="Times New Roman"/>
          <w:i/>
          <w:color w:val="000000"/>
          <w:sz w:val="20"/>
        </w:rPr>
        <w:t>Annualized adjusted return on equity</w:t>
      </w:r>
      <w:r>
        <w:rPr>
          <w:rFonts w:ascii="Times New Roman" w:hAnsi="Times New Roman"/>
          <w:color w:val="000000"/>
          <w:sz w:val="20"/>
        </w:rPr>
        <w:t xml:space="preserve"> is a non-GAAP financial measure defined as adjusted net income expressed on an annualized basis as a percentage of average beginning and ending stockholders’ equity during the period. See “Reconciliation of Non-GAAP Financial Measures” for a reconciliation of return on equity calculated using unadjusted GAAP numbers to adjusted return on equity.</w:t>
      </w:r>
    </w:p>
    <w:p>
      <w:pPr>
        <w:pStyle w:val="TextBody"/>
        <w:bidi w:val="0"/>
        <w:jc w:val="both"/>
        <w:rPr>
          <w:rFonts w:ascii="Times New Roman" w:hAnsi="Times New Roman"/>
          <w:sz w:val="20"/>
        </w:rPr>
      </w:pPr>
      <w:r>
        <w:rPr>
          <w:rFonts w:ascii="Times New Roman" w:hAnsi="Times New Roman"/>
          <w:i/>
          <w:color w:val="000000"/>
          <w:sz w:val="20"/>
        </w:rPr>
        <w:t>Loss ratio</w:t>
      </w:r>
      <w:r>
        <w:rPr>
          <w:rFonts w:ascii="Times New Roman" w:hAnsi="Times New Roman"/>
          <w:color w:val="000000"/>
          <w:sz w:val="20"/>
        </w:rPr>
        <w:t>, expressed as a percentage, is the ratio of losses and loss adjustment expenses, to net earned premiums.</w:t>
      </w:r>
    </w:p>
    <w:p>
      <w:pPr>
        <w:pStyle w:val="TextBody"/>
        <w:bidi w:val="0"/>
        <w:jc w:val="both"/>
        <w:rPr>
          <w:rFonts w:ascii="Times New Roman" w:hAnsi="Times New Roman"/>
          <w:sz w:val="20"/>
        </w:rPr>
      </w:pPr>
      <w:r>
        <w:rPr>
          <w:rFonts w:ascii="Times New Roman" w:hAnsi="Times New Roman"/>
          <w:i/>
          <w:color w:val="000000"/>
          <w:sz w:val="20"/>
        </w:rPr>
        <w:t>Expense ratio,</w:t>
      </w:r>
      <w:r>
        <w:rPr>
          <w:rFonts w:ascii="Times New Roman" w:hAnsi="Times New Roman"/>
          <w:color w:val="000000"/>
          <w:sz w:val="20"/>
        </w:rPr>
        <w:t xml:space="preserve"> expressed as a percentage, is the ratio of acquisition and other underwriting expenses, net of commission and other income to net earned premiums.</w:t>
      </w:r>
    </w:p>
    <w:p>
      <w:pPr>
        <w:pStyle w:val="TextBody"/>
        <w:bidi w:val="0"/>
        <w:jc w:val="both"/>
        <w:rPr>
          <w:rFonts w:ascii="Times New Roman" w:hAnsi="Times New Roman"/>
          <w:sz w:val="20"/>
        </w:rPr>
      </w:pPr>
      <w:r>
        <w:rPr>
          <w:rFonts w:ascii="Times New Roman" w:hAnsi="Times New Roman"/>
          <w:i/>
          <w:color w:val="000000"/>
          <w:sz w:val="20"/>
        </w:rPr>
        <w:t>Combined ratio</w:t>
      </w:r>
      <w:r>
        <w:rPr>
          <w:rFonts w:ascii="Times New Roman" w:hAnsi="Times New Roman"/>
          <w:color w:val="000000"/>
          <w:sz w:val="20"/>
        </w:rPr>
        <w:t xml:space="preserve"> is defined as the sum of the loss ratio and the expense ratio. A combined ratio under 100% generally indicates an underwriting profit. A combined ratio over 100% generally indicates an underwriting loss.</w:t>
      </w:r>
    </w:p>
    <w:p>
      <w:pPr>
        <w:pStyle w:val="TextBody"/>
        <w:bidi w:val="0"/>
        <w:jc w:val="both"/>
        <w:rPr>
          <w:rFonts w:ascii="Times New Roman" w:hAnsi="Times New Roman"/>
          <w:sz w:val="20"/>
        </w:rPr>
      </w:pPr>
      <w:r>
        <w:rPr>
          <w:rFonts w:ascii="Times New Roman" w:hAnsi="Times New Roman"/>
          <w:i/>
          <w:color w:val="000000"/>
          <w:sz w:val="20"/>
        </w:rPr>
        <w:t>Adjusted combined ratio</w:t>
      </w:r>
      <w:r>
        <w:rPr>
          <w:rFonts w:ascii="Times New Roman" w:hAnsi="Times New Roman"/>
          <w:color w:val="000000"/>
          <w:sz w:val="20"/>
        </w:rPr>
        <w:t xml:space="preserve"> is a non-GAAP financial measure defined as the sum of the loss ratio and the expense ratio calculated excluding the impact of certain items that may not be indicative of underlying business trends, operating results, or future outlook. See “Reconciliation of Non-GAAP Financial Measures” for a reconciliation of combined ratio calculated using unadjusted GAAP numbers to adjusted combined ratio.</w:t>
      </w:r>
    </w:p>
    <w:p>
      <w:pPr>
        <w:pStyle w:val="TextBody"/>
        <w:bidi w:val="0"/>
        <w:jc w:val="both"/>
        <w:rPr>
          <w:rFonts w:ascii="Times New Roman" w:hAnsi="Times New Roman"/>
          <w:sz w:val="20"/>
        </w:rPr>
      </w:pPr>
      <w:r>
        <w:rPr>
          <w:rFonts w:ascii="Times New Roman" w:hAnsi="Times New Roman"/>
          <w:i/>
          <w:color w:val="000000"/>
          <w:sz w:val="20"/>
        </w:rPr>
        <w:t>Diluted adjusted earnings per share</w:t>
      </w:r>
      <w:r>
        <w:rPr>
          <w:rFonts w:ascii="Times New Roman" w:hAnsi="Times New Roman"/>
          <w:color w:val="000000"/>
          <w:sz w:val="20"/>
        </w:rPr>
        <w:t xml:space="preserve"> is a non-GAAP financial measure defined as adjusted net income divided by the weighted-average common shares outstanding for the period, reflecting the dilution which could occur if equity-based awards are converted into common share equivalents as calculated using the treasury stock method. See “Reconciliation of Non-GAAP Financial Measures” for a reconciliation of diluted earnings per share calculated in accordance with GAAP to diluted adjusted earnings per share.</w:t>
      </w:r>
    </w:p>
    <w:p>
      <w:pPr>
        <w:pStyle w:val="TextBody"/>
        <w:bidi w:val="0"/>
        <w:jc w:val="both"/>
        <w:rPr>
          <w:rFonts w:ascii="Times New Roman" w:hAnsi="Times New Roman"/>
          <w:sz w:val="20"/>
        </w:rPr>
      </w:pPr>
      <w:r>
        <w:rPr>
          <w:rFonts w:ascii="Times New Roman" w:hAnsi="Times New Roman"/>
          <w:i/>
          <w:color w:val="000000"/>
          <w:sz w:val="20"/>
        </w:rPr>
        <w:t>Catastrophe loss ratio</w:t>
      </w:r>
      <w:r>
        <w:rPr>
          <w:rFonts w:ascii="Times New Roman" w:hAnsi="Times New Roman"/>
          <w:color w:val="000000"/>
          <w:sz w:val="20"/>
        </w:rPr>
        <w:t xml:space="preserve"> is a non-GAAP financial measure defined as the ratio of catastrophe losses to net earned premiums. See “Reconciliation of Non-GAAP Financial Measures” for a reconciliation of loss ratio calculated using unadjusted GAAP numbers to catastrophe loss ratio.</w:t>
      </w:r>
    </w:p>
    <w:p>
      <w:pPr>
        <w:pStyle w:val="TextBody"/>
        <w:bidi w:val="0"/>
        <w:jc w:val="both"/>
        <w:rPr>
          <w:rFonts w:ascii="Times New Roman" w:hAnsi="Times New Roman"/>
          <w:sz w:val="20"/>
        </w:rPr>
      </w:pPr>
      <w:r>
        <w:rPr>
          <w:rFonts w:ascii="Times New Roman" w:hAnsi="Times New Roman"/>
          <w:i/>
          <w:color w:val="000000"/>
          <w:sz w:val="20"/>
        </w:rPr>
        <w:t>Adjusted combined ratio excluding catastrophe losses</w:t>
      </w:r>
      <w:r>
        <w:rPr>
          <w:rFonts w:ascii="Times New Roman" w:hAnsi="Times New Roman"/>
          <w:color w:val="000000"/>
          <w:sz w:val="20"/>
        </w:rPr>
        <w:t xml:space="preserve"> is a non-GAAP financial measure defined as adjusted combined ratio excluding the impact of catastrophe losses. See “Reconciliation of Non-GAAP Financial Measures” for a reconciliation of combined ratio calculated using unadjusted GAAP numbers to adjusted combined ratio excluding catastrophe losses.</w:t>
      </w:r>
    </w:p>
    <w:p>
      <w:pPr>
        <w:pStyle w:val="TextBody"/>
        <w:bidi w:val="0"/>
        <w:jc w:val="both"/>
        <w:rPr>
          <w:rFonts w:ascii="Times New Roman" w:hAnsi="Times New Roman"/>
          <w:sz w:val="20"/>
        </w:rPr>
      </w:pPr>
      <w:r>
        <w:rPr>
          <w:rFonts w:ascii="Times New Roman" w:hAnsi="Times New Roman"/>
          <w:i/>
          <w:color w:val="000000"/>
          <w:sz w:val="20"/>
        </w:rPr>
        <w:t>Adjusted underwriting income</w:t>
      </w:r>
      <w:r>
        <w:rPr>
          <w:rFonts w:ascii="Times New Roman" w:hAnsi="Times New Roman"/>
          <w:color w:val="000000"/>
          <w:sz w:val="20"/>
        </w:rPr>
        <w:t xml:space="preserve"> is a non-GAAP financial measure defined as underwriting income excluding the impact of certain items that may not be indicative of underlying business trends, operating results, or future outlook. See “Reconciliation of Non-GAAP Financial Measures” for a reconciliation of income before income taxes calculated in accordance with GAAP to adjusted underwriting income.</w:t>
      </w:r>
    </w:p>
    <w:p>
      <w:pPr>
        <w:pStyle w:val="TextBody"/>
        <w:bidi w:val="0"/>
        <w:jc w:val="both"/>
        <w:rPr>
          <w:rFonts w:ascii="Times New Roman" w:hAnsi="Times New Roman"/>
          <w:sz w:val="20"/>
        </w:rPr>
      </w:pPr>
      <w:r>
        <w:rPr>
          <w:rFonts w:ascii="Times New Roman" w:hAnsi="Times New Roman"/>
          <w:i/>
          <w:color w:val="000000"/>
          <w:sz w:val="20"/>
        </w:rPr>
        <w:t>Tangible stockholders</w:t>
      </w:r>
      <w:r>
        <w:rPr>
          <w:rFonts w:ascii="Times New Roman" w:hAnsi="Times New Roman"/>
          <w:color w:val="000000"/>
          <w:sz w:val="20"/>
        </w:rPr>
        <w:t xml:space="preserve">’ </w:t>
      </w:r>
      <w:r>
        <w:rPr>
          <w:rFonts w:ascii="Times New Roman" w:hAnsi="Times New Roman"/>
          <w:i/>
          <w:color w:val="000000"/>
          <w:sz w:val="20"/>
        </w:rPr>
        <w:t>equity</w:t>
      </w:r>
      <w:r>
        <w:rPr>
          <w:rFonts w:ascii="Times New Roman" w:hAnsi="Times New Roman"/>
          <w:color w:val="000000"/>
          <w:sz w:val="20"/>
        </w:rPr>
        <w:t xml:space="preserve"> is a non-GAAP financial measure defined as stockholders’ equity less goodwill and intangible assets. See “Reconciliation of Non-GAAP Financial Measures” for a reconciliation of stockholders’ equity calculated in accordance with GAAP to tangible stockholders’ equity.</w:t>
      </w:r>
    </w:p>
    <w:p>
      <w:pPr>
        <w:pStyle w:val="TextBody"/>
        <w:bidi w:val="0"/>
        <w:jc w:val="both"/>
        <w:rPr>
          <w:rFonts w:ascii="Times New Roman" w:hAnsi="Times New Roman"/>
          <w:b/>
          <w:color w:val="000000"/>
          <w:sz w:val="20"/>
        </w:rPr>
      </w:pPr>
      <w:r>
        <w:rPr>
          <w:rFonts w:ascii="Times New Roman" w:hAnsi="Times New Roman"/>
          <w:b/>
          <w:color w:val="000000"/>
          <w:sz w:val="20"/>
        </w:rPr>
        <w:t>Safe Harbor Statement</w:t>
      </w:r>
    </w:p>
    <w:p>
      <w:pPr>
        <w:pStyle w:val="TextBody"/>
        <w:bidi w:val="0"/>
        <w:jc w:val="both"/>
        <w:rPr>
          <w:rFonts w:ascii="Times New Roman" w:hAnsi="Times New Roman"/>
          <w:color w:val="000000"/>
          <w:sz w:val="20"/>
        </w:rPr>
      </w:pPr>
      <w:r>
        <w:rPr>
          <w:rFonts w:ascii="Times New Roman" w:hAnsi="Times New Roman"/>
          <w:color w:val="000000"/>
          <w:sz w:val="20"/>
        </w:rPr>
        <w:t xml:space="preserve">Palomar cautions you that statements contained in this press release may regard matters that are not historical facts but are forward-looking statements. These statements are based on the company’s current beliefs and expectations. The inclusion of forward-looking statements should not be regarded as a representation by Palomar that any of its plans will be achieved. Actual results may differ from those set forth in this press release due to the risks and uncertainties inherent in the Company’s business. The forward-looking statements are typically, but not always, identified through use of the words “believe,” “expect,” “enable,” “may,” “will,” “could,” “intends,” “estimate,” “anticipate,” “plan,” “predict,” “probable,” “potential,” “possible,” “should,” “continue,” and other words of similar meaning. Actual results could differ materially from the expectations contained in forward-looking statements as a result of several factors, including unexpected expenditures and costs, unexpected results or delays in development and regulatory review, regulatory approval requirements, the frequency and severity of adverse events and competitive conditions. These and other factors that may result in differences are discussed in greater detail in the Company’s filings with the Securities and Exchange Commission. You are cautioned not to place undue reliance on these forward-looking statements, which speak only as of the date hereof, and the Company undertakes no obligation to update such statements to reflect events that occur or circumstances that exist after the date hereof. All forward-looking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statements are qualified in their entirety by this cautionary statement, which is made under the safe harbor provisions of the Private Securities Litigation Reform Act of 1995.</w:t>
      </w:r>
    </w:p>
    <w:p>
      <w:pPr>
        <w:pStyle w:val="TextBody"/>
        <w:bidi w:val="0"/>
        <w:jc w:val="left"/>
        <w:rPr>
          <w:rFonts w:ascii="Times New Roman" w:hAnsi="Times New Roman"/>
          <w:b/>
          <w:color w:val="000000"/>
          <w:sz w:val="20"/>
        </w:rPr>
      </w:pPr>
      <w:r>
        <w:rPr>
          <w:rFonts w:ascii="Times New Roman" w:hAnsi="Times New Roman"/>
          <w:b/>
          <w:color w:val="000000"/>
          <w:sz w:val="20"/>
        </w:rPr>
        <w:t>Contact</w:t>
      </w:r>
    </w:p>
    <w:p>
      <w:pPr>
        <w:pStyle w:val="TextBody"/>
        <w:bidi w:val="0"/>
        <w:jc w:val="left"/>
        <w:rPr>
          <w:rFonts w:ascii="Times New Roman" w:hAnsi="Times New Roman"/>
          <w:color w:val="000000"/>
          <w:sz w:val="20"/>
        </w:rPr>
      </w:pPr>
      <w:r>
        <w:rPr>
          <w:rFonts w:ascii="Times New Roman" w:hAnsi="Times New Roman"/>
          <w:color w:val="000000"/>
          <w:sz w:val="20"/>
        </w:rPr>
        <w:t xml:space="preserve">Media Inquiries </w:t>
      </w:r>
    </w:p>
    <w:p>
      <w:pPr>
        <w:pStyle w:val="TextBody"/>
        <w:bidi w:val="0"/>
        <w:jc w:val="left"/>
        <w:rPr>
          <w:rFonts w:ascii="Times New Roman" w:hAnsi="Times New Roman"/>
          <w:color w:val="000000"/>
          <w:sz w:val="20"/>
        </w:rPr>
      </w:pPr>
      <w:r>
        <w:rPr>
          <w:rFonts w:ascii="Times New Roman" w:hAnsi="Times New Roman"/>
          <w:color w:val="000000"/>
          <w:sz w:val="20"/>
        </w:rPr>
        <w:t xml:space="preserve">Lindsay Conner </w:t>
      </w:r>
    </w:p>
    <w:p>
      <w:pPr>
        <w:pStyle w:val="TextBody"/>
        <w:bidi w:val="0"/>
        <w:jc w:val="left"/>
        <w:rPr>
          <w:rFonts w:ascii="Times New Roman" w:hAnsi="Times New Roman"/>
          <w:color w:val="000000"/>
          <w:sz w:val="20"/>
        </w:rPr>
      </w:pPr>
      <w:r>
        <w:rPr>
          <w:rFonts w:ascii="Times New Roman" w:hAnsi="Times New Roman"/>
          <w:color w:val="000000"/>
          <w:sz w:val="20"/>
        </w:rPr>
        <w:t xml:space="preserve">1-551-206-6217 </w:t>
      </w:r>
    </w:p>
    <w:p>
      <w:pPr>
        <w:pStyle w:val="TextBody"/>
        <w:bidi w:val="0"/>
        <w:jc w:val="left"/>
        <w:rPr>
          <w:rFonts w:ascii="Times New Roman" w:hAnsi="Times New Roman"/>
          <w:color w:val="000000"/>
          <w:sz w:val="20"/>
        </w:rPr>
      </w:pPr>
      <w:r>
        <w:rPr>
          <w:rFonts w:ascii="Times New Roman" w:hAnsi="Times New Roman"/>
          <w:color w:val="000000"/>
          <w:sz w:val="20"/>
        </w:rPr>
        <w:t xml:space="preserve">lconner@plmr.com </w:t>
      </w:r>
    </w:p>
    <w:p>
      <w:pPr>
        <w:pStyle w:val="TextBody"/>
        <w:bidi w:val="0"/>
        <w:jc w:val="left"/>
        <w:rPr>
          <w:rFonts w:ascii="Times New Roman" w:hAnsi="Times New Roman"/>
          <w:color w:val="000000"/>
          <w:sz w:val="20"/>
        </w:rPr>
      </w:pPr>
      <w:r>
        <w:rPr>
          <w:rFonts w:ascii="Times New Roman" w:hAnsi="Times New Roman"/>
          <w:color w:val="000000"/>
          <w:sz w:val="20"/>
        </w:rPr>
        <w:t>Investor Relations</w:t>
      </w:r>
    </w:p>
    <w:p>
      <w:pPr>
        <w:pStyle w:val="TextBody"/>
        <w:bidi w:val="0"/>
        <w:jc w:val="left"/>
        <w:rPr>
          <w:rFonts w:ascii="Times New Roman" w:hAnsi="Times New Roman"/>
          <w:color w:val="000000"/>
          <w:sz w:val="20"/>
        </w:rPr>
      </w:pPr>
      <w:r>
        <w:rPr>
          <w:rFonts w:ascii="Times New Roman" w:hAnsi="Times New Roman"/>
          <w:color w:val="000000"/>
          <w:sz w:val="20"/>
        </w:rPr>
        <w:t>Jamie Lillis</w:t>
      </w:r>
    </w:p>
    <w:p>
      <w:pPr>
        <w:pStyle w:val="TextBody"/>
        <w:bidi w:val="0"/>
        <w:jc w:val="left"/>
        <w:rPr>
          <w:rFonts w:ascii="Times New Roman" w:hAnsi="Times New Roman"/>
          <w:color w:val="000000"/>
          <w:sz w:val="20"/>
        </w:rPr>
      </w:pPr>
      <w:r>
        <w:rPr>
          <w:rFonts w:ascii="Times New Roman" w:hAnsi="Times New Roman"/>
          <w:color w:val="000000"/>
          <w:sz w:val="20"/>
        </w:rPr>
        <w:t>1-203-428-3223</w:t>
      </w:r>
    </w:p>
    <w:p>
      <w:pPr>
        <w:pStyle w:val="TextBody"/>
        <w:bidi w:val="0"/>
        <w:jc w:val="left"/>
        <w:rPr>
          <w:rFonts w:ascii="Times New Roman" w:hAnsi="Times New Roman"/>
          <w:color w:val="000000"/>
          <w:sz w:val="20"/>
        </w:rPr>
      </w:pPr>
      <w:r>
        <w:rPr>
          <w:rFonts w:ascii="Times New Roman" w:hAnsi="Times New Roman"/>
          <w:color w:val="000000"/>
          <w:sz w:val="20"/>
        </w:rPr>
        <w:t>investors@plmr.com</w:t>
      </w:r>
    </w:p>
    <w:p>
      <w:pPr>
        <w:pStyle w:val="TextBody"/>
        <w:bidi w:val="0"/>
        <w:jc w:val="left"/>
        <w:rPr>
          <w:rFonts w:ascii="Times New Roman" w:hAnsi="Times New Roman"/>
          <w:color w:val="000000"/>
          <w:sz w:val="20"/>
        </w:rPr>
      </w:pPr>
      <w:r>
        <w:rPr>
          <w:rFonts w:ascii="Times New Roman" w:hAnsi="Times New Roman"/>
          <w:color w:val="000000"/>
          <w:sz w:val="20"/>
        </w:rPr>
        <w:t>Source: Palomar Holdings, Inc.</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i/>
          <w:color w:val="000000"/>
          <w:sz w:val="20"/>
        </w:rPr>
        <w:t>Summary of Operating Results</w:t>
      </w:r>
      <w:r>
        <w:rPr>
          <w:rFonts w:ascii="Times New Roman" w:hAnsi="Times New Roman"/>
          <w:color w:val="000000"/>
          <w:sz w:val="20"/>
        </w:rPr>
        <w:t>:</w:t>
      </w:r>
    </w:p>
    <w:p>
      <w:pPr>
        <w:pStyle w:val="TextBody"/>
        <w:bidi w:val="0"/>
        <w:jc w:val="left"/>
        <w:rPr>
          <w:rFonts w:ascii="Times New Roman" w:hAnsi="Times New Roman"/>
          <w:color w:val="000000"/>
          <w:sz w:val="20"/>
        </w:rPr>
      </w:pPr>
      <w:bookmarkStart w:id="58" w:name="led408018f20236171689626240976"/>
      <w:bookmarkEnd w:id="58"/>
      <w:r>
        <w:rPr>
          <w:rFonts w:ascii="Times New Roman" w:hAnsi="Times New Roman"/>
          <w:color w:val="000000"/>
          <w:sz w:val="20"/>
        </w:rPr>
        <w:t>The following tables summarize the Company’s results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4227"/>
        <w:gridCol w:w="146"/>
        <w:gridCol w:w="211"/>
        <w:gridCol w:w="841"/>
        <w:gridCol w:w="271"/>
        <w:gridCol w:w="146"/>
        <w:gridCol w:w="211"/>
        <w:gridCol w:w="841"/>
        <w:gridCol w:w="312"/>
        <w:gridCol w:w="146"/>
        <w:gridCol w:w="211"/>
        <w:gridCol w:w="781"/>
        <w:gridCol w:w="166"/>
        <w:gridCol w:w="146"/>
        <w:gridCol w:w="201"/>
        <w:gridCol w:w="790"/>
        <w:gridCol w:w="558"/>
      </w:tblGrid>
      <w:tr>
        <w:trPr/>
        <w:tc>
          <w:tcPr>
            <w:tcW w:w="4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written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442,163</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written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(230,745</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written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211,418</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164,070</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Total underwriting revenue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164,900</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38,743</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expenses, net of ceding commissions and fronting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46,359</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35,733</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Underwriting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12,071</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and unrealized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53,713</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10,791</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42,922</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and unrealized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b/>
                <w:color w:val="000000"/>
                <w:sz w:val="20"/>
              </w:rPr>
              <w:t xml:space="preserve">Adjusted net income </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51,306</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Key Financial and Operating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Annualized return 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Annualized adjusted return on equity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combined ratio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Diluted adjusted earnings per share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Catastrophe loss ratio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combined ratio excluding catastrophe losses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underwriting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NM - not meaningful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(1) - Indicates Non-GAAP financial measure - see above for definition of Non-GAAP financial measures and see below for reconciliation of Non-GAAP financial measures to their most directly comparable measures prepared in accordance with GAAP.</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Condensed Consolidated Balance sheets</w:t>
      </w:r>
    </w:p>
    <w:p>
      <w:pPr>
        <w:pStyle w:val="TextBody"/>
        <w:bidi w:val="0"/>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par value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05"/>
        <w:gridCol w:w="146"/>
        <w:gridCol w:w="211"/>
        <w:gridCol w:w="931"/>
        <w:gridCol w:w="166"/>
        <w:gridCol w:w="146"/>
        <w:gridCol w:w="219"/>
        <w:gridCol w:w="969"/>
        <w:gridCol w:w="412"/>
      </w:tblGrid>
      <w:tr>
        <w:trPr/>
        <w:tc>
          <w:tcPr>
            <w:tcW w:w="7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 maturity securities available for sale, at fair value (amortized cost: $1,431,434 in 2026; $1,227,605 in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1,224,187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securities, at fair value (cost: $98,838 in 2026; $81,772 in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99,333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1,352,023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106,875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Premiums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452,908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policy acquisition costs, net of ceding commissions and fronting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127,718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Reinsurance recoverable on paid losses and loss adjustment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Reinsurance recoverable on unpaid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412,273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Ceded unearned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355,918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110,896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and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61,054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3,612,331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3,050,967</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115,663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Reserve for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688,231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988,143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Ceded premium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271,413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Funds held under reinsurance treaty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2,108,300</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5,000,000 shares authorized, 0 shares issued and outstanding as of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500,000,000 shares authorized, 26,514,295 and 26,520,417 shares issued and outstanding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523,168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422,002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942,667</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3,050,967</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i/>
          <w:color w:val="000000"/>
          <w:sz w:val="20"/>
        </w:rPr>
      </w:pPr>
      <w:r>
        <w:rPr>
          <w:rFonts w:ascii="Times New Roman" w:hAnsi="Times New Roman"/>
          <w:i/>
          <w:color w:val="000000"/>
          <w:sz w:val="20"/>
        </w:rPr>
        <w:t>Condensed Consolidated Income Statement</w:t>
      </w:r>
    </w:p>
    <w:p>
      <w:pPr>
        <w:pStyle w:val="TextBody"/>
        <w:bidi w:val="0"/>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jc w:val="center"/>
        <w:rPr>
          <w:rFonts w:ascii="Times New Roman" w:hAnsi="Times New Roman"/>
          <w:sz w:val="20"/>
        </w:rPr>
      </w:pPr>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Income and Comprehensive Income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8884" w:type="dxa"/>
        <w:jc w:val="left"/>
        <w:tblInd w:w="0" w:type="dxa"/>
        <w:tblLayout w:type="fixed"/>
        <w:tblCellMar>
          <w:top w:w="28" w:type="dxa"/>
          <w:left w:w="28" w:type="dxa"/>
          <w:bottom w:w="28" w:type="dxa"/>
          <w:right w:w="28" w:type="dxa"/>
        </w:tblCellMar>
      </w:tblPr>
      <w:tblGrid>
        <w:gridCol w:w="5521"/>
        <w:gridCol w:w="146"/>
        <w:gridCol w:w="211"/>
        <w:gridCol w:w="1036"/>
        <w:gridCol w:w="166"/>
        <w:gridCol w:w="146"/>
        <w:gridCol w:w="211"/>
        <w:gridCol w:w="1036"/>
        <w:gridCol w:w="41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written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442,163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written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written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and unrealized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and loss adjustment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expenses, net of ceding commissions and fronting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underwriting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(losses) gains on securities available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26,572,165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26,658,106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27,340,840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27,399,997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i/>
          <w:color w:val="000000"/>
          <w:sz w:val="20"/>
        </w:rPr>
      </w:pPr>
      <w:r>
        <w:rPr>
          <w:rFonts w:ascii="Times New Roman" w:hAnsi="Times New Roman"/>
          <w:i/>
          <w:color w:val="000000"/>
          <w:sz w:val="20"/>
        </w:rPr>
        <w:t>Underwriting Segment Data</w:t>
      </w:r>
    </w:p>
    <w:p>
      <w:pPr>
        <w:pStyle w:val="TextBody"/>
        <w:bidi w:val="0"/>
        <w:jc w:val="left"/>
        <w:rPr>
          <w:rFonts w:ascii="Times New Roman" w:hAnsi="Times New Roman"/>
          <w:color w:val="000000"/>
          <w:sz w:val="20"/>
        </w:rPr>
      </w:pPr>
      <w:r>
        <w:rPr>
          <w:rFonts w:ascii="Times New Roman" w:hAnsi="Times New Roman"/>
          <w:color w:val="000000"/>
          <w:sz w:val="20"/>
        </w:rPr>
        <w:t>The Company has a single reportable segment and offers specialty insurance products. Gross written premiums (“GWP”) by product, location and company are presented below:</w:t>
      </w:r>
    </w:p>
    <w:p>
      <w:pPr>
        <w:pStyle w:val="TextBody"/>
        <w:bidi w:val="0"/>
        <w:jc w:val="left"/>
        <w:rPr/>
      </w:pPr>
      <w:r>
        <w:rPr/>
        <w:t> </w:t>
      </w:r>
    </w:p>
    <w:tbl>
      <w:tblPr>
        <w:tblW w:w="10089" w:type="dxa"/>
        <w:jc w:val="left"/>
        <w:tblInd w:w="0" w:type="dxa"/>
        <w:tblLayout w:type="fixed"/>
        <w:tblCellMar>
          <w:top w:w="28" w:type="dxa"/>
          <w:left w:w="28" w:type="dxa"/>
          <w:bottom w:w="28" w:type="dxa"/>
          <w:right w:w="28" w:type="dxa"/>
        </w:tblCellMar>
      </w:tblPr>
      <w:tblGrid>
        <w:gridCol w:w="2556"/>
        <w:gridCol w:w="146"/>
        <w:gridCol w:w="211"/>
        <w:gridCol w:w="781"/>
        <w:gridCol w:w="146"/>
        <w:gridCol w:w="146"/>
        <w:gridCol w:w="146"/>
        <w:gridCol w:w="571"/>
        <w:gridCol w:w="271"/>
        <w:gridCol w:w="146"/>
        <w:gridCol w:w="211"/>
        <w:gridCol w:w="781"/>
        <w:gridCol w:w="146"/>
        <w:gridCol w:w="146"/>
        <w:gridCol w:w="146"/>
        <w:gridCol w:w="571"/>
        <w:gridCol w:w="271"/>
        <w:gridCol w:w="146"/>
        <w:gridCol w:w="211"/>
        <w:gridCol w:w="781"/>
        <w:gridCol w:w="146"/>
        <w:gridCol w:w="146"/>
        <w:gridCol w:w="152"/>
        <w:gridCol w:w="599"/>
        <w:gridCol w:w="516"/>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Product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Casualty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Inland Marine and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Earthquake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Crop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Surety &amp;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Beginning in 2026, the Company has updated the categorization of its products to align with management’s current strategy and view of the business. Prior year amounts have been reclassified for comparability purposes. The recategorization is for presentation purposes only and does not impact overall gross written premiums.</w:t>
      </w:r>
    </w:p>
    <w:p>
      <w:pPr>
        <w:pStyle w:val="TextBody"/>
        <w:bidi w:val="0"/>
        <w:jc w:val="left"/>
        <w:rPr/>
      </w:pPr>
      <w:r>
        <w:rPr/>
        <w:t> </w:t>
      </w:r>
    </w:p>
    <w:tbl>
      <w:tblPr>
        <w:tblW w:w="7632" w:type="dxa"/>
        <w:jc w:val="left"/>
        <w:tblInd w:w="0" w:type="dxa"/>
        <w:tblLayout w:type="fixed"/>
        <w:tblCellMar>
          <w:top w:w="28" w:type="dxa"/>
          <w:left w:w="28" w:type="dxa"/>
          <w:bottom w:w="28" w:type="dxa"/>
          <w:right w:w="28" w:type="dxa"/>
        </w:tblCellMar>
      </w:tblPr>
      <w:tblGrid>
        <w:gridCol w:w="2551"/>
        <w:gridCol w:w="146"/>
        <w:gridCol w:w="211"/>
        <w:gridCol w:w="781"/>
        <w:gridCol w:w="146"/>
        <w:gridCol w:w="146"/>
        <w:gridCol w:w="146"/>
        <w:gridCol w:w="571"/>
        <w:gridCol w:w="271"/>
        <w:gridCol w:w="146"/>
        <w:gridCol w:w="211"/>
        <w:gridCol w:w="781"/>
        <w:gridCol w:w="146"/>
        <w:gridCol w:w="146"/>
        <w:gridCol w:w="146"/>
        <w:gridCol w:w="571"/>
        <w:gridCol w:w="516"/>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GWP</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California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Texas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Florida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New York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Hawaii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Washington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Colorado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Oklahoma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7632" w:type="dxa"/>
        <w:jc w:val="left"/>
        <w:tblInd w:w="0" w:type="dxa"/>
        <w:tblLayout w:type="fixed"/>
        <w:tblCellMar>
          <w:top w:w="28" w:type="dxa"/>
          <w:left w:w="28" w:type="dxa"/>
          <w:bottom w:w="28" w:type="dxa"/>
          <w:right w:w="28" w:type="dxa"/>
        </w:tblCellMar>
      </w:tblPr>
      <w:tblGrid>
        <w:gridCol w:w="2551"/>
        <w:gridCol w:w="146"/>
        <w:gridCol w:w="211"/>
        <w:gridCol w:w="781"/>
        <w:gridCol w:w="146"/>
        <w:gridCol w:w="146"/>
        <w:gridCol w:w="146"/>
        <w:gridCol w:w="571"/>
        <w:gridCol w:w="271"/>
        <w:gridCol w:w="146"/>
        <w:gridCol w:w="211"/>
        <w:gridCol w:w="781"/>
        <w:gridCol w:w="146"/>
        <w:gridCol w:w="146"/>
        <w:gridCol w:w="146"/>
        <w:gridCol w:w="571"/>
        <w:gridCol w:w="516"/>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GWP</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Laulima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PCSC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Gross and net earned premiums</w:t>
      </w:r>
    </w:p>
    <w:p>
      <w:pPr>
        <w:pStyle w:val="TextBody"/>
        <w:bidi w:val="0"/>
        <w:jc w:val="left"/>
        <w:rPr>
          <w:rFonts w:ascii="Times New Roman" w:hAnsi="Times New Roman"/>
          <w:color w:val="000000"/>
          <w:sz w:val="20"/>
        </w:rPr>
      </w:pPr>
      <w:r>
        <w:rPr>
          <w:rFonts w:ascii="Times New Roman" w:hAnsi="Times New Roman"/>
          <w:color w:val="000000"/>
          <w:sz w:val="20"/>
        </w:rPr>
        <w:t>The table below shows the amount of premiums the Company earned on a gross and net basis and the Company’s net earned premiums as a percentage of gross earned premiums for each period presented:</w:t>
      </w:r>
    </w:p>
    <w:p>
      <w:pPr>
        <w:pStyle w:val="TextBody"/>
        <w:bidi w:val="0"/>
        <w:jc w:val="left"/>
        <w:rPr/>
      </w:pPr>
      <w:r>
        <w:rPr/>
        <w:t> </w:t>
      </w:r>
    </w:p>
    <w:tbl>
      <w:tblPr>
        <w:tblW w:w="7631" w:type="dxa"/>
        <w:jc w:val="left"/>
        <w:tblInd w:w="0" w:type="dxa"/>
        <w:tblLayout w:type="fixed"/>
        <w:tblCellMar>
          <w:top w:w="28" w:type="dxa"/>
          <w:left w:w="28" w:type="dxa"/>
          <w:bottom w:w="28" w:type="dxa"/>
          <w:right w:w="28" w:type="dxa"/>
        </w:tblCellMar>
      </w:tblPr>
      <w:tblGrid>
        <w:gridCol w:w="2176"/>
        <w:gridCol w:w="146"/>
        <w:gridCol w:w="211"/>
        <w:gridCol w:w="841"/>
        <w:gridCol w:w="271"/>
        <w:gridCol w:w="146"/>
        <w:gridCol w:w="211"/>
        <w:gridCol w:w="841"/>
        <w:gridCol w:w="271"/>
        <w:gridCol w:w="146"/>
        <w:gridCol w:w="211"/>
        <w:gridCol w:w="781"/>
        <w:gridCol w:w="166"/>
        <w:gridCol w:w="146"/>
        <w:gridCol w:w="179"/>
        <w:gridCol w:w="572"/>
        <w:gridCol w:w="31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261,438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164,070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earned premium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Loss detail</w:t>
      </w:r>
    </w:p>
    <w:p>
      <w:pPr>
        <w:pStyle w:val="TextBody"/>
        <w:bidi w:val="0"/>
        <w:jc w:val="left"/>
        <w:rPr/>
      </w:pPr>
      <w:r>
        <w:rPr/>
        <w:t> </w:t>
      </w:r>
    </w:p>
    <w:tbl>
      <w:tblPr>
        <w:tblW w:w="8811" w:type="dxa"/>
        <w:jc w:val="left"/>
        <w:tblInd w:w="0" w:type="dxa"/>
        <w:tblLayout w:type="fixed"/>
        <w:tblCellMar>
          <w:top w:w="28" w:type="dxa"/>
          <w:left w:w="28" w:type="dxa"/>
          <w:bottom w:w="28" w:type="dxa"/>
          <w:right w:w="28" w:type="dxa"/>
        </w:tblCellMar>
      </w:tblPr>
      <w:tblGrid>
        <w:gridCol w:w="3511"/>
        <w:gridCol w:w="146"/>
        <w:gridCol w:w="211"/>
        <w:gridCol w:w="676"/>
        <w:gridCol w:w="271"/>
        <w:gridCol w:w="146"/>
        <w:gridCol w:w="211"/>
        <w:gridCol w:w="676"/>
        <w:gridCol w:w="331"/>
        <w:gridCol w:w="146"/>
        <w:gridCol w:w="211"/>
        <w:gridCol w:w="676"/>
        <w:gridCol w:w="146"/>
        <w:gridCol w:w="146"/>
        <w:gridCol w:w="201"/>
        <w:gridCol w:w="790"/>
        <w:gridCol w:w="316"/>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Non-catastrophe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86,829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87,097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Catastrophe loss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Non-catastrophe loss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loss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represents a reconciliation of changes in the ending reserve balances for losses and loss adjustment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97"/>
        <w:gridCol w:w="146"/>
        <w:gridCol w:w="245"/>
        <w:gridCol w:w="908"/>
        <w:gridCol w:w="192"/>
        <w:gridCol w:w="169"/>
        <w:gridCol w:w="245"/>
        <w:gridCol w:w="908"/>
        <w:gridCol w:w="595"/>
      </w:tblGrid>
      <w:tr>
        <w:trPr/>
        <w:tc>
          <w:tcPr>
            <w:tcW w:w="6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6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losses and LAE net of reinsurance recoverables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275,959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155,299</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Add: Balances acquired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Add: Incurred losses and LAE, net of reinsurance, related to:</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97,430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43,059</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(10,333</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87,097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38,743</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Deduct: Loss and LAE payments, net of reinsurance, related 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23,500</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13,170</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18,168</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losses and LAE net of reinsurance recoverables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341,016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182,662</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Reinsurance recoverables on unpaid losses and LAE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430,782</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361,227</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losses and LAE gross of reinsurance recoverables on unpaid losses and LAE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771,798</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543,889</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amounts recognized in Reserve for losses and LAE net of reinsurance recoverables upon acquisition of The Gray Casualty and Surety Company (“Gray Surety”) and FIA on 1/31/2026 and 1/1/2025, respectively, in accordance with ASC 805, Business Combinations. See Note 23 of the Notes to the Consolidated Financial Statements in our 2025 Annual Report on Form 10-K and Note 13 of our March 31, 2026 Quarterly Report on Form 10-Q for additional information regarding the acquisitions.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Losses for the three months ended March 31, 2026 and 2025 include $12.3 million and an insignificant amount, respectively, of gains on derivative instruments.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Reconciliation of Non-GAAP Financial Measures</w:t>
      </w:r>
    </w:p>
    <w:p>
      <w:pPr>
        <w:pStyle w:val="TextBody"/>
        <w:bidi w:val="0"/>
        <w:jc w:val="left"/>
        <w:rPr>
          <w:rFonts w:ascii="Times New Roman" w:hAnsi="Times New Roman"/>
          <w:color w:val="000000"/>
          <w:sz w:val="20"/>
        </w:rPr>
      </w:pPr>
      <w:bookmarkStart w:id="59" w:name="led408018f20236171689626290775"/>
      <w:bookmarkEnd w:id="59"/>
      <w:r>
        <w:rPr>
          <w:rFonts w:ascii="Times New Roman" w:hAnsi="Times New Roman"/>
          <w:color w:val="000000"/>
          <w:sz w:val="20"/>
        </w:rPr>
        <w:t>For the three months ended March 31, 2026 and 2025, the Non-GAAP financial measures discussed above reconcile to their most comparable GAAP measures as follows:</w:t>
      </w:r>
    </w:p>
    <w:p>
      <w:pPr>
        <w:pStyle w:val="TextBody"/>
        <w:bidi w:val="0"/>
        <w:jc w:val="both"/>
        <w:rPr>
          <w:rFonts w:ascii="Times New Roman" w:hAnsi="Times New Roman"/>
          <w:i/>
          <w:color w:val="000000"/>
          <w:sz w:val="20"/>
        </w:rPr>
      </w:pPr>
      <w:r>
        <w:rPr>
          <w:rFonts w:ascii="Times New Roman" w:hAnsi="Times New Roman"/>
          <w:i/>
          <w:color w:val="000000"/>
          <w:sz w:val="20"/>
        </w:rPr>
        <w:t>Underwriting revenue</w:t>
      </w:r>
    </w:p>
    <w:p>
      <w:pPr>
        <w:pStyle w:val="TextBody"/>
        <w:bidi w:val="0"/>
        <w:jc w:val="both"/>
        <w:rPr/>
      </w:pPr>
      <w:r>
        <w:rPr/>
        <w:t> </w:t>
      </w:r>
    </w:p>
    <w:tbl>
      <w:tblPr>
        <w:tblW w:w="6794" w:type="dxa"/>
        <w:jc w:val="left"/>
        <w:tblInd w:w="0" w:type="dxa"/>
        <w:tblLayout w:type="fixed"/>
        <w:tblCellMar>
          <w:top w:w="28" w:type="dxa"/>
          <w:left w:w="28" w:type="dxa"/>
          <w:bottom w:w="28" w:type="dxa"/>
          <w:right w:w="28" w:type="dxa"/>
        </w:tblCellMar>
      </w:tblPr>
      <w:tblGrid>
        <w:gridCol w:w="4141"/>
        <w:gridCol w:w="146"/>
        <w:gridCol w:w="211"/>
        <w:gridCol w:w="781"/>
        <w:gridCol w:w="166"/>
        <w:gridCol w:w="146"/>
        <w:gridCol w:w="211"/>
        <w:gridCol w:w="781"/>
        <w:gridCol w:w="21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and unrealized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Underwriting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Underwriting</w:t>
      </w:r>
      <w:r>
        <w:rPr>
          <w:rFonts w:ascii="Times New Roman" w:hAnsi="Times New Roman"/>
          <w:color w:val="000000"/>
          <w:sz w:val="20"/>
        </w:rPr>
        <w:t xml:space="preserve"> </w:t>
      </w:r>
      <w:r>
        <w:rPr>
          <w:rFonts w:ascii="Times New Roman" w:hAnsi="Times New Roman"/>
          <w:i/>
          <w:color w:val="000000"/>
          <w:sz w:val="20"/>
        </w:rPr>
        <w:t>income and adjusted underwriting income</w:t>
      </w:r>
    </w:p>
    <w:p>
      <w:pPr>
        <w:pStyle w:val="TextBody"/>
        <w:bidi w:val="0"/>
        <w:jc w:val="left"/>
        <w:rPr/>
      </w:pPr>
      <w:r>
        <w:rPr/>
        <w:t> </w:t>
      </w:r>
    </w:p>
    <w:tbl>
      <w:tblPr>
        <w:tblW w:w="6704" w:type="dxa"/>
        <w:jc w:val="left"/>
        <w:tblInd w:w="0" w:type="dxa"/>
        <w:tblLayout w:type="fixed"/>
        <w:tblCellMar>
          <w:top w:w="28" w:type="dxa"/>
          <w:left w:w="28" w:type="dxa"/>
          <w:bottom w:w="28" w:type="dxa"/>
          <w:right w:w="28" w:type="dxa"/>
        </w:tblCellMar>
      </w:tblPr>
      <w:tblGrid>
        <w:gridCol w:w="4141"/>
        <w:gridCol w:w="146"/>
        <w:gridCol w:w="211"/>
        <w:gridCol w:w="736"/>
        <w:gridCol w:w="166"/>
        <w:gridCol w:w="146"/>
        <w:gridCol w:w="211"/>
        <w:gridCol w:w="736"/>
        <w:gridCol w:w="21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and unrealized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Underwriting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underwriting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62,776</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51,605</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Adjusted net income</w:t>
      </w:r>
    </w:p>
    <w:p>
      <w:pPr>
        <w:pStyle w:val="TextBody"/>
        <w:bidi w:val="0"/>
        <w:jc w:val="left"/>
        <w:rPr/>
      </w:pPr>
      <w:r>
        <w:rPr/>
        <w:t> </w:t>
      </w:r>
    </w:p>
    <w:tbl>
      <w:tblPr>
        <w:tblW w:w="6584" w:type="dxa"/>
        <w:jc w:val="left"/>
        <w:tblInd w:w="0" w:type="dxa"/>
        <w:tblLayout w:type="fixed"/>
        <w:tblCellMar>
          <w:top w:w="28" w:type="dxa"/>
          <w:left w:w="28" w:type="dxa"/>
          <w:bottom w:w="28" w:type="dxa"/>
          <w:right w:w="28" w:type="dxa"/>
        </w:tblCellMar>
      </w:tblPr>
      <w:tblGrid>
        <w:gridCol w:w="4141"/>
        <w:gridCol w:w="146"/>
        <w:gridCol w:w="211"/>
        <w:gridCol w:w="676"/>
        <w:gridCol w:w="166"/>
        <w:gridCol w:w="146"/>
        <w:gridCol w:w="211"/>
        <w:gridCol w:w="676"/>
        <w:gridCol w:w="21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and unrealized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Annualized adjusted return on equity</w:t>
      </w:r>
    </w:p>
    <w:p>
      <w:pPr>
        <w:pStyle w:val="TextBody"/>
        <w:bidi w:val="0"/>
        <w:jc w:val="left"/>
        <w:rPr/>
      </w:pPr>
      <w:r>
        <w:rPr/>
        <w:t> </w:t>
      </w:r>
    </w:p>
    <w:tbl>
      <w:tblPr>
        <w:tblW w:w="6014" w:type="dxa"/>
        <w:jc w:val="left"/>
        <w:tblInd w:w="0" w:type="dxa"/>
        <w:tblLayout w:type="fixed"/>
        <w:tblCellMar>
          <w:top w:w="28" w:type="dxa"/>
          <w:left w:w="28" w:type="dxa"/>
          <w:bottom w:w="28" w:type="dxa"/>
          <w:right w:w="28" w:type="dxa"/>
        </w:tblCellMar>
      </w:tblPr>
      <w:tblGrid>
        <w:gridCol w:w="3151"/>
        <w:gridCol w:w="146"/>
        <w:gridCol w:w="211"/>
        <w:gridCol w:w="781"/>
        <w:gridCol w:w="271"/>
        <w:gridCol w:w="146"/>
        <w:gridCol w:w="211"/>
        <w:gridCol w:w="781"/>
        <w:gridCol w:w="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Annualized 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205,224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950,853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759,739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Annualized adjusted return 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Adjusted combined ratio</w:t>
      </w:r>
    </w:p>
    <w:tbl>
      <w:tblPr>
        <w:tblW w:w="10205" w:type="dxa"/>
        <w:jc w:val="left"/>
        <w:tblInd w:w="0" w:type="dxa"/>
        <w:tblLayout w:type="fixed"/>
        <w:tblCellMar>
          <w:top w:w="28" w:type="dxa"/>
          <w:left w:w="28" w:type="dxa"/>
          <w:bottom w:w="28" w:type="dxa"/>
          <w:right w:w="28" w:type="dxa"/>
        </w:tblCellMar>
      </w:tblPr>
      <w:tblGrid>
        <w:gridCol w:w="7342"/>
        <w:gridCol w:w="146"/>
        <w:gridCol w:w="211"/>
        <w:gridCol w:w="781"/>
        <w:gridCol w:w="271"/>
        <w:gridCol w:w="146"/>
        <w:gridCol w:w="211"/>
        <w:gridCol w:w="781"/>
        <w:gridCol w:w="316"/>
      </w:tblGrid>
      <w:tr>
        <w:trPr/>
        <w:tc>
          <w:tcPr>
            <w:tcW w:w="7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Sum of losses and loss adjustment expenses, acquisition expenses, and other underwriting expenses, net of 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220,909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261,438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164,070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combined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2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3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i/>
          <w:color w:val="000000"/>
          <w:sz w:val="20"/>
        </w:rPr>
      </w:pPr>
      <w:r>
        <w:rPr>
          <w:rFonts w:ascii="Times New Roman" w:hAnsi="Times New Roman"/>
          <w:i/>
          <w:color w:val="000000"/>
          <w:sz w:val="20"/>
        </w:rPr>
        <w:t>Diluted adjusted earnings per share</w:t>
      </w:r>
    </w:p>
    <w:p>
      <w:pPr>
        <w:pStyle w:val="TextBody"/>
        <w:bidi w:val="0"/>
        <w:jc w:val="left"/>
        <w:rPr/>
      </w:pPr>
      <w:r>
        <w:rPr/>
        <w:t> </w:t>
      </w:r>
    </w:p>
    <w:tbl>
      <w:tblPr>
        <w:tblW w:w="8090" w:type="dxa"/>
        <w:jc w:val="left"/>
        <w:tblInd w:w="0" w:type="dxa"/>
        <w:tblLayout w:type="fixed"/>
        <w:tblCellMar>
          <w:top w:w="28" w:type="dxa"/>
          <w:left w:w="28" w:type="dxa"/>
          <w:bottom w:w="28" w:type="dxa"/>
          <w:right w:w="28" w:type="dxa"/>
        </w:tblCellMar>
      </w:tblPr>
      <w:tblGrid>
        <w:gridCol w:w="4591"/>
        <w:gridCol w:w="146"/>
        <w:gridCol w:w="239"/>
        <w:gridCol w:w="1177"/>
        <w:gridCol w:w="165"/>
        <w:gridCol w:w="165"/>
        <w:gridCol w:w="239"/>
        <w:gridCol w:w="1177"/>
        <w:gridCol w:w="1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63,137</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27,340,840</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27,399,997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adjusted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Catastrophe loss ratio</w:t>
      </w:r>
    </w:p>
    <w:tbl>
      <w:tblPr>
        <w:tblW w:w="6974" w:type="dxa"/>
        <w:jc w:val="left"/>
        <w:tblInd w:w="0" w:type="dxa"/>
        <w:tblLayout w:type="fixed"/>
        <w:tblCellMar>
          <w:top w:w="28" w:type="dxa"/>
          <w:left w:w="28" w:type="dxa"/>
          <w:bottom w:w="28" w:type="dxa"/>
          <w:right w:w="28" w:type="dxa"/>
        </w:tblCellMar>
      </w:tblPr>
      <w:tblGrid>
        <w:gridCol w:w="4051"/>
        <w:gridCol w:w="146"/>
        <w:gridCol w:w="211"/>
        <w:gridCol w:w="781"/>
        <w:gridCol w:w="271"/>
        <w:gridCol w:w="146"/>
        <w:gridCol w:w="211"/>
        <w:gridCol w:w="781"/>
        <w:gridCol w:w="376"/>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87,097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38,743</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261,438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164,070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Catastrophe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261,438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164,070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Catastrophe loss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i/>
          <w:color w:val="000000"/>
          <w:sz w:val="20"/>
        </w:rPr>
      </w:pPr>
      <w:r>
        <w:rPr>
          <w:rFonts w:ascii="Times New Roman" w:hAnsi="Times New Roman"/>
          <w:i/>
          <w:color w:val="000000"/>
          <w:sz w:val="20"/>
        </w:rPr>
        <w:t>Adjusted combined ratio excluding catastrophe losses</w:t>
      </w:r>
    </w:p>
    <w:tbl>
      <w:tblPr>
        <w:tblW w:w="10205" w:type="dxa"/>
        <w:jc w:val="left"/>
        <w:tblInd w:w="0" w:type="dxa"/>
        <w:tblLayout w:type="fixed"/>
        <w:tblCellMar>
          <w:top w:w="28" w:type="dxa"/>
          <w:left w:w="28" w:type="dxa"/>
          <w:bottom w:w="28" w:type="dxa"/>
          <w:right w:w="28" w:type="dxa"/>
        </w:tblCellMar>
      </w:tblPr>
      <w:tblGrid>
        <w:gridCol w:w="7342"/>
        <w:gridCol w:w="146"/>
        <w:gridCol w:w="211"/>
        <w:gridCol w:w="781"/>
        <w:gridCol w:w="271"/>
        <w:gridCol w:w="146"/>
        <w:gridCol w:w="211"/>
        <w:gridCol w:w="781"/>
        <w:gridCol w:w="316"/>
      </w:tblGrid>
      <w:tr>
        <w:trPr/>
        <w:tc>
          <w:tcPr>
            <w:tcW w:w="7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Sum of losses and loss adjustment expenses, acquisition expenses, and other underwriting expenses, net of 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220,909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261,438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164,070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combined ratio excluding catastrophe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i/>
          <w:color w:val="000000"/>
          <w:sz w:val="20"/>
        </w:rPr>
        <w:t>Tangible Stockholders</w:t>
      </w:r>
      <w:r>
        <w:rPr>
          <w:rFonts w:ascii="Times New Roman" w:hAnsi="Times New Roman"/>
          <w:color w:val="000000"/>
          <w:sz w:val="20"/>
        </w:rPr>
        <w:t xml:space="preserve">’ </w:t>
      </w:r>
      <w:r>
        <w:rPr>
          <w:rFonts w:ascii="Times New Roman" w:hAnsi="Times New Roman"/>
          <w:i/>
          <w:color w:val="000000"/>
          <w:sz w:val="20"/>
        </w:rPr>
        <w:t>equity</w:t>
      </w:r>
    </w:p>
    <w:p>
      <w:pPr>
        <w:pStyle w:val="TextBody"/>
        <w:bidi w:val="0"/>
        <w:jc w:val="left"/>
        <w:rPr/>
      </w:pPr>
      <w:r>
        <w:rPr/>
        <w:t> </w:t>
      </w:r>
    </w:p>
    <w:tbl>
      <w:tblPr>
        <w:tblW w:w="5607" w:type="dxa"/>
        <w:jc w:val="left"/>
        <w:tblInd w:w="0" w:type="dxa"/>
        <w:tblLayout w:type="fixed"/>
        <w:tblCellMar>
          <w:top w:w="28" w:type="dxa"/>
          <w:left w:w="28" w:type="dxa"/>
          <w:bottom w:w="28" w:type="dxa"/>
          <w:right w:w="28" w:type="dxa"/>
        </w:tblCellMar>
      </w:tblPr>
      <w:tblGrid>
        <w:gridCol w:w="2626"/>
        <w:gridCol w:w="146"/>
        <w:gridCol w:w="211"/>
        <w:gridCol w:w="841"/>
        <w:gridCol w:w="166"/>
        <w:gridCol w:w="146"/>
        <w:gridCol w:w="268"/>
        <w:gridCol w:w="992"/>
        <w:gridCol w:w="2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942,667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and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Tangible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881,613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5140</Words>
  <Characters>28098</Characters>
  <CharactersWithSpaces>33893</CharactersWithSpaces>
  <Paragraphs>3144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